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65" w:rsidRDefault="00B12B4B">
      <w:pPr>
        <w:rPr>
          <w:rFonts w:ascii="Arial" w:hAnsi="Arial" w:cs="Arial"/>
          <w:sz w:val="24"/>
        </w:rPr>
      </w:pPr>
      <w:bookmarkStart w:id="0" w:name="_GoBack"/>
      <w:bookmarkEnd w:id="0"/>
      <w:r>
        <w:rPr>
          <w:rFonts w:ascii="Arial" w:hAnsi="Arial" w:cs="Arial"/>
          <w:noProof/>
          <w:sz w:val="24"/>
          <w:lang w:eastAsia="en-GB"/>
        </w:rPr>
        <w:drawing>
          <wp:inline distT="0" distB="0" distL="0" distR="0">
            <wp:extent cx="1190625" cy="1190625"/>
            <wp:effectExtent l="0" t="0" r="9525" b="9525"/>
            <wp:docPr id="1" name="Picture 1" descr="..\..\..\..\..\Staff Manual\LOGOS\home builders logo\HBF_LOGO_BLACK_TEX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 Manual\LOGOS\home builders logo\HBF_LOGO_BLACK_TEXT 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1424940</wp:posOffset>
                </wp:positionH>
                <wp:positionV relativeFrom="paragraph">
                  <wp:posOffset>459740</wp:posOffset>
                </wp:positionV>
                <wp:extent cx="45720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065" w:rsidRDefault="00B12B4B">
                            <w:pPr>
                              <w:pStyle w:val="Heading1"/>
                              <w:rPr>
                                <w:rFonts w:ascii="Arial" w:hAnsi="Arial" w:cs="Arial"/>
                                <w:sz w:val="36"/>
                                <w:szCs w:val="36"/>
                              </w:rPr>
                            </w:pPr>
                            <w:r>
                              <w:rPr>
                                <w:rFonts w:ascii="Arial" w:hAnsi="Arial" w:cs="Arial"/>
                                <w:sz w:val="36"/>
                                <w:szCs w:val="36"/>
                              </w:rPr>
                              <w:t>THE HOME BUILDERS FEDERATION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2pt;margin-top:36.2pt;width:5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" stroked="f">
                <v:textbox>
                  <w:txbxContent>
                    <w:p w:rsidR="00D00065" w:rsidRDefault="00B12B4B">
                      <w:pPr>
                        <w:pStyle w:val="Heading1"/>
                        <w:rPr>
                          <w:rFonts w:ascii="Arial" w:hAnsi="Arial" w:cs="Arial"/>
                          <w:sz w:val="36"/>
                          <w:szCs w:val="36"/>
                        </w:rPr>
                      </w:pPr>
                      <w:r>
                        <w:rPr>
                          <w:rFonts w:ascii="Arial" w:hAnsi="Arial" w:cs="Arial"/>
                          <w:sz w:val="36"/>
                          <w:szCs w:val="36"/>
                        </w:rPr>
                        <w:t>THE HOME BUILDERS FEDERATION</w:t>
                      </w:r>
                    </w:p>
                  </w:txbxContent>
                </v:textbox>
                <w10:wrap type="square"/>
              </v:shape>
            </w:pict>
          </mc:Fallback>
        </mc:AlternateContent>
      </w:r>
    </w:p>
    <w:p w:rsidR="00387B18" w:rsidRDefault="00387B18" w:rsidP="00387B18">
      <w:pPr>
        <w:autoSpaceDE w:val="0"/>
        <w:autoSpaceDN w:val="0"/>
        <w:adjustRightInd w:val="0"/>
        <w:rPr>
          <w:rFonts w:ascii="TTE24C6A38t00" w:hAnsi="TTE24C6A38t00" w:cs="TTE24C6A38t00"/>
          <w:sz w:val="21"/>
          <w:szCs w:val="21"/>
          <w:lang w:eastAsia="en-GB"/>
        </w:rPr>
      </w:pPr>
    </w:p>
    <w:p w:rsidR="00D25F24" w:rsidRDefault="00D25F24" w:rsidP="00D25F24">
      <w:pPr>
        <w:pStyle w:val="Default"/>
      </w:pPr>
    </w:p>
    <w:p w:rsidR="00D25F24" w:rsidRPr="00D25F24" w:rsidRDefault="00D25F24" w:rsidP="00D25F24">
      <w:pPr>
        <w:rPr>
          <w:rFonts w:ascii="Arial" w:hAnsi="Arial" w:cs="Arial"/>
          <w:sz w:val="24"/>
          <w:szCs w:val="24"/>
        </w:rPr>
      </w:pPr>
      <w:r w:rsidRPr="00D25F24">
        <w:rPr>
          <w:rFonts w:ascii="Arial" w:hAnsi="Arial" w:cs="Arial"/>
          <w:sz w:val="24"/>
          <w:szCs w:val="24"/>
        </w:rPr>
        <w:t xml:space="preserve">Planning Policy, </w:t>
      </w:r>
    </w:p>
    <w:p w:rsidR="00D25F24" w:rsidRPr="00D25F24" w:rsidRDefault="00D25F24" w:rsidP="00D25F24">
      <w:pPr>
        <w:rPr>
          <w:rFonts w:ascii="Arial" w:hAnsi="Arial" w:cs="Arial"/>
          <w:sz w:val="24"/>
          <w:szCs w:val="24"/>
        </w:rPr>
      </w:pPr>
      <w:r w:rsidRPr="00D25F24">
        <w:rPr>
          <w:rFonts w:ascii="Arial" w:hAnsi="Arial" w:cs="Arial"/>
          <w:sz w:val="24"/>
          <w:szCs w:val="24"/>
        </w:rPr>
        <w:t xml:space="preserve">Eden District Council, </w:t>
      </w:r>
    </w:p>
    <w:p w:rsidR="00D25F24" w:rsidRPr="00D25F24" w:rsidRDefault="00D25F24" w:rsidP="00D25F24">
      <w:pPr>
        <w:rPr>
          <w:rFonts w:ascii="Arial" w:hAnsi="Arial" w:cs="Arial"/>
          <w:sz w:val="24"/>
          <w:szCs w:val="24"/>
        </w:rPr>
      </w:pPr>
      <w:r w:rsidRPr="00D25F24">
        <w:rPr>
          <w:rFonts w:ascii="Arial" w:hAnsi="Arial" w:cs="Arial"/>
          <w:sz w:val="24"/>
          <w:szCs w:val="24"/>
        </w:rPr>
        <w:t xml:space="preserve">Mansion House, </w:t>
      </w:r>
    </w:p>
    <w:p w:rsidR="00D25F24" w:rsidRPr="00D25F24" w:rsidRDefault="00D25F24" w:rsidP="00D25F24">
      <w:pPr>
        <w:rPr>
          <w:rFonts w:ascii="Arial" w:hAnsi="Arial" w:cs="Arial"/>
          <w:sz w:val="24"/>
          <w:szCs w:val="24"/>
        </w:rPr>
      </w:pPr>
      <w:r w:rsidRPr="00D25F24">
        <w:rPr>
          <w:rFonts w:ascii="Arial" w:hAnsi="Arial" w:cs="Arial"/>
          <w:sz w:val="24"/>
          <w:szCs w:val="24"/>
        </w:rPr>
        <w:t xml:space="preserve">Penrith, </w:t>
      </w:r>
    </w:p>
    <w:p w:rsidR="00D00065" w:rsidRDefault="00D25F24" w:rsidP="00D25F24">
      <w:pPr>
        <w:rPr>
          <w:rFonts w:ascii="Arial" w:hAnsi="Arial" w:cs="Arial"/>
          <w:sz w:val="24"/>
        </w:rPr>
      </w:pPr>
      <w:r w:rsidRPr="00D25F24">
        <w:rPr>
          <w:rFonts w:ascii="Arial" w:hAnsi="Arial" w:cs="Arial"/>
          <w:sz w:val="24"/>
          <w:szCs w:val="24"/>
        </w:rPr>
        <w:t>CA11 7YG</w:t>
      </w:r>
      <w:r w:rsidR="00387B18">
        <w:rPr>
          <w:rFonts w:ascii="Arial" w:hAnsi="Arial" w:cs="Arial"/>
          <w:sz w:val="24"/>
        </w:rPr>
        <w:tab/>
      </w:r>
      <w:r w:rsidR="00387B18">
        <w:rPr>
          <w:rFonts w:ascii="Arial" w:hAnsi="Arial" w:cs="Arial"/>
          <w:sz w:val="24"/>
        </w:rPr>
        <w:tab/>
      </w:r>
      <w:r w:rsidR="00387B18">
        <w:rPr>
          <w:rFonts w:ascii="Arial" w:hAnsi="Arial" w:cs="Arial"/>
          <w:sz w:val="24"/>
        </w:rPr>
        <w:tab/>
      </w:r>
      <w:r w:rsidR="00387B18">
        <w:rPr>
          <w:rFonts w:ascii="Arial" w:hAnsi="Arial" w:cs="Arial"/>
          <w:sz w:val="24"/>
        </w:rPr>
        <w:tab/>
      </w:r>
      <w:r w:rsidR="006A15A4">
        <w:rPr>
          <w:rFonts w:ascii="Arial" w:hAnsi="Arial" w:cs="Arial"/>
          <w:sz w:val="24"/>
        </w:rPr>
        <w:tab/>
      </w:r>
      <w:r>
        <w:rPr>
          <w:rFonts w:ascii="Arial" w:hAnsi="Arial" w:cs="Arial"/>
          <w:sz w:val="24"/>
        </w:rPr>
        <w:tab/>
      </w:r>
      <w:r w:rsidR="00F55DC9">
        <w:rPr>
          <w:rFonts w:ascii="Arial" w:hAnsi="Arial" w:cs="Arial"/>
          <w:sz w:val="24"/>
        </w:rPr>
        <w:t>Date</w:t>
      </w:r>
      <w:r w:rsidR="00007152">
        <w:rPr>
          <w:rFonts w:ascii="Arial" w:hAnsi="Arial" w:cs="Arial"/>
          <w:sz w:val="24"/>
        </w:rPr>
        <w:t>:</w:t>
      </w:r>
      <w:r>
        <w:rPr>
          <w:rFonts w:ascii="Arial" w:hAnsi="Arial" w:cs="Arial"/>
          <w:sz w:val="24"/>
        </w:rPr>
        <w:t xml:space="preserve"> 24</w:t>
      </w:r>
      <w:r w:rsidRPr="00D25F24">
        <w:rPr>
          <w:rFonts w:ascii="Arial" w:hAnsi="Arial" w:cs="Arial"/>
          <w:sz w:val="24"/>
          <w:vertAlign w:val="superscript"/>
        </w:rPr>
        <w:t>th</w:t>
      </w:r>
      <w:r>
        <w:rPr>
          <w:rFonts w:ascii="Arial" w:hAnsi="Arial" w:cs="Arial"/>
          <w:sz w:val="24"/>
        </w:rPr>
        <w:t xml:space="preserve"> August 2015</w:t>
      </w:r>
    </w:p>
    <w:p w:rsidR="00D25F24" w:rsidRDefault="00150BF7" w:rsidP="00D25F24">
      <w:pPr>
        <w:pStyle w:val="Default"/>
        <w:rPr>
          <w:b/>
        </w:rPr>
      </w:pPr>
      <w:r w:rsidRPr="00150BF7">
        <w:rPr>
          <w:b/>
        </w:rPr>
        <w:t xml:space="preserve">Email: </w:t>
      </w:r>
      <w:hyperlink r:id="rId8" w:history="1">
        <w:r w:rsidR="00D25F24" w:rsidRPr="00332E6E">
          <w:rPr>
            <w:rStyle w:val="Hyperlink"/>
            <w:b/>
          </w:rPr>
          <w:t>loc.plan2014@eden.gov.uk</w:t>
        </w:r>
      </w:hyperlink>
    </w:p>
    <w:p w:rsidR="00D00065" w:rsidRPr="00150BF7" w:rsidRDefault="00150BF7">
      <w:pPr>
        <w:rPr>
          <w:rFonts w:ascii="Arial" w:hAnsi="Arial" w:cs="Arial"/>
          <w:b/>
          <w:sz w:val="28"/>
          <w:szCs w:val="28"/>
        </w:rPr>
      </w:pPr>
      <w:r w:rsidRPr="00150BF7">
        <w:rPr>
          <w:rFonts w:ascii="Arial" w:hAnsi="Arial" w:cs="Arial"/>
          <w:b/>
          <w:sz w:val="28"/>
          <w:szCs w:val="28"/>
        </w:rPr>
        <w:t>Sent by Email only</w:t>
      </w:r>
    </w:p>
    <w:p w:rsidR="00150BF7" w:rsidRDefault="00150BF7">
      <w:pPr>
        <w:rPr>
          <w:rFonts w:ascii="Arial" w:hAnsi="Arial" w:cs="Arial"/>
          <w:sz w:val="24"/>
        </w:rPr>
      </w:pPr>
    </w:p>
    <w:p w:rsidR="00D00065" w:rsidRDefault="00B12B4B">
      <w:pPr>
        <w:rPr>
          <w:rFonts w:ascii="Arial" w:hAnsi="Arial" w:cs="Arial"/>
          <w:sz w:val="24"/>
        </w:rPr>
      </w:pPr>
      <w:r>
        <w:rPr>
          <w:rFonts w:ascii="Arial" w:hAnsi="Arial" w:cs="Arial"/>
          <w:sz w:val="24"/>
        </w:rPr>
        <w:t xml:space="preserve">Dear </w:t>
      </w:r>
      <w:r w:rsidR="0091390B">
        <w:rPr>
          <w:rFonts w:ascii="Arial" w:hAnsi="Arial" w:cs="Arial"/>
          <w:sz w:val="24"/>
        </w:rPr>
        <w:t>Sir / Madam,</w:t>
      </w:r>
      <w:r>
        <w:rPr>
          <w:rFonts w:ascii="Arial" w:hAnsi="Arial" w:cs="Arial"/>
          <w:sz w:val="24"/>
        </w:rPr>
        <w:t xml:space="preserve"> </w:t>
      </w:r>
    </w:p>
    <w:p w:rsidR="00D00065" w:rsidRDefault="00D00065">
      <w:pPr>
        <w:rPr>
          <w:rFonts w:ascii="Arial" w:hAnsi="Arial" w:cs="Arial"/>
          <w:sz w:val="24"/>
        </w:rPr>
      </w:pPr>
    </w:p>
    <w:p w:rsidR="002B092D" w:rsidRDefault="00D25F24" w:rsidP="00CD62D9">
      <w:pPr>
        <w:jc w:val="both"/>
        <w:rPr>
          <w:rFonts w:ascii="Arial" w:hAnsi="Arial" w:cs="Arial"/>
          <w:b/>
          <w:bCs/>
          <w:sz w:val="32"/>
          <w:szCs w:val="32"/>
          <w:lang w:val="en"/>
        </w:rPr>
      </w:pPr>
      <w:r>
        <w:rPr>
          <w:rFonts w:ascii="Arial" w:hAnsi="Arial" w:cs="Arial"/>
          <w:b/>
          <w:bCs/>
          <w:sz w:val="32"/>
          <w:szCs w:val="32"/>
          <w:lang w:val="en"/>
        </w:rPr>
        <w:t xml:space="preserve">Eden Local Plan Selective Consultation: </w:t>
      </w:r>
      <w:r w:rsidR="00EB2E6F">
        <w:rPr>
          <w:rFonts w:ascii="Arial" w:hAnsi="Arial" w:cs="Arial"/>
          <w:b/>
          <w:bCs/>
          <w:sz w:val="32"/>
          <w:szCs w:val="32"/>
          <w:lang w:val="en"/>
        </w:rPr>
        <w:t>Taking Stock (SHMA)</w:t>
      </w:r>
    </w:p>
    <w:p w:rsidR="00D25F24" w:rsidRPr="00CD62D9" w:rsidRDefault="00D25F24" w:rsidP="00CD62D9">
      <w:pPr>
        <w:jc w:val="both"/>
        <w:rPr>
          <w:rFonts w:ascii="Arial" w:hAnsi="Arial" w:cs="Arial"/>
          <w:bCs/>
          <w:sz w:val="24"/>
          <w:szCs w:val="24"/>
          <w:lang w:val="en"/>
        </w:rPr>
      </w:pPr>
    </w:p>
    <w:p w:rsidR="00F070E8" w:rsidRPr="00F070E8" w:rsidRDefault="00CD62D9" w:rsidP="00CD62D9">
      <w:pPr>
        <w:pStyle w:val="ListParagraph"/>
        <w:numPr>
          <w:ilvl w:val="0"/>
          <w:numId w:val="7"/>
        </w:numPr>
        <w:autoSpaceDE w:val="0"/>
        <w:autoSpaceDN w:val="0"/>
        <w:adjustRightInd w:val="0"/>
        <w:ind w:left="426" w:hanging="426"/>
        <w:jc w:val="both"/>
        <w:rPr>
          <w:rFonts w:ascii="Arial" w:hAnsi="Arial" w:cs="Arial"/>
          <w:bCs/>
          <w:sz w:val="24"/>
          <w:szCs w:val="24"/>
          <w:lang w:eastAsia="en-GB"/>
        </w:rPr>
      </w:pPr>
      <w:r w:rsidRPr="00F070E8">
        <w:rPr>
          <w:rFonts w:ascii="Arial" w:hAnsi="Arial" w:cs="Arial"/>
          <w:bCs/>
          <w:sz w:val="24"/>
          <w:szCs w:val="24"/>
        </w:rPr>
        <w:t>Thank you for consulting with the Home Builders Federation (HBF) on the</w:t>
      </w:r>
      <w:r w:rsidR="0000547A" w:rsidRPr="00F070E8">
        <w:rPr>
          <w:rFonts w:ascii="Arial" w:hAnsi="Arial" w:cs="Arial"/>
          <w:bCs/>
          <w:sz w:val="24"/>
          <w:szCs w:val="24"/>
        </w:rPr>
        <w:t xml:space="preserve"> </w:t>
      </w:r>
      <w:r w:rsidR="00D25F24" w:rsidRPr="00F070E8">
        <w:rPr>
          <w:rFonts w:ascii="Arial" w:hAnsi="Arial" w:cs="Arial"/>
          <w:bCs/>
          <w:sz w:val="24"/>
          <w:szCs w:val="24"/>
          <w:lang w:val="en"/>
        </w:rPr>
        <w:t>Eden Local Plan Selective Consultation</w:t>
      </w:r>
      <w:r w:rsidR="002B092D" w:rsidRPr="00F070E8">
        <w:rPr>
          <w:rFonts w:ascii="Arial" w:hAnsi="Arial" w:cs="Arial"/>
          <w:bCs/>
          <w:sz w:val="24"/>
          <w:szCs w:val="24"/>
          <w:lang w:val="en"/>
        </w:rPr>
        <w:t xml:space="preserve">: </w:t>
      </w:r>
      <w:r w:rsidR="00EB2E6F" w:rsidRPr="00F070E8">
        <w:rPr>
          <w:rFonts w:ascii="Arial" w:hAnsi="Arial" w:cs="Arial"/>
          <w:bCs/>
          <w:sz w:val="24"/>
          <w:szCs w:val="24"/>
          <w:lang w:val="en"/>
        </w:rPr>
        <w:t>Taking Stock (SHMA)</w:t>
      </w:r>
      <w:r w:rsidR="002B092D" w:rsidRPr="00F070E8">
        <w:rPr>
          <w:rFonts w:ascii="Arial" w:hAnsi="Arial" w:cs="Arial"/>
          <w:bCs/>
          <w:sz w:val="24"/>
          <w:szCs w:val="24"/>
          <w:lang w:val="en"/>
        </w:rPr>
        <w:t>.</w:t>
      </w:r>
    </w:p>
    <w:p w:rsidR="00F070E8" w:rsidRPr="00F070E8" w:rsidRDefault="00F070E8" w:rsidP="00F070E8">
      <w:pPr>
        <w:pStyle w:val="ListParagraph"/>
        <w:autoSpaceDE w:val="0"/>
        <w:autoSpaceDN w:val="0"/>
        <w:adjustRightInd w:val="0"/>
        <w:ind w:left="426"/>
        <w:jc w:val="both"/>
        <w:rPr>
          <w:rFonts w:ascii="Arial" w:hAnsi="Arial" w:cs="Arial"/>
          <w:bCs/>
          <w:sz w:val="24"/>
          <w:szCs w:val="24"/>
          <w:lang w:eastAsia="en-GB"/>
        </w:rPr>
      </w:pPr>
    </w:p>
    <w:p w:rsidR="00F070E8" w:rsidRDefault="00CD62D9" w:rsidP="00E16832">
      <w:pPr>
        <w:pStyle w:val="ListParagraph"/>
        <w:numPr>
          <w:ilvl w:val="0"/>
          <w:numId w:val="7"/>
        </w:numPr>
        <w:autoSpaceDE w:val="0"/>
        <w:autoSpaceDN w:val="0"/>
        <w:adjustRightInd w:val="0"/>
        <w:ind w:left="426" w:hanging="426"/>
        <w:jc w:val="both"/>
        <w:rPr>
          <w:rFonts w:ascii="Arial" w:hAnsi="Arial" w:cs="Arial"/>
          <w:bCs/>
          <w:sz w:val="24"/>
          <w:szCs w:val="24"/>
          <w:lang w:eastAsia="en-GB"/>
        </w:rPr>
      </w:pPr>
      <w:r w:rsidRPr="00F070E8">
        <w:rPr>
          <w:rFonts w:ascii="Arial" w:hAnsi="Arial" w:cs="Arial"/>
          <w:bCs/>
          <w:sz w:val="24"/>
          <w:szCs w:val="24"/>
        </w:rPr>
        <w:t>The HBF is the princip</w:t>
      </w:r>
      <w:r w:rsidR="00950B13" w:rsidRPr="00F070E8">
        <w:rPr>
          <w:rFonts w:ascii="Arial" w:hAnsi="Arial" w:cs="Arial"/>
          <w:bCs/>
          <w:sz w:val="24"/>
          <w:szCs w:val="24"/>
        </w:rPr>
        <w:t>al</w:t>
      </w:r>
      <w:r w:rsidRPr="00F070E8">
        <w:rPr>
          <w:rFonts w:ascii="Arial" w:hAnsi="Arial" w:cs="Arial"/>
          <w:bCs/>
          <w:sz w:val="24"/>
          <w:szCs w:val="24"/>
        </w:rPr>
        <w:t xml:space="preserve"> representative body of the house</w:t>
      </w:r>
      <w:r w:rsidR="00501672" w:rsidRPr="00F070E8">
        <w:rPr>
          <w:rFonts w:ascii="Arial" w:hAnsi="Arial" w:cs="Arial"/>
          <w:bCs/>
          <w:sz w:val="24"/>
          <w:szCs w:val="24"/>
        </w:rPr>
        <w:t xml:space="preserve"> </w:t>
      </w:r>
      <w:r w:rsidRPr="00F070E8">
        <w:rPr>
          <w:rFonts w:ascii="Arial" w:hAnsi="Arial" w:cs="Arial"/>
          <w:bCs/>
          <w:sz w:val="24"/>
          <w:szCs w:val="24"/>
        </w:rPr>
        <w:t xml:space="preserve">building industry in England and Wales and our representations reflect the views of our membership of multinational PLCs, through regional developers to small, local builders. Our members account for over 80% of all new housing built in England and Wales in any one year including a large proportion of the new affordable housing stock. </w:t>
      </w:r>
    </w:p>
    <w:p w:rsidR="00F070E8" w:rsidRPr="00F070E8" w:rsidRDefault="00F070E8" w:rsidP="00F070E8">
      <w:pPr>
        <w:pStyle w:val="ListParagraph"/>
        <w:rPr>
          <w:rFonts w:ascii="Arial" w:hAnsi="Arial" w:cs="Arial"/>
          <w:bCs/>
          <w:sz w:val="24"/>
          <w:szCs w:val="24"/>
        </w:rPr>
      </w:pPr>
    </w:p>
    <w:p w:rsidR="00CD62D9" w:rsidRPr="00F070E8" w:rsidRDefault="00CD62D9" w:rsidP="00E16832">
      <w:pPr>
        <w:pStyle w:val="ListParagraph"/>
        <w:numPr>
          <w:ilvl w:val="0"/>
          <w:numId w:val="7"/>
        </w:numPr>
        <w:autoSpaceDE w:val="0"/>
        <w:autoSpaceDN w:val="0"/>
        <w:adjustRightInd w:val="0"/>
        <w:ind w:left="426" w:hanging="426"/>
        <w:jc w:val="both"/>
        <w:rPr>
          <w:rFonts w:ascii="Arial" w:hAnsi="Arial" w:cs="Arial"/>
          <w:bCs/>
          <w:sz w:val="24"/>
          <w:szCs w:val="24"/>
          <w:lang w:eastAsia="en-GB"/>
        </w:rPr>
      </w:pPr>
      <w:r w:rsidRPr="00F070E8">
        <w:rPr>
          <w:rFonts w:ascii="Arial" w:hAnsi="Arial" w:cs="Arial"/>
          <w:bCs/>
          <w:sz w:val="24"/>
          <w:szCs w:val="24"/>
        </w:rPr>
        <w:t>We would like to subm</w:t>
      </w:r>
      <w:r w:rsidR="007001D2" w:rsidRPr="00F070E8">
        <w:rPr>
          <w:rFonts w:ascii="Arial" w:hAnsi="Arial" w:cs="Arial"/>
          <w:bCs/>
          <w:sz w:val="24"/>
          <w:szCs w:val="24"/>
        </w:rPr>
        <w:t>it the following comments</w:t>
      </w:r>
      <w:r w:rsidR="002B092D" w:rsidRPr="00F070E8">
        <w:rPr>
          <w:rFonts w:ascii="Arial" w:hAnsi="Arial" w:cs="Arial"/>
          <w:bCs/>
          <w:sz w:val="24"/>
          <w:szCs w:val="24"/>
        </w:rPr>
        <w:t xml:space="preserve"> to the questions po</w:t>
      </w:r>
      <w:r w:rsidR="00D25F24" w:rsidRPr="00F070E8">
        <w:rPr>
          <w:rFonts w:ascii="Arial" w:hAnsi="Arial" w:cs="Arial"/>
          <w:bCs/>
          <w:sz w:val="24"/>
          <w:szCs w:val="24"/>
        </w:rPr>
        <w:t>sed in the consultation</w:t>
      </w:r>
      <w:r w:rsidR="00A56673" w:rsidRPr="00F070E8">
        <w:rPr>
          <w:rFonts w:ascii="Arial" w:hAnsi="Arial" w:cs="Arial"/>
          <w:bCs/>
          <w:sz w:val="24"/>
          <w:szCs w:val="24"/>
        </w:rPr>
        <w:t>.</w:t>
      </w:r>
    </w:p>
    <w:p w:rsidR="00D25F24" w:rsidRPr="00D25F24" w:rsidRDefault="00D25F24" w:rsidP="00D25F24">
      <w:pPr>
        <w:autoSpaceDE w:val="0"/>
        <w:autoSpaceDN w:val="0"/>
        <w:adjustRightInd w:val="0"/>
        <w:jc w:val="both"/>
        <w:rPr>
          <w:rFonts w:ascii="Arial" w:eastAsiaTheme="minorHAnsi" w:hAnsi="Arial" w:cs="Arial"/>
          <w:b/>
          <w:sz w:val="28"/>
          <w:szCs w:val="28"/>
        </w:rPr>
      </w:pPr>
    </w:p>
    <w:p w:rsidR="0058382F" w:rsidRPr="0058382F" w:rsidRDefault="0058382F" w:rsidP="0058382F">
      <w:pPr>
        <w:pStyle w:val="Default"/>
      </w:pPr>
      <w:r w:rsidRPr="0058382F">
        <w:rPr>
          <w:b/>
          <w:bCs/>
        </w:rPr>
        <w:lastRenderedPageBreak/>
        <w:t xml:space="preserve">PART ONE: METHODOLOGY </w:t>
      </w:r>
    </w:p>
    <w:p w:rsidR="002B092D" w:rsidRDefault="0058382F" w:rsidP="0058382F">
      <w:pPr>
        <w:pStyle w:val="ListParagraph"/>
        <w:numPr>
          <w:ilvl w:val="0"/>
          <w:numId w:val="5"/>
        </w:numPr>
        <w:autoSpaceDE w:val="0"/>
        <w:autoSpaceDN w:val="0"/>
        <w:adjustRightInd w:val="0"/>
        <w:jc w:val="both"/>
        <w:rPr>
          <w:rFonts w:ascii="Arial" w:hAnsi="Arial" w:cs="Arial"/>
          <w:b/>
          <w:bCs/>
          <w:sz w:val="24"/>
          <w:szCs w:val="24"/>
        </w:rPr>
      </w:pPr>
      <w:r w:rsidRPr="0058382F">
        <w:rPr>
          <w:rFonts w:ascii="Arial" w:hAnsi="Arial" w:cs="Arial"/>
          <w:b/>
          <w:bCs/>
          <w:sz w:val="24"/>
          <w:szCs w:val="24"/>
        </w:rPr>
        <w:t>Do you have any comments on the methodology of the SHMA and the way it has assessed need?</w:t>
      </w:r>
    </w:p>
    <w:p w:rsidR="00F070E8" w:rsidRDefault="00F070E8" w:rsidP="00F070E8">
      <w:pPr>
        <w:pStyle w:val="ListParagraph"/>
        <w:autoSpaceDE w:val="0"/>
        <w:autoSpaceDN w:val="0"/>
        <w:adjustRightInd w:val="0"/>
        <w:ind w:left="360"/>
        <w:jc w:val="both"/>
        <w:rPr>
          <w:rFonts w:ascii="Arial" w:hAnsi="Arial" w:cs="Arial"/>
          <w:b/>
          <w:bCs/>
          <w:sz w:val="24"/>
          <w:szCs w:val="24"/>
        </w:rPr>
      </w:pPr>
    </w:p>
    <w:p w:rsidR="00A33A9F" w:rsidRPr="00F070E8" w:rsidRDefault="00A33A9F" w:rsidP="00F070E8">
      <w:pPr>
        <w:pStyle w:val="ListParagraph"/>
        <w:numPr>
          <w:ilvl w:val="0"/>
          <w:numId w:val="7"/>
        </w:numPr>
        <w:autoSpaceDE w:val="0"/>
        <w:autoSpaceDN w:val="0"/>
        <w:adjustRightInd w:val="0"/>
        <w:ind w:left="426" w:hanging="426"/>
        <w:jc w:val="both"/>
        <w:rPr>
          <w:rFonts w:ascii="Arial" w:hAnsi="Arial" w:cs="Arial"/>
          <w:bCs/>
          <w:sz w:val="24"/>
          <w:szCs w:val="24"/>
        </w:rPr>
      </w:pPr>
      <w:r w:rsidRPr="00F070E8">
        <w:rPr>
          <w:rFonts w:ascii="Arial" w:hAnsi="Arial" w:cs="Arial"/>
          <w:bCs/>
          <w:sz w:val="24"/>
          <w:szCs w:val="24"/>
        </w:rPr>
        <w:t xml:space="preserve">The following response is broken down into </w:t>
      </w:r>
      <w:r w:rsidR="004E4C33" w:rsidRPr="00F070E8">
        <w:rPr>
          <w:rFonts w:ascii="Arial" w:hAnsi="Arial" w:cs="Arial"/>
          <w:bCs/>
          <w:sz w:val="24"/>
          <w:szCs w:val="24"/>
        </w:rPr>
        <w:t>two discrete elements the Housing Market Area and</w:t>
      </w:r>
      <w:r w:rsidRPr="00F070E8">
        <w:rPr>
          <w:rFonts w:ascii="Arial" w:hAnsi="Arial" w:cs="Arial"/>
          <w:bCs/>
          <w:sz w:val="24"/>
          <w:szCs w:val="24"/>
        </w:rPr>
        <w:t xml:space="preserve"> Objectively Assessed Needs</w:t>
      </w:r>
      <w:r w:rsidR="004E4C33" w:rsidRPr="00F070E8">
        <w:rPr>
          <w:rFonts w:ascii="Arial" w:hAnsi="Arial" w:cs="Arial"/>
          <w:bCs/>
          <w:sz w:val="24"/>
          <w:szCs w:val="24"/>
        </w:rPr>
        <w:t>. In terms of the</w:t>
      </w:r>
      <w:r w:rsidRPr="00F070E8">
        <w:rPr>
          <w:rFonts w:ascii="Arial" w:hAnsi="Arial" w:cs="Arial"/>
          <w:bCs/>
          <w:sz w:val="24"/>
          <w:szCs w:val="24"/>
        </w:rPr>
        <w:t xml:space="preserve"> Size, Type and Tenure </w:t>
      </w:r>
      <w:r w:rsidR="00F070E8">
        <w:rPr>
          <w:rFonts w:ascii="Arial" w:hAnsi="Arial" w:cs="Arial"/>
          <w:bCs/>
          <w:sz w:val="24"/>
          <w:szCs w:val="24"/>
        </w:rPr>
        <w:t xml:space="preserve">section </w:t>
      </w:r>
      <w:r w:rsidR="004E4C33" w:rsidRPr="00F070E8">
        <w:rPr>
          <w:rFonts w:ascii="Arial" w:hAnsi="Arial" w:cs="Arial"/>
          <w:bCs/>
          <w:sz w:val="24"/>
          <w:szCs w:val="24"/>
        </w:rPr>
        <w:t>of the report the HBF has not undertaken a detailed assessment of the data but presently has no reason to dispute its validity</w:t>
      </w:r>
      <w:r w:rsidRPr="00F070E8">
        <w:rPr>
          <w:rFonts w:ascii="Arial" w:hAnsi="Arial" w:cs="Arial"/>
          <w:bCs/>
          <w:sz w:val="24"/>
          <w:szCs w:val="24"/>
        </w:rPr>
        <w:t>.</w:t>
      </w:r>
      <w:r w:rsidR="004E4C33" w:rsidRPr="00F070E8">
        <w:rPr>
          <w:rFonts w:ascii="Arial" w:hAnsi="Arial" w:cs="Arial"/>
          <w:bCs/>
          <w:sz w:val="24"/>
          <w:szCs w:val="24"/>
        </w:rPr>
        <w:t xml:space="preserve"> </w:t>
      </w:r>
      <w:r w:rsidR="004E4C33" w:rsidRPr="00F070E8">
        <w:rPr>
          <w:rFonts w:ascii="Arial" w:eastAsiaTheme="minorHAnsi" w:hAnsi="Arial" w:cs="Arial"/>
          <w:sz w:val="24"/>
          <w:szCs w:val="24"/>
        </w:rPr>
        <w:t>The HBF generally supports the provision of an appropriate mix of dwellings across the whole of the plan area and period. It is important that such requirements are considered upon a plan wide or settlement wide basis to ensure that individual sites can respond positively to local characteristics and demands. An over-prescriptive approach could simply stall developments coming forward either through increased costs or lack of market demand for certain products.</w:t>
      </w:r>
    </w:p>
    <w:p w:rsidR="00A33A9F" w:rsidRDefault="00A33A9F" w:rsidP="00A33A9F">
      <w:pPr>
        <w:autoSpaceDE w:val="0"/>
        <w:autoSpaceDN w:val="0"/>
        <w:adjustRightInd w:val="0"/>
        <w:jc w:val="both"/>
        <w:rPr>
          <w:rFonts w:ascii="Arial" w:hAnsi="Arial" w:cs="Arial"/>
          <w:bCs/>
          <w:sz w:val="24"/>
          <w:szCs w:val="24"/>
        </w:rPr>
      </w:pPr>
    </w:p>
    <w:p w:rsidR="00A33A9F" w:rsidRPr="00A33A9F" w:rsidRDefault="00A33A9F" w:rsidP="00A33A9F">
      <w:pPr>
        <w:autoSpaceDE w:val="0"/>
        <w:autoSpaceDN w:val="0"/>
        <w:adjustRightInd w:val="0"/>
        <w:jc w:val="both"/>
        <w:rPr>
          <w:rFonts w:ascii="Arial" w:hAnsi="Arial" w:cs="Arial"/>
          <w:b/>
          <w:bCs/>
          <w:sz w:val="24"/>
          <w:szCs w:val="24"/>
        </w:rPr>
      </w:pPr>
      <w:r w:rsidRPr="00A33A9F">
        <w:rPr>
          <w:rFonts w:ascii="Arial" w:hAnsi="Arial" w:cs="Arial"/>
          <w:b/>
          <w:bCs/>
          <w:sz w:val="24"/>
          <w:szCs w:val="24"/>
        </w:rPr>
        <w:t>Housing Market Area</w:t>
      </w:r>
    </w:p>
    <w:p w:rsidR="00F070E8" w:rsidRDefault="00362F58" w:rsidP="00F070E8">
      <w:pPr>
        <w:pStyle w:val="ListParagraph"/>
        <w:numPr>
          <w:ilvl w:val="0"/>
          <w:numId w:val="7"/>
        </w:numPr>
        <w:ind w:left="426" w:hanging="426"/>
        <w:jc w:val="both"/>
        <w:rPr>
          <w:rFonts w:ascii="Arial" w:hAnsi="Arial" w:cs="Arial"/>
          <w:sz w:val="24"/>
          <w:szCs w:val="24"/>
        </w:rPr>
      </w:pPr>
      <w:r w:rsidRPr="00F070E8">
        <w:rPr>
          <w:rFonts w:ascii="Arial" w:hAnsi="Arial" w:cs="Arial"/>
          <w:sz w:val="24"/>
          <w:szCs w:val="24"/>
        </w:rPr>
        <w:t>The National Planning Practice Guidance (PPG) paragraph 2a-011 identifies</w:t>
      </w:r>
      <w:r w:rsidR="006C71F5" w:rsidRPr="00F070E8">
        <w:rPr>
          <w:rFonts w:ascii="Arial" w:hAnsi="Arial" w:cs="Arial"/>
          <w:sz w:val="24"/>
          <w:szCs w:val="24"/>
        </w:rPr>
        <w:t xml:space="preserve"> the criteria for defining Housing Market Areas (HMAs). These include house prices and rates of change in house prices, household migration and search patterns and contextual data such as travel to work areas. The </w:t>
      </w:r>
      <w:r w:rsidR="00F070E8">
        <w:rPr>
          <w:rFonts w:ascii="Arial" w:hAnsi="Arial" w:cs="Arial"/>
          <w:sz w:val="24"/>
          <w:szCs w:val="24"/>
        </w:rPr>
        <w:t>current study</w:t>
      </w:r>
      <w:r w:rsidR="006C71F5" w:rsidRPr="00F070E8">
        <w:rPr>
          <w:rFonts w:ascii="Arial" w:hAnsi="Arial" w:cs="Arial"/>
          <w:sz w:val="24"/>
          <w:szCs w:val="24"/>
        </w:rPr>
        <w:t xml:space="preserve"> only addresses travel to work areas. Whilst the</w:t>
      </w:r>
      <w:r w:rsidR="00F070E8">
        <w:rPr>
          <w:rFonts w:ascii="Arial" w:hAnsi="Arial" w:cs="Arial"/>
          <w:sz w:val="24"/>
          <w:szCs w:val="24"/>
        </w:rPr>
        <w:t xml:space="preserve"> HBF does not dispute that </w:t>
      </w:r>
      <w:r w:rsidR="006C71F5" w:rsidRPr="00F070E8">
        <w:rPr>
          <w:rFonts w:ascii="Arial" w:hAnsi="Arial" w:cs="Arial"/>
          <w:sz w:val="24"/>
          <w:szCs w:val="24"/>
        </w:rPr>
        <w:t xml:space="preserve">Eden represents a self-contained HMA </w:t>
      </w:r>
      <w:r w:rsidR="00F070E8">
        <w:rPr>
          <w:rFonts w:ascii="Arial" w:hAnsi="Arial" w:cs="Arial"/>
          <w:sz w:val="24"/>
          <w:szCs w:val="24"/>
        </w:rPr>
        <w:t>this conclusion cannot be drawn from the current analysis.</w:t>
      </w:r>
    </w:p>
    <w:p w:rsidR="00F070E8" w:rsidRDefault="00F070E8" w:rsidP="00F070E8">
      <w:pPr>
        <w:pStyle w:val="ListParagraph"/>
        <w:ind w:left="426"/>
        <w:jc w:val="both"/>
        <w:rPr>
          <w:rFonts w:ascii="Arial" w:hAnsi="Arial" w:cs="Arial"/>
          <w:sz w:val="24"/>
          <w:szCs w:val="24"/>
        </w:rPr>
      </w:pPr>
    </w:p>
    <w:p w:rsidR="008A2ADE" w:rsidRPr="00F070E8" w:rsidRDefault="008A2ADE" w:rsidP="00F070E8">
      <w:pPr>
        <w:pStyle w:val="ListParagraph"/>
        <w:numPr>
          <w:ilvl w:val="0"/>
          <w:numId w:val="7"/>
        </w:numPr>
        <w:ind w:left="426" w:hanging="426"/>
        <w:jc w:val="both"/>
        <w:rPr>
          <w:rFonts w:ascii="Arial" w:hAnsi="Arial" w:cs="Arial"/>
          <w:sz w:val="24"/>
          <w:szCs w:val="24"/>
        </w:rPr>
      </w:pPr>
      <w:r w:rsidRPr="00F070E8">
        <w:rPr>
          <w:rFonts w:ascii="Arial" w:hAnsi="Arial" w:cs="Arial"/>
          <w:bCs/>
          <w:sz w:val="24"/>
          <w:szCs w:val="24"/>
        </w:rPr>
        <w:t xml:space="preserve">The inclusion of </w:t>
      </w:r>
      <w:r w:rsidR="00F070E8">
        <w:rPr>
          <w:rFonts w:ascii="Arial" w:hAnsi="Arial" w:cs="Arial"/>
          <w:bCs/>
          <w:sz w:val="24"/>
          <w:szCs w:val="24"/>
        </w:rPr>
        <w:t xml:space="preserve">housing needs from </w:t>
      </w:r>
      <w:r w:rsidRPr="00F070E8">
        <w:rPr>
          <w:rFonts w:ascii="Arial" w:hAnsi="Arial" w:cs="Arial"/>
          <w:bCs/>
          <w:sz w:val="24"/>
          <w:szCs w:val="24"/>
        </w:rPr>
        <w:t xml:space="preserve">the </w:t>
      </w:r>
      <w:r w:rsidR="00F070E8">
        <w:rPr>
          <w:rFonts w:ascii="Arial" w:hAnsi="Arial" w:cs="Arial"/>
          <w:bCs/>
          <w:sz w:val="24"/>
          <w:szCs w:val="24"/>
        </w:rPr>
        <w:t>parts</w:t>
      </w:r>
      <w:r w:rsidRPr="00F070E8">
        <w:rPr>
          <w:rFonts w:ascii="Arial" w:hAnsi="Arial" w:cs="Arial"/>
          <w:bCs/>
          <w:sz w:val="24"/>
          <w:szCs w:val="24"/>
        </w:rPr>
        <w:t xml:space="preserve"> of Eden within the Lake District National Park </w:t>
      </w:r>
      <w:r w:rsidR="00F070E8">
        <w:rPr>
          <w:rFonts w:ascii="Arial" w:hAnsi="Arial" w:cs="Arial"/>
          <w:bCs/>
          <w:sz w:val="24"/>
          <w:szCs w:val="24"/>
        </w:rPr>
        <w:t xml:space="preserve">within this study </w:t>
      </w:r>
      <w:r w:rsidRPr="00F070E8">
        <w:rPr>
          <w:rFonts w:ascii="Arial" w:hAnsi="Arial" w:cs="Arial"/>
          <w:bCs/>
          <w:sz w:val="24"/>
          <w:szCs w:val="24"/>
        </w:rPr>
        <w:t>is considered a practical approach given the availability of data</w:t>
      </w:r>
      <w:r w:rsidR="00F070E8">
        <w:rPr>
          <w:rFonts w:ascii="Arial" w:hAnsi="Arial" w:cs="Arial"/>
          <w:bCs/>
          <w:sz w:val="24"/>
          <w:szCs w:val="24"/>
        </w:rPr>
        <w:t xml:space="preserve"> and geography of the area</w:t>
      </w:r>
      <w:r w:rsidRPr="00F070E8">
        <w:rPr>
          <w:rFonts w:ascii="Arial" w:hAnsi="Arial" w:cs="Arial"/>
          <w:bCs/>
          <w:sz w:val="24"/>
          <w:szCs w:val="24"/>
        </w:rPr>
        <w:t xml:space="preserve">. In terms of the apportionment of any of this requirement back to the national park it is essential that this is clearly justified and there is </w:t>
      </w:r>
      <w:r w:rsidRPr="00F070E8">
        <w:rPr>
          <w:rFonts w:ascii="Arial" w:hAnsi="Arial" w:cs="Arial"/>
          <w:bCs/>
          <w:sz w:val="24"/>
          <w:szCs w:val="24"/>
        </w:rPr>
        <w:lastRenderedPageBreak/>
        <w:t>demonstrable agreement from the national park to accommodate any requirement.</w:t>
      </w:r>
    </w:p>
    <w:p w:rsidR="008A2ADE" w:rsidRDefault="008A2ADE" w:rsidP="00A33A9F">
      <w:pPr>
        <w:autoSpaceDE w:val="0"/>
        <w:autoSpaceDN w:val="0"/>
        <w:adjustRightInd w:val="0"/>
        <w:jc w:val="both"/>
        <w:rPr>
          <w:rFonts w:ascii="Arial" w:hAnsi="Arial" w:cs="Arial"/>
          <w:bCs/>
          <w:sz w:val="24"/>
          <w:szCs w:val="24"/>
        </w:rPr>
      </w:pPr>
    </w:p>
    <w:p w:rsidR="00A33A9F" w:rsidRPr="00A33A9F" w:rsidRDefault="00A33A9F" w:rsidP="00A33A9F">
      <w:pPr>
        <w:autoSpaceDE w:val="0"/>
        <w:autoSpaceDN w:val="0"/>
        <w:adjustRightInd w:val="0"/>
        <w:jc w:val="both"/>
        <w:rPr>
          <w:rFonts w:ascii="Arial" w:hAnsi="Arial" w:cs="Arial"/>
          <w:b/>
          <w:bCs/>
          <w:sz w:val="24"/>
          <w:szCs w:val="24"/>
        </w:rPr>
      </w:pPr>
      <w:r w:rsidRPr="00A33A9F">
        <w:rPr>
          <w:rFonts w:ascii="Arial" w:hAnsi="Arial" w:cs="Arial"/>
          <w:b/>
          <w:bCs/>
          <w:sz w:val="24"/>
          <w:szCs w:val="24"/>
        </w:rPr>
        <w:t>Objectively Assessed Need</w:t>
      </w:r>
    </w:p>
    <w:p w:rsidR="00A33A9F" w:rsidRPr="00F070E8" w:rsidRDefault="008A2ADE" w:rsidP="00F070E8">
      <w:pPr>
        <w:pStyle w:val="ListParagraph"/>
        <w:numPr>
          <w:ilvl w:val="0"/>
          <w:numId w:val="7"/>
        </w:numPr>
        <w:autoSpaceDE w:val="0"/>
        <w:autoSpaceDN w:val="0"/>
        <w:adjustRightInd w:val="0"/>
        <w:ind w:left="426" w:hanging="426"/>
        <w:jc w:val="both"/>
        <w:rPr>
          <w:rFonts w:ascii="Arial" w:hAnsi="Arial" w:cs="Arial"/>
          <w:bCs/>
          <w:sz w:val="24"/>
          <w:szCs w:val="24"/>
        </w:rPr>
      </w:pPr>
      <w:r w:rsidRPr="00F070E8">
        <w:rPr>
          <w:rFonts w:ascii="Arial" w:hAnsi="Arial" w:cs="Arial"/>
          <w:bCs/>
          <w:sz w:val="24"/>
          <w:szCs w:val="24"/>
        </w:rPr>
        <w:t>The HBF generally agree</w:t>
      </w:r>
      <w:r w:rsidR="00F070E8">
        <w:rPr>
          <w:rFonts w:ascii="Arial" w:hAnsi="Arial" w:cs="Arial"/>
          <w:bCs/>
          <w:sz w:val="24"/>
          <w:szCs w:val="24"/>
        </w:rPr>
        <w:t>s with the steps</w:t>
      </w:r>
      <w:r w:rsidRPr="00F070E8">
        <w:rPr>
          <w:rFonts w:ascii="Arial" w:hAnsi="Arial" w:cs="Arial"/>
          <w:bCs/>
          <w:sz w:val="24"/>
          <w:szCs w:val="24"/>
        </w:rPr>
        <w:t xml:space="preserve"> employed in identifying the objectively assessed housing needs of the district. We do, however, have a number of specific comments which we consider should be addressed. These concerns are identified against the relevant sub-sections of the study.</w:t>
      </w:r>
    </w:p>
    <w:p w:rsidR="008A2ADE" w:rsidRDefault="008A2ADE" w:rsidP="00A33A9F">
      <w:pPr>
        <w:autoSpaceDE w:val="0"/>
        <w:autoSpaceDN w:val="0"/>
        <w:adjustRightInd w:val="0"/>
        <w:jc w:val="both"/>
        <w:rPr>
          <w:rFonts w:ascii="Arial" w:hAnsi="Arial" w:cs="Arial"/>
          <w:bCs/>
          <w:sz w:val="24"/>
          <w:szCs w:val="24"/>
        </w:rPr>
      </w:pPr>
    </w:p>
    <w:p w:rsidR="00A33A9F" w:rsidRPr="00A33A9F" w:rsidRDefault="00A33A9F" w:rsidP="00A33A9F">
      <w:pPr>
        <w:pStyle w:val="ListParagraph"/>
        <w:numPr>
          <w:ilvl w:val="0"/>
          <w:numId w:val="6"/>
        </w:numPr>
        <w:autoSpaceDE w:val="0"/>
        <w:autoSpaceDN w:val="0"/>
        <w:adjustRightInd w:val="0"/>
        <w:jc w:val="both"/>
        <w:rPr>
          <w:rFonts w:ascii="Arial" w:hAnsi="Arial" w:cs="Arial"/>
          <w:b/>
          <w:bCs/>
          <w:sz w:val="24"/>
          <w:szCs w:val="24"/>
        </w:rPr>
      </w:pPr>
      <w:r w:rsidRPr="00A33A9F">
        <w:rPr>
          <w:rFonts w:ascii="Arial" w:hAnsi="Arial" w:cs="Arial"/>
          <w:b/>
          <w:bCs/>
          <w:sz w:val="24"/>
          <w:szCs w:val="24"/>
        </w:rPr>
        <w:t>Population and Household Growth</w:t>
      </w:r>
    </w:p>
    <w:p w:rsidR="00F070E8" w:rsidRDefault="00AC56D7" w:rsidP="00A33A9F">
      <w:pPr>
        <w:pStyle w:val="ListParagraph"/>
        <w:numPr>
          <w:ilvl w:val="0"/>
          <w:numId w:val="7"/>
        </w:numPr>
        <w:autoSpaceDE w:val="0"/>
        <w:autoSpaceDN w:val="0"/>
        <w:adjustRightInd w:val="0"/>
        <w:ind w:left="426" w:hanging="426"/>
        <w:jc w:val="both"/>
        <w:rPr>
          <w:rFonts w:ascii="Arial" w:hAnsi="Arial" w:cs="Arial"/>
          <w:bCs/>
          <w:sz w:val="24"/>
          <w:szCs w:val="24"/>
        </w:rPr>
      </w:pPr>
      <w:r w:rsidRPr="00F070E8">
        <w:rPr>
          <w:rFonts w:ascii="Arial" w:hAnsi="Arial" w:cs="Arial"/>
          <w:bCs/>
          <w:sz w:val="24"/>
          <w:szCs w:val="24"/>
        </w:rPr>
        <w:t xml:space="preserve">The HBF agrees </w:t>
      </w:r>
      <w:r w:rsidR="009D12B9" w:rsidRPr="00F070E8">
        <w:rPr>
          <w:rFonts w:ascii="Arial" w:hAnsi="Arial" w:cs="Arial"/>
          <w:bCs/>
          <w:sz w:val="24"/>
          <w:szCs w:val="24"/>
        </w:rPr>
        <w:t xml:space="preserve">that the most recent household projections produced by government should be utilised as the starting point for considering the objectively assessed needs of the area. In the case of Eden the </w:t>
      </w:r>
      <w:r w:rsidR="00F070E8">
        <w:rPr>
          <w:rFonts w:ascii="Arial" w:hAnsi="Arial" w:cs="Arial"/>
          <w:bCs/>
          <w:sz w:val="24"/>
          <w:szCs w:val="24"/>
        </w:rPr>
        <w:t>SHMA</w:t>
      </w:r>
      <w:r w:rsidR="009D12B9" w:rsidRPr="00F070E8">
        <w:rPr>
          <w:rFonts w:ascii="Arial" w:hAnsi="Arial" w:cs="Arial"/>
          <w:bCs/>
          <w:sz w:val="24"/>
          <w:szCs w:val="24"/>
        </w:rPr>
        <w:t xml:space="preserve"> identifies </w:t>
      </w:r>
      <w:r w:rsidR="00F070E8">
        <w:rPr>
          <w:rFonts w:ascii="Arial" w:hAnsi="Arial" w:cs="Arial"/>
          <w:bCs/>
          <w:sz w:val="24"/>
          <w:szCs w:val="24"/>
        </w:rPr>
        <w:t>this</w:t>
      </w:r>
      <w:r w:rsidR="009D12B9" w:rsidRPr="00F070E8">
        <w:rPr>
          <w:rFonts w:ascii="Arial" w:hAnsi="Arial" w:cs="Arial"/>
          <w:bCs/>
          <w:sz w:val="24"/>
          <w:szCs w:val="24"/>
        </w:rPr>
        <w:t xml:space="preserve"> starting point </w:t>
      </w:r>
      <w:r w:rsidR="00F070E8">
        <w:rPr>
          <w:rFonts w:ascii="Arial" w:hAnsi="Arial" w:cs="Arial"/>
          <w:bCs/>
          <w:sz w:val="24"/>
          <w:szCs w:val="24"/>
        </w:rPr>
        <w:t>as</w:t>
      </w:r>
      <w:r w:rsidR="009D12B9" w:rsidRPr="00F070E8">
        <w:rPr>
          <w:rFonts w:ascii="Arial" w:hAnsi="Arial" w:cs="Arial"/>
          <w:bCs/>
          <w:sz w:val="24"/>
          <w:szCs w:val="24"/>
        </w:rPr>
        <w:t xml:space="preserve"> 120 new households between 2014 and 2032. </w:t>
      </w:r>
      <w:r w:rsidR="00F070E8">
        <w:rPr>
          <w:rFonts w:ascii="Arial" w:hAnsi="Arial" w:cs="Arial"/>
          <w:bCs/>
          <w:sz w:val="24"/>
          <w:szCs w:val="24"/>
        </w:rPr>
        <w:t>T</w:t>
      </w:r>
      <w:r w:rsidR="00830D75" w:rsidRPr="00F070E8">
        <w:rPr>
          <w:rFonts w:ascii="Arial" w:hAnsi="Arial" w:cs="Arial"/>
          <w:bCs/>
          <w:sz w:val="24"/>
          <w:szCs w:val="24"/>
        </w:rPr>
        <w:t>his is based upon applying the 2008 household representation rates to the 2012 population projections</w:t>
      </w:r>
      <w:r w:rsidR="00F070E8">
        <w:rPr>
          <w:rFonts w:ascii="Arial" w:hAnsi="Arial" w:cs="Arial"/>
          <w:bCs/>
          <w:sz w:val="24"/>
          <w:szCs w:val="24"/>
        </w:rPr>
        <w:t xml:space="preserve"> due to recessionary factors evident within the 2012 rates</w:t>
      </w:r>
      <w:r w:rsidR="00830D75" w:rsidRPr="00F070E8">
        <w:rPr>
          <w:rFonts w:ascii="Arial" w:hAnsi="Arial" w:cs="Arial"/>
          <w:bCs/>
          <w:sz w:val="24"/>
          <w:szCs w:val="24"/>
        </w:rPr>
        <w:t xml:space="preserve">. Whilst the HBF understands the Council’s reasoning for such an assumption </w:t>
      </w:r>
      <w:r w:rsidR="008D7EDE" w:rsidRPr="00F070E8">
        <w:rPr>
          <w:rFonts w:ascii="Arial" w:hAnsi="Arial" w:cs="Arial"/>
          <w:bCs/>
          <w:sz w:val="24"/>
          <w:szCs w:val="24"/>
        </w:rPr>
        <w:t xml:space="preserve">this does not deal with the key issue of household growth in </w:t>
      </w:r>
      <w:r w:rsidR="00830D75" w:rsidRPr="00F070E8">
        <w:rPr>
          <w:rFonts w:ascii="Arial" w:hAnsi="Arial" w:cs="Arial"/>
          <w:bCs/>
          <w:sz w:val="24"/>
          <w:szCs w:val="24"/>
        </w:rPr>
        <w:t>Eden, which is migration.</w:t>
      </w:r>
      <w:r w:rsidR="008D7EDE" w:rsidRPr="00F070E8">
        <w:rPr>
          <w:rFonts w:ascii="Arial" w:hAnsi="Arial" w:cs="Arial"/>
          <w:bCs/>
          <w:sz w:val="24"/>
          <w:szCs w:val="24"/>
        </w:rPr>
        <w:t xml:space="preserve"> Unsurprisingly </w:t>
      </w:r>
      <w:r w:rsidR="00F070E8">
        <w:rPr>
          <w:rFonts w:ascii="Arial" w:hAnsi="Arial" w:cs="Arial"/>
          <w:bCs/>
          <w:sz w:val="24"/>
          <w:szCs w:val="24"/>
        </w:rPr>
        <w:t>the utilisation of the 2008 household representation rates applied to the 2012 projections only</w:t>
      </w:r>
      <w:r w:rsidR="008D7EDE" w:rsidRPr="00F070E8">
        <w:rPr>
          <w:rFonts w:ascii="Arial" w:hAnsi="Arial" w:cs="Arial"/>
          <w:bCs/>
          <w:sz w:val="24"/>
          <w:szCs w:val="24"/>
        </w:rPr>
        <w:t xml:space="preserve"> provides a modest increase</w:t>
      </w:r>
      <w:r w:rsidR="00F070E8">
        <w:rPr>
          <w:rFonts w:ascii="Arial" w:hAnsi="Arial" w:cs="Arial"/>
          <w:bCs/>
          <w:sz w:val="24"/>
          <w:szCs w:val="24"/>
        </w:rPr>
        <w:t>. This is due to the continued reliance upon</w:t>
      </w:r>
      <w:r w:rsidR="008D7EDE" w:rsidRPr="00F070E8">
        <w:rPr>
          <w:rFonts w:ascii="Arial" w:hAnsi="Arial" w:cs="Arial"/>
          <w:bCs/>
          <w:sz w:val="24"/>
          <w:szCs w:val="24"/>
        </w:rPr>
        <w:t xml:space="preserve"> </w:t>
      </w:r>
      <w:r w:rsidR="00F070E8">
        <w:rPr>
          <w:rFonts w:ascii="Arial" w:hAnsi="Arial" w:cs="Arial"/>
          <w:bCs/>
          <w:sz w:val="24"/>
          <w:szCs w:val="24"/>
        </w:rPr>
        <w:t>the 2012 migration trends</w:t>
      </w:r>
      <w:r w:rsidR="008D7EDE" w:rsidRPr="00F070E8">
        <w:rPr>
          <w:rFonts w:ascii="Arial" w:hAnsi="Arial" w:cs="Arial"/>
          <w:bCs/>
          <w:sz w:val="24"/>
          <w:szCs w:val="24"/>
        </w:rPr>
        <w:t>.</w:t>
      </w:r>
    </w:p>
    <w:p w:rsidR="00F070E8" w:rsidRDefault="00F070E8" w:rsidP="00F070E8">
      <w:pPr>
        <w:pStyle w:val="ListParagraph"/>
        <w:autoSpaceDE w:val="0"/>
        <w:autoSpaceDN w:val="0"/>
        <w:adjustRightInd w:val="0"/>
        <w:ind w:left="426"/>
        <w:jc w:val="both"/>
        <w:rPr>
          <w:rFonts w:ascii="Arial" w:hAnsi="Arial" w:cs="Arial"/>
          <w:bCs/>
          <w:sz w:val="24"/>
          <w:szCs w:val="24"/>
        </w:rPr>
      </w:pPr>
    </w:p>
    <w:p w:rsidR="007327E0" w:rsidRDefault="00830D75" w:rsidP="00A33A9F">
      <w:pPr>
        <w:pStyle w:val="ListParagraph"/>
        <w:numPr>
          <w:ilvl w:val="0"/>
          <w:numId w:val="7"/>
        </w:numPr>
        <w:autoSpaceDE w:val="0"/>
        <w:autoSpaceDN w:val="0"/>
        <w:adjustRightInd w:val="0"/>
        <w:ind w:left="426" w:hanging="426"/>
        <w:jc w:val="both"/>
        <w:rPr>
          <w:rFonts w:ascii="Arial" w:hAnsi="Arial" w:cs="Arial"/>
          <w:bCs/>
          <w:sz w:val="24"/>
          <w:szCs w:val="24"/>
        </w:rPr>
      </w:pPr>
      <w:r w:rsidRPr="00F070E8">
        <w:rPr>
          <w:rFonts w:ascii="Arial" w:hAnsi="Arial" w:cs="Arial"/>
          <w:bCs/>
          <w:sz w:val="24"/>
          <w:szCs w:val="24"/>
        </w:rPr>
        <w:t xml:space="preserve">Paragraph 4.38 of the </w:t>
      </w:r>
      <w:r w:rsidR="00F070E8">
        <w:rPr>
          <w:rFonts w:ascii="Arial" w:hAnsi="Arial" w:cs="Arial"/>
          <w:bCs/>
          <w:sz w:val="24"/>
          <w:szCs w:val="24"/>
        </w:rPr>
        <w:t>SHMA</w:t>
      </w:r>
      <w:r w:rsidRPr="00F070E8">
        <w:rPr>
          <w:rFonts w:ascii="Arial" w:hAnsi="Arial" w:cs="Arial"/>
          <w:bCs/>
          <w:sz w:val="24"/>
          <w:szCs w:val="24"/>
        </w:rPr>
        <w:t xml:space="preserve"> correctly identifies that the 2012 household projections will have an element of suppress</w:t>
      </w:r>
      <w:r w:rsidR="00F070E8">
        <w:rPr>
          <w:rFonts w:ascii="Arial" w:hAnsi="Arial" w:cs="Arial"/>
          <w:bCs/>
          <w:sz w:val="24"/>
          <w:szCs w:val="24"/>
        </w:rPr>
        <w:t>ion included within them, this is true for both</w:t>
      </w:r>
      <w:r w:rsidRPr="00F070E8">
        <w:rPr>
          <w:rFonts w:ascii="Arial" w:hAnsi="Arial" w:cs="Arial"/>
          <w:bCs/>
          <w:sz w:val="24"/>
          <w:szCs w:val="24"/>
        </w:rPr>
        <w:t xml:space="preserve"> </w:t>
      </w:r>
      <w:r w:rsidR="00F070E8">
        <w:rPr>
          <w:rFonts w:ascii="Arial" w:hAnsi="Arial" w:cs="Arial"/>
          <w:bCs/>
          <w:sz w:val="24"/>
          <w:szCs w:val="24"/>
        </w:rPr>
        <w:t xml:space="preserve">household formation rates and </w:t>
      </w:r>
      <w:r w:rsidRPr="00F070E8">
        <w:rPr>
          <w:rFonts w:ascii="Arial" w:hAnsi="Arial" w:cs="Arial"/>
          <w:bCs/>
          <w:sz w:val="24"/>
          <w:szCs w:val="24"/>
        </w:rPr>
        <w:t>migration</w:t>
      </w:r>
      <w:r w:rsidR="00F070E8">
        <w:rPr>
          <w:rFonts w:ascii="Arial" w:hAnsi="Arial" w:cs="Arial"/>
          <w:bCs/>
          <w:sz w:val="24"/>
          <w:szCs w:val="24"/>
        </w:rPr>
        <w:t>. The period immediately prior to the 2012 projections, upon which they are based, is characterised by low levels of economic growth and limited housing growth</w:t>
      </w:r>
      <w:r w:rsidRPr="00F070E8">
        <w:rPr>
          <w:rFonts w:ascii="Arial" w:hAnsi="Arial" w:cs="Arial"/>
          <w:bCs/>
          <w:sz w:val="24"/>
          <w:szCs w:val="24"/>
        </w:rPr>
        <w:t xml:space="preserve"> within </w:t>
      </w:r>
      <w:r w:rsidRPr="00F070E8">
        <w:rPr>
          <w:rFonts w:ascii="Arial" w:hAnsi="Arial" w:cs="Arial"/>
          <w:bCs/>
          <w:sz w:val="24"/>
          <w:szCs w:val="24"/>
        </w:rPr>
        <w:lastRenderedPageBreak/>
        <w:t>Eden</w:t>
      </w:r>
      <w:r w:rsidR="007327E0">
        <w:rPr>
          <w:rFonts w:ascii="Arial" w:hAnsi="Arial" w:cs="Arial"/>
          <w:bCs/>
          <w:sz w:val="24"/>
          <w:szCs w:val="24"/>
        </w:rPr>
        <w:t xml:space="preserve">. </w:t>
      </w:r>
      <w:r w:rsidRPr="00F070E8">
        <w:rPr>
          <w:rFonts w:ascii="Arial" w:hAnsi="Arial" w:cs="Arial"/>
          <w:bCs/>
          <w:sz w:val="24"/>
          <w:szCs w:val="24"/>
        </w:rPr>
        <w:t>Whilst the comments in ‘explanation five’ are noted the lack</w:t>
      </w:r>
      <w:r w:rsidR="007327E0">
        <w:rPr>
          <w:rFonts w:ascii="Arial" w:hAnsi="Arial" w:cs="Arial"/>
          <w:bCs/>
          <w:sz w:val="24"/>
          <w:szCs w:val="24"/>
        </w:rPr>
        <w:t xml:space="preserve"> of deliverable sites will </w:t>
      </w:r>
      <w:r w:rsidRPr="00F070E8">
        <w:rPr>
          <w:rFonts w:ascii="Arial" w:hAnsi="Arial" w:cs="Arial"/>
          <w:bCs/>
          <w:sz w:val="24"/>
          <w:szCs w:val="24"/>
        </w:rPr>
        <w:t>have played a part in the poor delivery within the area</w:t>
      </w:r>
      <w:r w:rsidR="00066919" w:rsidRPr="00F070E8">
        <w:rPr>
          <w:rFonts w:ascii="Arial" w:hAnsi="Arial" w:cs="Arial"/>
          <w:bCs/>
          <w:sz w:val="24"/>
          <w:szCs w:val="24"/>
        </w:rPr>
        <w:t xml:space="preserve"> over this period.</w:t>
      </w:r>
      <w:r w:rsidR="007327E0">
        <w:rPr>
          <w:rFonts w:ascii="Arial" w:hAnsi="Arial" w:cs="Arial"/>
          <w:bCs/>
          <w:sz w:val="24"/>
          <w:szCs w:val="24"/>
        </w:rPr>
        <w:t xml:space="preserve"> The impact of low rates of economic growth and new housing provision will have severely limited migration opportunities into the area during this period.</w:t>
      </w:r>
      <w:r w:rsidR="00066919" w:rsidRPr="00F070E8">
        <w:rPr>
          <w:rFonts w:ascii="Arial" w:hAnsi="Arial" w:cs="Arial"/>
          <w:bCs/>
          <w:sz w:val="24"/>
          <w:szCs w:val="24"/>
        </w:rPr>
        <w:t xml:space="preserve"> </w:t>
      </w:r>
    </w:p>
    <w:p w:rsidR="007327E0" w:rsidRPr="007327E0" w:rsidRDefault="007327E0" w:rsidP="007327E0">
      <w:pPr>
        <w:pStyle w:val="ListParagraph"/>
        <w:rPr>
          <w:rFonts w:ascii="Arial" w:hAnsi="Arial" w:cs="Arial"/>
          <w:bCs/>
          <w:sz w:val="24"/>
          <w:szCs w:val="24"/>
        </w:rPr>
      </w:pPr>
    </w:p>
    <w:p w:rsidR="007327E0" w:rsidRDefault="00066919" w:rsidP="00A33A9F">
      <w:pPr>
        <w:pStyle w:val="ListParagraph"/>
        <w:numPr>
          <w:ilvl w:val="0"/>
          <w:numId w:val="7"/>
        </w:numPr>
        <w:autoSpaceDE w:val="0"/>
        <w:autoSpaceDN w:val="0"/>
        <w:adjustRightInd w:val="0"/>
        <w:ind w:left="426" w:hanging="426"/>
        <w:jc w:val="both"/>
        <w:rPr>
          <w:rFonts w:ascii="Arial" w:hAnsi="Arial" w:cs="Arial"/>
          <w:bCs/>
          <w:sz w:val="24"/>
          <w:szCs w:val="24"/>
        </w:rPr>
      </w:pPr>
      <w:r w:rsidRPr="00F070E8">
        <w:rPr>
          <w:rFonts w:ascii="Arial" w:hAnsi="Arial" w:cs="Arial"/>
          <w:bCs/>
          <w:sz w:val="24"/>
          <w:szCs w:val="24"/>
        </w:rPr>
        <w:t xml:space="preserve">Given that migration is such a key component </w:t>
      </w:r>
      <w:r w:rsidR="007327E0">
        <w:rPr>
          <w:rFonts w:ascii="Arial" w:hAnsi="Arial" w:cs="Arial"/>
          <w:bCs/>
          <w:sz w:val="24"/>
          <w:szCs w:val="24"/>
        </w:rPr>
        <w:t xml:space="preserve">of the housing needs of the area </w:t>
      </w:r>
      <w:r w:rsidRPr="00F070E8">
        <w:rPr>
          <w:rFonts w:ascii="Arial" w:hAnsi="Arial" w:cs="Arial"/>
          <w:bCs/>
          <w:sz w:val="24"/>
          <w:szCs w:val="24"/>
        </w:rPr>
        <w:t xml:space="preserve">it is unclear why the results of the POPGROUP projections, table 3, are not considered in greater detail. Whilst this has not yet been updated to take full account of the 2012 projections it does identify stark </w:t>
      </w:r>
      <w:r w:rsidR="007327E0">
        <w:rPr>
          <w:rFonts w:ascii="Arial" w:hAnsi="Arial" w:cs="Arial"/>
          <w:bCs/>
          <w:sz w:val="24"/>
          <w:szCs w:val="24"/>
        </w:rPr>
        <w:t>differences</w:t>
      </w:r>
      <w:r w:rsidRPr="00F070E8">
        <w:rPr>
          <w:rFonts w:ascii="Arial" w:hAnsi="Arial" w:cs="Arial"/>
          <w:bCs/>
          <w:sz w:val="24"/>
          <w:szCs w:val="24"/>
        </w:rPr>
        <w:t xml:space="preserve"> between the three projections (zero net population, 5 year migration trends and 10 year migration trends).</w:t>
      </w:r>
    </w:p>
    <w:p w:rsidR="007327E0" w:rsidRPr="007327E0" w:rsidRDefault="007327E0" w:rsidP="007327E0">
      <w:pPr>
        <w:pStyle w:val="ListParagraph"/>
        <w:rPr>
          <w:rFonts w:ascii="Arial" w:hAnsi="Arial" w:cs="Arial"/>
          <w:bCs/>
          <w:sz w:val="24"/>
          <w:szCs w:val="24"/>
        </w:rPr>
      </w:pPr>
    </w:p>
    <w:p w:rsidR="007327E0" w:rsidRDefault="00066919" w:rsidP="00A33A9F">
      <w:pPr>
        <w:pStyle w:val="ListParagraph"/>
        <w:numPr>
          <w:ilvl w:val="0"/>
          <w:numId w:val="7"/>
        </w:numPr>
        <w:autoSpaceDE w:val="0"/>
        <w:autoSpaceDN w:val="0"/>
        <w:adjustRightInd w:val="0"/>
        <w:ind w:left="426" w:hanging="426"/>
        <w:jc w:val="both"/>
        <w:rPr>
          <w:rFonts w:ascii="Arial" w:hAnsi="Arial" w:cs="Arial"/>
          <w:bCs/>
          <w:sz w:val="24"/>
          <w:szCs w:val="24"/>
        </w:rPr>
      </w:pPr>
      <w:r w:rsidRPr="007327E0">
        <w:rPr>
          <w:rFonts w:ascii="Arial" w:hAnsi="Arial" w:cs="Arial"/>
          <w:bCs/>
          <w:sz w:val="24"/>
          <w:szCs w:val="24"/>
        </w:rPr>
        <w:t>The zero net population scenario is wholly unrealistic and only useful for contextual purposes. The five year migration trend indicates an annual dwelling requirement of 53dpa, compared to 152dpa for the 10 year trend. The HBF consider the 10 year trend to be far more robust as this take</w:t>
      </w:r>
      <w:r w:rsidR="007327E0">
        <w:rPr>
          <w:rFonts w:ascii="Arial" w:hAnsi="Arial" w:cs="Arial"/>
          <w:bCs/>
          <w:sz w:val="24"/>
          <w:szCs w:val="24"/>
        </w:rPr>
        <w:t>s</w:t>
      </w:r>
      <w:r w:rsidRPr="007327E0">
        <w:rPr>
          <w:rFonts w:ascii="Arial" w:hAnsi="Arial" w:cs="Arial"/>
          <w:bCs/>
          <w:sz w:val="24"/>
          <w:szCs w:val="24"/>
        </w:rPr>
        <w:t xml:space="preserve"> account of peaks and troughs in the economy as well as housing delivery. </w:t>
      </w:r>
      <w:r w:rsidR="007327E0">
        <w:rPr>
          <w:rFonts w:ascii="Arial" w:hAnsi="Arial" w:cs="Arial"/>
          <w:bCs/>
          <w:sz w:val="24"/>
          <w:szCs w:val="24"/>
        </w:rPr>
        <w:t xml:space="preserve">As noted above the </w:t>
      </w:r>
      <w:r w:rsidRPr="007327E0">
        <w:rPr>
          <w:rFonts w:ascii="Arial" w:hAnsi="Arial" w:cs="Arial"/>
          <w:bCs/>
          <w:sz w:val="24"/>
          <w:szCs w:val="24"/>
        </w:rPr>
        <w:t>2012 household projections</w:t>
      </w:r>
      <w:r w:rsidR="007327E0">
        <w:rPr>
          <w:rFonts w:ascii="Arial" w:hAnsi="Arial" w:cs="Arial"/>
          <w:bCs/>
          <w:sz w:val="24"/>
          <w:szCs w:val="24"/>
        </w:rPr>
        <w:t xml:space="preserve"> for Eden are likely to include a significant </w:t>
      </w:r>
      <w:r w:rsidRPr="007327E0">
        <w:rPr>
          <w:rFonts w:ascii="Arial" w:hAnsi="Arial" w:cs="Arial"/>
          <w:bCs/>
          <w:sz w:val="24"/>
          <w:szCs w:val="24"/>
        </w:rPr>
        <w:t>suppression of need</w:t>
      </w:r>
      <w:r w:rsidR="008D7EDE" w:rsidRPr="007327E0">
        <w:rPr>
          <w:rFonts w:ascii="Arial" w:hAnsi="Arial" w:cs="Arial"/>
          <w:bCs/>
          <w:sz w:val="24"/>
          <w:szCs w:val="24"/>
        </w:rPr>
        <w:t>. It is therefore recommended that the full 2012 projections are run against the 10 year migration trend scenario to identify a more realistic starting point.</w:t>
      </w:r>
    </w:p>
    <w:p w:rsidR="007327E0" w:rsidRPr="007327E0" w:rsidRDefault="007327E0" w:rsidP="007327E0">
      <w:pPr>
        <w:pStyle w:val="ListParagraph"/>
        <w:rPr>
          <w:rFonts w:ascii="Arial" w:hAnsi="Arial" w:cs="Arial"/>
          <w:bCs/>
          <w:sz w:val="24"/>
          <w:szCs w:val="24"/>
        </w:rPr>
      </w:pPr>
    </w:p>
    <w:p w:rsidR="009D12B9" w:rsidRPr="007327E0" w:rsidRDefault="009D12B9" w:rsidP="00A33A9F">
      <w:pPr>
        <w:pStyle w:val="ListParagraph"/>
        <w:numPr>
          <w:ilvl w:val="0"/>
          <w:numId w:val="7"/>
        </w:numPr>
        <w:autoSpaceDE w:val="0"/>
        <w:autoSpaceDN w:val="0"/>
        <w:adjustRightInd w:val="0"/>
        <w:ind w:left="426" w:hanging="426"/>
        <w:jc w:val="both"/>
        <w:rPr>
          <w:rFonts w:ascii="Arial" w:hAnsi="Arial" w:cs="Arial"/>
          <w:bCs/>
          <w:sz w:val="24"/>
          <w:szCs w:val="24"/>
        </w:rPr>
      </w:pPr>
      <w:r w:rsidRPr="007327E0">
        <w:rPr>
          <w:rFonts w:ascii="Arial" w:hAnsi="Arial" w:cs="Arial"/>
          <w:bCs/>
          <w:sz w:val="24"/>
          <w:szCs w:val="24"/>
        </w:rPr>
        <w:t xml:space="preserve">The HBF agrees that </w:t>
      </w:r>
      <w:r w:rsidR="008D7EDE" w:rsidRPr="007327E0">
        <w:rPr>
          <w:rFonts w:ascii="Arial" w:hAnsi="Arial" w:cs="Arial"/>
          <w:bCs/>
          <w:sz w:val="24"/>
          <w:szCs w:val="24"/>
        </w:rPr>
        <w:t xml:space="preserve">the Council should take account of vacancies and second homes in applying </w:t>
      </w:r>
      <w:r w:rsidRPr="007327E0">
        <w:rPr>
          <w:rFonts w:ascii="Arial" w:hAnsi="Arial" w:cs="Arial"/>
          <w:bCs/>
          <w:sz w:val="24"/>
          <w:szCs w:val="24"/>
        </w:rPr>
        <w:t>a conversion from households to dwelli</w:t>
      </w:r>
      <w:r w:rsidR="008D7EDE" w:rsidRPr="007327E0">
        <w:rPr>
          <w:rFonts w:ascii="Arial" w:hAnsi="Arial" w:cs="Arial"/>
          <w:bCs/>
          <w:sz w:val="24"/>
          <w:szCs w:val="24"/>
        </w:rPr>
        <w:t xml:space="preserve">ngs. This is understood to require an 8.9% increase. Presuming this remains constant and vacancies do not increase from their current low position utilising the 10 year migration trend data currently available a </w:t>
      </w:r>
      <w:r w:rsidRPr="007327E0">
        <w:rPr>
          <w:rFonts w:ascii="Arial" w:hAnsi="Arial" w:cs="Arial"/>
          <w:bCs/>
          <w:sz w:val="24"/>
          <w:szCs w:val="24"/>
        </w:rPr>
        <w:t>demo</w:t>
      </w:r>
      <w:r w:rsidRPr="007327E0">
        <w:rPr>
          <w:rFonts w:ascii="Arial" w:hAnsi="Arial" w:cs="Arial"/>
          <w:bCs/>
          <w:sz w:val="24"/>
          <w:szCs w:val="24"/>
        </w:rPr>
        <w:lastRenderedPageBreak/>
        <w:t xml:space="preserve">graphic-led </w:t>
      </w:r>
      <w:r w:rsidR="007327E0">
        <w:rPr>
          <w:rFonts w:ascii="Arial" w:hAnsi="Arial" w:cs="Arial"/>
          <w:bCs/>
          <w:sz w:val="24"/>
          <w:szCs w:val="24"/>
        </w:rPr>
        <w:t xml:space="preserve">starting point of 166 net dwellings </w:t>
      </w:r>
      <w:r w:rsidR="00FA565D" w:rsidRPr="007327E0">
        <w:rPr>
          <w:rFonts w:ascii="Arial" w:hAnsi="Arial" w:cs="Arial"/>
          <w:bCs/>
          <w:sz w:val="24"/>
          <w:szCs w:val="24"/>
        </w:rPr>
        <w:t>a</w:t>
      </w:r>
      <w:r w:rsidR="007327E0">
        <w:rPr>
          <w:rFonts w:ascii="Arial" w:hAnsi="Arial" w:cs="Arial"/>
          <w:bCs/>
          <w:sz w:val="24"/>
          <w:szCs w:val="24"/>
        </w:rPr>
        <w:t>nnually is required</w:t>
      </w:r>
      <w:r w:rsidR="00FA565D" w:rsidRPr="007327E0">
        <w:rPr>
          <w:rFonts w:ascii="Arial" w:hAnsi="Arial" w:cs="Arial"/>
          <w:bCs/>
          <w:sz w:val="24"/>
          <w:szCs w:val="24"/>
        </w:rPr>
        <w:t xml:space="preserve">, </w:t>
      </w:r>
      <w:r w:rsidR="007327E0">
        <w:rPr>
          <w:rFonts w:ascii="Arial" w:hAnsi="Arial" w:cs="Arial"/>
          <w:bCs/>
          <w:sz w:val="24"/>
          <w:szCs w:val="24"/>
        </w:rPr>
        <w:t>this</w:t>
      </w:r>
      <w:r w:rsidR="00FA565D" w:rsidRPr="007327E0">
        <w:rPr>
          <w:rFonts w:ascii="Arial" w:hAnsi="Arial" w:cs="Arial"/>
          <w:bCs/>
          <w:sz w:val="24"/>
          <w:szCs w:val="24"/>
        </w:rPr>
        <w:t xml:space="preserve"> is 23dpa greater than the identified figure.</w:t>
      </w:r>
    </w:p>
    <w:p w:rsidR="009D12B9" w:rsidRDefault="009D12B9" w:rsidP="00A33A9F">
      <w:pPr>
        <w:autoSpaceDE w:val="0"/>
        <w:autoSpaceDN w:val="0"/>
        <w:adjustRightInd w:val="0"/>
        <w:jc w:val="both"/>
        <w:rPr>
          <w:rFonts w:ascii="Arial" w:hAnsi="Arial" w:cs="Arial"/>
          <w:bCs/>
          <w:sz w:val="24"/>
          <w:szCs w:val="24"/>
        </w:rPr>
      </w:pPr>
    </w:p>
    <w:p w:rsidR="00A33A9F" w:rsidRPr="00A33A9F" w:rsidRDefault="00A33A9F" w:rsidP="00A33A9F">
      <w:pPr>
        <w:pStyle w:val="ListParagraph"/>
        <w:numPr>
          <w:ilvl w:val="0"/>
          <w:numId w:val="6"/>
        </w:numPr>
        <w:autoSpaceDE w:val="0"/>
        <w:autoSpaceDN w:val="0"/>
        <w:adjustRightInd w:val="0"/>
        <w:jc w:val="both"/>
        <w:rPr>
          <w:rFonts w:ascii="Arial" w:hAnsi="Arial" w:cs="Arial"/>
          <w:b/>
          <w:bCs/>
          <w:sz w:val="24"/>
          <w:szCs w:val="24"/>
        </w:rPr>
      </w:pPr>
      <w:r w:rsidRPr="00A33A9F">
        <w:rPr>
          <w:rFonts w:ascii="Arial" w:hAnsi="Arial" w:cs="Arial"/>
          <w:b/>
          <w:bCs/>
          <w:sz w:val="24"/>
          <w:szCs w:val="24"/>
        </w:rPr>
        <w:t>Market Signals</w:t>
      </w:r>
    </w:p>
    <w:p w:rsidR="004F1900" w:rsidRDefault="00FA565D" w:rsidP="00A33A9F">
      <w:pPr>
        <w:pStyle w:val="ListParagraph"/>
        <w:numPr>
          <w:ilvl w:val="0"/>
          <w:numId w:val="7"/>
        </w:numPr>
        <w:autoSpaceDE w:val="0"/>
        <w:autoSpaceDN w:val="0"/>
        <w:adjustRightInd w:val="0"/>
        <w:ind w:left="426" w:hanging="426"/>
        <w:jc w:val="both"/>
        <w:rPr>
          <w:rFonts w:ascii="Arial" w:hAnsi="Arial" w:cs="Arial"/>
          <w:sz w:val="24"/>
          <w:szCs w:val="24"/>
        </w:rPr>
      </w:pPr>
      <w:r w:rsidRPr="004F1900">
        <w:rPr>
          <w:rFonts w:ascii="Arial" w:hAnsi="Arial" w:cs="Arial"/>
          <w:bCs/>
          <w:sz w:val="24"/>
          <w:szCs w:val="24"/>
        </w:rPr>
        <w:t xml:space="preserve">The PPG, paragraph 2a-019, identifies a series of market signals which should be considered. These include </w:t>
      </w:r>
      <w:r w:rsidRPr="004F1900">
        <w:rPr>
          <w:rFonts w:ascii="Arial" w:hAnsi="Arial" w:cs="Arial"/>
          <w:sz w:val="24"/>
          <w:szCs w:val="24"/>
        </w:rPr>
        <w:t>land prices, house prices, rents, affordability, rates of development and overcrowding (ID 2a-019-20140306). A</w:t>
      </w:r>
      <w:r w:rsidR="004F1900">
        <w:rPr>
          <w:rFonts w:ascii="Arial" w:hAnsi="Arial" w:cs="Arial"/>
          <w:sz w:val="24"/>
          <w:szCs w:val="24"/>
        </w:rPr>
        <w:t>ccording to the PPG a</w:t>
      </w:r>
      <w:r w:rsidRPr="004F1900">
        <w:rPr>
          <w:rFonts w:ascii="Arial" w:hAnsi="Arial" w:cs="Arial"/>
          <w:sz w:val="24"/>
          <w:szCs w:val="24"/>
        </w:rPr>
        <w:t xml:space="preserve"> worsening trend in any indicator requires an upward adjustment to planned housing numbers compared to ones based solely on household projections (paragraph 2a-020). The </w:t>
      </w:r>
      <w:r w:rsidR="004F1900">
        <w:rPr>
          <w:rFonts w:ascii="Arial" w:hAnsi="Arial" w:cs="Arial"/>
          <w:sz w:val="24"/>
          <w:szCs w:val="24"/>
        </w:rPr>
        <w:t>SHMA</w:t>
      </w:r>
      <w:r w:rsidRPr="004F1900">
        <w:rPr>
          <w:rFonts w:ascii="Arial" w:hAnsi="Arial" w:cs="Arial"/>
          <w:sz w:val="24"/>
          <w:szCs w:val="24"/>
        </w:rPr>
        <w:t xml:space="preserve"> correctly identifies each of these in turn.</w:t>
      </w:r>
    </w:p>
    <w:p w:rsidR="004F1900" w:rsidRDefault="004F1900" w:rsidP="004F1900">
      <w:pPr>
        <w:pStyle w:val="ListParagraph"/>
        <w:autoSpaceDE w:val="0"/>
        <w:autoSpaceDN w:val="0"/>
        <w:adjustRightInd w:val="0"/>
        <w:ind w:left="426"/>
        <w:jc w:val="both"/>
        <w:rPr>
          <w:rFonts w:ascii="Arial" w:hAnsi="Arial" w:cs="Arial"/>
          <w:sz w:val="24"/>
          <w:szCs w:val="24"/>
        </w:rPr>
      </w:pPr>
    </w:p>
    <w:p w:rsidR="004F1900" w:rsidRDefault="00FA565D" w:rsidP="00A33A9F">
      <w:pPr>
        <w:pStyle w:val="ListParagraph"/>
        <w:numPr>
          <w:ilvl w:val="0"/>
          <w:numId w:val="7"/>
        </w:numPr>
        <w:autoSpaceDE w:val="0"/>
        <w:autoSpaceDN w:val="0"/>
        <w:adjustRightInd w:val="0"/>
        <w:ind w:left="426" w:hanging="426"/>
        <w:jc w:val="both"/>
        <w:rPr>
          <w:rFonts w:ascii="Arial" w:hAnsi="Arial" w:cs="Arial"/>
          <w:sz w:val="24"/>
          <w:szCs w:val="24"/>
        </w:rPr>
      </w:pPr>
      <w:r w:rsidRPr="004F1900">
        <w:rPr>
          <w:rFonts w:ascii="Arial" w:hAnsi="Arial" w:cs="Arial"/>
          <w:sz w:val="24"/>
          <w:szCs w:val="24"/>
        </w:rPr>
        <w:t xml:space="preserve">Paragraph 4.83 of the </w:t>
      </w:r>
      <w:r w:rsidR="004F1900">
        <w:rPr>
          <w:rFonts w:ascii="Arial" w:hAnsi="Arial" w:cs="Arial"/>
          <w:sz w:val="24"/>
          <w:szCs w:val="24"/>
        </w:rPr>
        <w:t>SHMA</w:t>
      </w:r>
      <w:r w:rsidRPr="004F1900">
        <w:rPr>
          <w:rFonts w:ascii="Arial" w:hAnsi="Arial" w:cs="Arial"/>
          <w:sz w:val="24"/>
          <w:szCs w:val="24"/>
        </w:rPr>
        <w:t xml:space="preserve"> suggests that the Council does not consider any signal warrants an uplift in the needs of the area when compared against the results of neighbouring authorities. Whilst the PPG does discuss the need for comparators to be made it is clear that a worsening in any trends should </w:t>
      </w:r>
      <w:r w:rsidR="004F1900">
        <w:rPr>
          <w:rFonts w:ascii="Arial" w:hAnsi="Arial" w:cs="Arial"/>
          <w:sz w:val="24"/>
          <w:szCs w:val="24"/>
        </w:rPr>
        <w:t>result in</w:t>
      </w:r>
      <w:r w:rsidRPr="004F1900">
        <w:rPr>
          <w:rFonts w:ascii="Arial" w:hAnsi="Arial" w:cs="Arial"/>
          <w:sz w:val="24"/>
          <w:szCs w:val="24"/>
        </w:rPr>
        <w:t xml:space="preserve"> an increase</w:t>
      </w:r>
      <w:r w:rsidR="004F1900">
        <w:rPr>
          <w:rFonts w:ascii="Arial" w:hAnsi="Arial" w:cs="Arial"/>
          <w:sz w:val="24"/>
          <w:szCs w:val="24"/>
        </w:rPr>
        <w:t xml:space="preserve"> to</w:t>
      </w:r>
      <w:r w:rsidRPr="004F1900">
        <w:rPr>
          <w:rFonts w:ascii="Arial" w:hAnsi="Arial" w:cs="Arial"/>
          <w:sz w:val="24"/>
          <w:szCs w:val="24"/>
        </w:rPr>
        <w:t xml:space="preserve"> the housing numbers.</w:t>
      </w:r>
    </w:p>
    <w:p w:rsidR="004F1900" w:rsidRPr="004F1900" w:rsidRDefault="004F1900" w:rsidP="004F1900">
      <w:pPr>
        <w:pStyle w:val="ListParagraph"/>
        <w:rPr>
          <w:rFonts w:ascii="Arial" w:hAnsi="Arial" w:cs="Arial"/>
          <w:sz w:val="24"/>
          <w:szCs w:val="24"/>
        </w:rPr>
      </w:pPr>
    </w:p>
    <w:p w:rsidR="00FA565D" w:rsidRPr="004F1900" w:rsidRDefault="004F1900" w:rsidP="00A33A9F">
      <w:pPr>
        <w:pStyle w:val="ListParagraph"/>
        <w:numPr>
          <w:ilvl w:val="0"/>
          <w:numId w:val="7"/>
        </w:numPr>
        <w:autoSpaceDE w:val="0"/>
        <w:autoSpaceDN w:val="0"/>
        <w:adjustRightInd w:val="0"/>
        <w:ind w:left="426" w:hanging="426"/>
        <w:jc w:val="both"/>
        <w:rPr>
          <w:rFonts w:ascii="Arial" w:hAnsi="Arial" w:cs="Arial"/>
          <w:sz w:val="24"/>
          <w:szCs w:val="24"/>
        </w:rPr>
      </w:pPr>
      <w:r>
        <w:rPr>
          <w:rFonts w:ascii="Arial" w:hAnsi="Arial" w:cs="Arial"/>
          <w:sz w:val="24"/>
          <w:szCs w:val="24"/>
        </w:rPr>
        <w:t xml:space="preserve">In terms of the analysis it is noted that </w:t>
      </w:r>
      <w:r w:rsidR="000A5748" w:rsidRPr="004F1900">
        <w:rPr>
          <w:rFonts w:ascii="Arial" w:hAnsi="Arial" w:cs="Arial"/>
          <w:sz w:val="24"/>
          <w:szCs w:val="24"/>
        </w:rPr>
        <w:t>Eden has the second worst affordability ratio at 6.46</w:t>
      </w:r>
      <w:r>
        <w:rPr>
          <w:rFonts w:ascii="Arial" w:hAnsi="Arial" w:cs="Arial"/>
          <w:sz w:val="24"/>
          <w:szCs w:val="24"/>
        </w:rPr>
        <w:t xml:space="preserve"> (which is above the national average)</w:t>
      </w:r>
      <w:r w:rsidR="000A5748" w:rsidRPr="004F1900">
        <w:rPr>
          <w:rFonts w:ascii="Arial" w:hAnsi="Arial" w:cs="Arial"/>
          <w:sz w:val="24"/>
          <w:szCs w:val="24"/>
        </w:rPr>
        <w:t xml:space="preserve"> and second highest median house prices in Cumbria (based upon CLG statistics). This indicates </w:t>
      </w:r>
      <w:r>
        <w:rPr>
          <w:rFonts w:ascii="Arial" w:hAnsi="Arial" w:cs="Arial"/>
          <w:sz w:val="24"/>
          <w:szCs w:val="24"/>
        </w:rPr>
        <w:t>a</w:t>
      </w:r>
      <w:r w:rsidR="000A5748" w:rsidRPr="004F1900">
        <w:rPr>
          <w:rFonts w:ascii="Arial" w:hAnsi="Arial" w:cs="Arial"/>
          <w:sz w:val="24"/>
          <w:szCs w:val="24"/>
        </w:rPr>
        <w:t xml:space="preserve"> strong demand in Eden and suggest</w:t>
      </w:r>
      <w:r>
        <w:rPr>
          <w:rFonts w:ascii="Arial" w:hAnsi="Arial" w:cs="Arial"/>
          <w:sz w:val="24"/>
          <w:szCs w:val="24"/>
        </w:rPr>
        <w:t>s</w:t>
      </w:r>
      <w:r w:rsidR="000A5748" w:rsidRPr="004F1900">
        <w:rPr>
          <w:rFonts w:ascii="Arial" w:hAnsi="Arial" w:cs="Arial"/>
          <w:sz w:val="24"/>
          <w:szCs w:val="24"/>
        </w:rPr>
        <w:t xml:space="preserve"> a need to increase the housing </w:t>
      </w:r>
      <w:r>
        <w:rPr>
          <w:rFonts w:ascii="Arial" w:hAnsi="Arial" w:cs="Arial"/>
          <w:sz w:val="24"/>
          <w:szCs w:val="24"/>
        </w:rPr>
        <w:t>figure</w:t>
      </w:r>
      <w:r w:rsidR="000A5748" w:rsidRPr="004F1900">
        <w:rPr>
          <w:rFonts w:ascii="Arial" w:hAnsi="Arial" w:cs="Arial"/>
          <w:sz w:val="24"/>
          <w:szCs w:val="24"/>
        </w:rPr>
        <w:t xml:space="preserve"> to improve affordabi</w:t>
      </w:r>
      <w:r>
        <w:rPr>
          <w:rFonts w:ascii="Arial" w:hAnsi="Arial" w:cs="Arial"/>
          <w:sz w:val="24"/>
          <w:szCs w:val="24"/>
        </w:rPr>
        <w:t>lity. Only South Lakeland have</w:t>
      </w:r>
      <w:r w:rsidR="000A5748" w:rsidRPr="004F1900">
        <w:rPr>
          <w:rFonts w:ascii="Arial" w:hAnsi="Arial" w:cs="Arial"/>
          <w:sz w:val="24"/>
          <w:szCs w:val="24"/>
        </w:rPr>
        <w:t xml:space="preserve"> higher median house price and affordability ratio.</w:t>
      </w:r>
      <w:r w:rsidR="00FA565D" w:rsidRPr="004F1900">
        <w:rPr>
          <w:rFonts w:ascii="Arial" w:hAnsi="Arial" w:cs="Arial"/>
          <w:sz w:val="24"/>
          <w:szCs w:val="24"/>
        </w:rPr>
        <w:t xml:space="preserve"> </w:t>
      </w:r>
      <w:r w:rsidR="000A5748" w:rsidRPr="004F1900">
        <w:rPr>
          <w:rFonts w:ascii="Arial" w:hAnsi="Arial" w:cs="Arial"/>
          <w:sz w:val="24"/>
          <w:szCs w:val="24"/>
        </w:rPr>
        <w:t xml:space="preserve">Furthermore poor levels of delivery in the past coupled with worsening trends in many indicators </w:t>
      </w:r>
      <w:r>
        <w:rPr>
          <w:rFonts w:ascii="Arial" w:hAnsi="Arial" w:cs="Arial"/>
          <w:sz w:val="24"/>
          <w:szCs w:val="24"/>
        </w:rPr>
        <w:t>provide further evidence that an increase to</w:t>
      </w:r>
      <w:r w:rsidR="000A5748" w:rsidRPr="004F1900">
        <w:rPr>
          <w:rFonts w:ascii="Arial" w:hAnsi="Arial" w:cs="Arial"/>
          <w:sz w:val="24"/>
          <w:szCs w:val="24"/>
        </w:rPr>
        <w:t xml:space="preserve"> housing numbers</w:t>
      </w:r>
      <w:r>
        <w:rPr>
          <w:rFonts w:ascii="Arial" w:hAnsi="Arial" w:cs="Arial"/>
          <w:sz w:val="24"/>
          <w:szCs w:val="24"/>
        </w:rPr>
        <w:t xml:space="preserve"> should be explored in greater detail</w:t>
      </w:r>
      <w:r w:rsidR="000A5748" w:rsidRPr="004F1900">
        <w:rPr>
          <w:rFonts w:ascii="Arial" w:hAnsi="Arial" w:cs="Arial"/>
          <w:sz w:val="24"/>
          <w:szCs w:val="24"/>
        </w:rPr>
        <w:t xml:space="preserve">. </w:t>
      </w:r>
    </w:p>
    <w:p w:rsidR="00FA565D" w:rsidRDefault="00FA565D" w:rsidP="00A33A9F">
      <w:pPr>
        <w:autoSpaceDE w:val="0"/>
        <w:autoSpaceDN w:val="0"/>
        <w:adjustRightInd w:val="0"/>
        <w:jc w:val="both"/>
        <w:rPr>
          <w:rFonts w:ascii="Arial" w:hAnsi="Arial" w:cs="Arial"/>
          <w:bCs/>
          <w:sz w:val="24"/>
          <w:szCs w:val="24"/>
        </w:rPr>
      </w:pPr>
    </w:p>
    <w:p w:rsidR="00A33A9F" w:rsidRPr="00A33A9F" w:rsidRDefault="00A33A9F" w:rsidP="00A33A9F">
      <w:pPr>
        <w:pStyle w:val="ListParagraph"/>
        <w:numPr>
          <w:ilvl w:val="0"/>
          <w:numId w:val="6"/>
        </w:numPr>
        <w:autoSpaceDE w:val="0"/>
        <w:autoSpaceDN w:val="0"/>
        <w:adjustRightInd w:val="0"/>
        <w:jc w:val="both"/>
        <w:rPr>
          <w:rFonts w:ascii="Arial" w:hAnsi="Arial" w:cs="Arial"/>
          <w:b/>
          <w:bCs/>
          <w:sz w:val="24"/>
          <w:szCs w:val="24"/>
        </w:rPr>
      </w:pPr>
      <w:r w:rsidRPr="00A33A9F">
        <w:rPr>
          <w:rFonts w:ascii="Arial" w:hAnsi="Arial" w:cs="Arial"/>
          <w:b/>
          <w:bCs/>
          <w:sz w:val="24"/>
          <w:szCs w:val="24"/>
        </w:rPr>
        <w:t>Economic Growth</w:t>
      </w:r>
    </w:p>
    <w:p w:rsidR="004F1900" w:rsidRDefault="00D702EE" w:rsidP="00A33A9F">
      <w:pPr>
        <w:pStyle w:val="ListParagraph"/>
        <w:numPr>
          <w:ilvl w:val="0"/>
          <w:numId w:val="7"/>
        </w:numPr>
        <w:autoSpaceDE w:val="0"/>
        <w:autoSpaceDN w:val="0"/>
        <w:adjustRightInd w:val="0"/>
        <w:ind w:left="426" w:hanging="426"/>
        <w:jc w:val="both"/>
        <w:rPr>
          <w:rFonts w:ascii="Arial" w:hAnsi="Arial" w:cs="Arial"/>
          <w:sz w:val="24"/>
          <w:szCs w:val="24"/>
        </w:rPr>
      </w:pPr>
      <w:r w:rsidRPr="004F1900">
        <w:rPr>
          <w:rFonts w:ascii="Arial" w:hAnsi="Arial" w:cs="Arial"/>
          <w:sz w:val="24"/>
          <w:szCs w:val="24"/>
        </w:rPr>
        <w:lastRenderedPageBreak/>
        <w:t xml:space="preserve">The PPG identifies economic signals </w:t>
      </w:r>
      <w:r w:rsidR="004F1900">
        <w:rPr>
          <w:rFonts w:ascii="Arial" w:hAnsi="Arial" w:cs="Arial"/>
          <w:sz w:val="24"/>
          <w:szCs w:val="24"/>
        </w:rPr>
        <w:t xml:space="preserve">are a key component to </w:t>
      </w:r>
      <w:r w:rsidRPr="004F1900">
        <w:rPr>
          <w:rFonts w:ascii="Arial" w:hAnsi="Arial" w:cs="Arial"/>
          <w:sz w:val="24"/>
          <w:szCs w:val="24"/>
        </w:rPr>
        <w:t xml:space="preserve">determining the objectively assessed housing needs of an area (paragraph 2a-018). The study considers four different methods of calculating jobs growth and its associated housing requirement. The dwelling requirements for each are usefully summarised in the table </w:t>
      </w:r>
      <w:r w:rsidR="004F1900">
        <w:rPr>
          <w:rFonts w:ascii="Arial" w:hAnsi="Arial" w:cs="Arial"/>
          <w:sz w:val="24"/>
          <w:szCs w:val="24"/>
        </w:rPr>
        <w:t>within paragraph 4.125 of the SHMA</w:t>
      </w:r>
      <w:r w:rsidRPr="004F1900">
        <w:rPr>
          <w:rFonts w:ascii="Arial" w:hAnsi="Arial" w:cs="Arial"/>
          <w:sz w:val="24"/>
          <w:szCs w:val="24"/>
        </w:rPr>
        <w:t>.</w:t>
      </w:r>
      <w:r w:rsidR="00BB2F60" w:rsidRPr="004F1900">
        <w:rPr>
          <w:rFonts w:ascii="Arial" w:hAnsi="Arial" w:cs="Arial"/>
          <w:sz w:val="24"/>
          <w:szCs w:val="24"/>
        </w:rPr>
        <w:t xml:space="preserve"> </w:t>
      </w:r>
    </w:p>
    <w:p w:rsidR="004F1900" w:rsidRDefault="004F1900" w:rsidP="004F1900">
      <w:pPr>
        <w:pStyle w:val="ListParagraph"/>
        <w:autoSpaceDE w:val="0"/>
        <w:autoSpaceDN w:val="0"/>
        <w:adjustRightInd w:val="0"/>
        <w:ind w:left="426"/>
        <w:jc w:val="both"/>
        <w:rPr>
          <w:rFonts w:ascii="Arial" w:hAnsi="Arial" w:cs="Arial"/>
          <w:sz w:val="24"/>
          <w:szCs w:val="24"/>
        </w:rPr>
      </w:pPr>
    </w:p>
    <w:p w:rsidR="004F1900" w:rsidRDefault="00BB2F60" w:rsidP="00A33A9F">
      <w:pPr>
        <w:pStyle w:val="ListParagraph"/>
        <w:numPr>
          <w:ilvl w:val="0"/>
          <w:numId w:val="7"/>
        </w:numPr>
        <w:autoSpaceDE w:val="0"/>
        <w:autoSpaceDN w:val="0"/>
        <w:adjustRightInd w:val="0"/>
        <w:ind w:left="426" w:hanging="426"/>
        <w:jc w:val="both"/>
        <w:rPr>
          <w:rFonts w:ascii="Arial" w:hAnsi="Arial" w:cs="Arial"/>
          <w:sz w:val="24"/>
          <w:szCs w:val="24"/>
        </w:rPr>
      </w:pPr>
      <w:r w:rsidRPr="004F1900">
        <w:rPr>
          <w:rFonts w:ascii="Arial" w:hAnsi="Arial" w:cs="Arial"/>
          <w:sz w:val="24"/>
          <w:szCs w:val="24"/>
        </w:rPr>
        <w:t xml:space="preserve">The various </w:t>
      </w:r>
      <w:r w:rsidR="004F1900">
        <w:rPr>
          <w:rFonts w:ascii="Arial" w:hAnsi="Arial" w:cs="Arial"/>
          <w:sz w:val="24"/>
          <w:szCs w:val="24"/>
        </w:rPr>
        <w:t xml:space="preserve">economic projection </w:t>
      </w:r>
      <w:r w:rsidRPr="004F1900">
        <w:rPr>
          <w:rFonts w:ascii="Arial" w:hAnsi="Arial" w:cs="Arial"/>
          <w:sz w:val="24"/>
          <w:szCs w:val="24"/>
        </w:rPr>
        <w:t>methods identify a range of 109 to 307</w:t>
      </w:r>
      <w:r w:rsidR="004F1900">
        <w:rPr>
          <w:rFonts w:ascii="Arial" w:hAnsi="Arial" w:cs="Arial"/>
          <w:sz w:val="24"/>
          <w:szCs w:val="24"/>
        </w:rPr>
        <w:t>dpa. The HBF considers</w:t>
      </w:r>
      <w:r w:rsidR="00E37304" w:rsidRPr="004F1900">
        <w:rPr>
          <w:rFonts w:ascii="Arial" w:hAnsi="Arial" w:cs="Arial"/>
          <w:sz w:val="24"/>
          <w:szCs w:val="24"/>
        </w:rPr>
        <w:t xml:space="preserve"> </w:t>
      </w:r>
      <w:r w:rsidR="004F1900">
        <w:rPr>
          <w:rFonts w:ascii="Arial" w:hAnsi="Arial" w:cs="Arial"/>
          <w:sz w:val="24"/>
          <w:szCs w:val="24"/>
        </w:rPr>
        <w:t>‘M</w:t>
      </w:r>
      <w:r w:rsidR="00E37304" w:rsidRPr="004F1900">
        <w:rPr>
          <w:rFonts w:ascii="Arial" w:hAnsi="Arial" w:cs="Arial"/>
          <w:sz w:val="24"/>
          <w:szCs w:val="24"/>
        </w:rPr>
        <w:t>ethods 3 and 4</w:t>
      </w:r>
      <w:r w:rsidR="004F1900">
        <w:rPr>
          <w:rFonts w:ascii="Arial" w:hAnsi="Arial" w:cs="Arial"/>
          <w:sz w:val="24"/>
          <w:szCs w:val="24"/>
        </w:rPr>
        <w:t>’</w:t>
      </w:r>
      <w:r w:rsidR="00E37304" w:rsidRPr="004F1900">
        <w:rPr>
          <w:rFonts w:ascii="Arial" w:hAnsi="Arial" w:cs="Arial"/>
          <w:sz w:val="24"/>
          <w:szCs w:val="24"/>
        </w:rPr>
        <w:t xml:space="preserve"> are useful for contextual purposes only</w:t>
      </w:r>
      <w:r w:rsidR="004F1900">
        <w:rPr>
          <w:rFonts w:ascii="Arial" w:hAnsi="Arial" w:cs="Arial"/>
          <w:sz w:val="24"/>
          <w:szCs w:val="24"/>
        </w:rPr>
        <w:t xml:space="preserve"> as they do not directly relate jobs growth and population</w:t>
      </w:r>
      <w:r w:rsidR="00E37304" w:rsidRPr="004F1900">
        <w:rPr>
          <w:rFonts w:ascii="Arial" w:hAnsi="Arial" w:cs="Arial"/>
          <w:sz w:val="24"/>
          <w:szCs w:val="24"/>
        </w:rPr>
        <w:t xml:space="preserve">. The Council </w:t>
      </w:r>
      <w:r w:rsidR="004F1900">
        <w:rPr>
          <w:rFonts w:ascii="Arial" w:hAnsi="Arial" w:cs="Arial"/>
          <w:sz w:val="24"/>
          <w:szCs w:val="24"/>
        </w:rPr>
        <w:t>favours ‘M</w:t>
      </w:r>
      <w:r w:rsidR="00E37304" w:rsidRPr="004F1900">
        <w:rPr>
          <w:rFonts w:ascii="Arial" w:hAnsi="Arial" w:cs="Arial"/>
          <w:sz w:val="24"/>
          <w:szCs w:val="24"/>
        </w:rPr>
        <w:t>ethod 1</w:t>
      </w:r>
      <w:r w:rsidR="004F1900">
        <w:rPr>
          <w:rFonts w:ascii="Arial" w:hAnsi="Arial" w:cs="Arial"/>
          <w:sz w:val="24"/>
          <w:szCs w:val="24"/>
        </w:rPr>
        <w:t>’</w:t>
      </w:r>
      <w:r w:rsidR="00E37304" w:rsidRPr="004F1900">
        <w:rPr>
          <w:rFonts w:ascii="Arial" w:hAnsi="Arial" w:cs="Arial"/>
          <w:sz w:val="24"/>
          <w:szCs w:val="24"/>
        </w:rPr>
        <w:t xml:space="preserve"> which identifies a range of 194 to 206dpa. </w:t>
      </w:r>
      <w:r w:rsidRPr="004F1900">
        <w:rPr>
          <w:rFonts w:ascii="Arial" w:hAnsi="Arial" w:cs="Arial"/>
          <w:sz w:val="24"/>
          <w:szCs w:val="24"/>
        </w:rPr>
        <w:t>This conclusion is based upon the fact</w:t>
      </w:r>
      <w:r w:rsidR="004F1900">
        <w:rPr>
          <w:rFonts w:ascii="Arial" w:hAnsi="Arial" w:cs="Arial"/>
          <w:sz w:val="24"/>
          <w:szCs w:val="24"/>
        </w:rPr>
        <w:t xml:space="preserve"> that</w:t>
      </w:r>
      <w:r w:rsidRPr="004F1900">
        <w:rPr>
          <w:rFonts w:ascii="Arial" w:hAnsi="Arial" w:cs="Arial"/>
          <w:sz w:val="24"/>
          <w:szCs w:val="24"/>
        </w:rPr>
        <w:t xml:space="preserve"> the Council considers this </w:t>
      </w:r>
      <w:r w:rsidR="004F1900">
        <w:rPr>
          <w:rFonts w:ascii="Arial" w:hAnsi="Arial" w:cs="Arial"/>
          <w:sz w:val="24"/>
          <w:szCs w:val="24"/>
        </w:rPr>
        <w:t>method to</w:t>
      </w:r>
      <w:r w:rsidRPr="004F1900">
        <w:rPr>
          <w:rFonts w:ascii="Arial" w:hAnsi="Arial" w:cs="Arial"/>
          <w:sz w:val="24"/>
          <w:szCs w:val="24"/>
        </w:rPr>
        <w:t xml:space="preserve"> be based upon the most comprehensive data sets</w:t>
      </w:r>
      <w:r w:rsidR="004F1900">
        <w:rPr>
          <w:rFonts w:ascii="Arial" w:hAnsi="Arial" w:cs="Arial"/>
          <w:sz w:val="24"/>
          <w:szCs w:val="24"/>
        </w:rPr>
        <w:t>. This method does</w:t>
      </w:r>
      <w:r w:rsidRPr="004F1900">
        <w:rPr>
          <w:rFonts w:ascii="Arial" w:hAnsi="Arial" w:cs="Arial"/>
          <w:sz w:val="24"/>
          <w:szCs w:val="24"/>
        </w:rPr>
        <w:t xml:space="preserve"> by the Council’s own admission</w:t>
      </w:r>
      <w:r w:rsidR="004F1900">
        <w:rPr>
          <w:rFonts w:ascii="Arial" w:hAnsi="Arial" w:cs="Arial"/>
          <w:sz w:val="24"/>
          <w:szCs w:val="24"/>
        </w:rPr>
        <w:t xml:space="preserve"> have</w:t>
      </w:r>
      <w:r w:rsidRPr="004F1900">
        <w:rPr>
          <w:rFonts w:ascii="Arial" w:hAnsi="Arial" w:cs="Arial"/>
          <w:sz w:val="24"/>
          <w:szCs w:val="24"/>
        </w:rPr>
        <w:t xml:space="preserve"> significant limitations </w:t>
      </w:r>
      <w:r w:rsidR="004F1900">
        <w:rPr>
          <w:rFonts w:ascii="Arial" w:hAnsi="Arial" w:cs="Arial"/>
          <w:sz w:val="24"/>
          <w:szCs w:val="24"/>
        </w:rPr>
        <w:t xml:space="preserve">and flaws </w:t>
      </w:r>
      <w:r w:rsidRPr="004F1900">
        <w:rPr>
          <w:rFonts w:ascii="Arial" w:hAnsi="Arial" w:cs="Arial"/>
          <w:sz w:val="24"/>
          <w:szCs w:val="24"/>
        </w:rPr>
        <w:t xml:space="preserve">and is not entirely robust (paragraph 4.111). </w:t>
      </w:r>
      <w:r w:rsidR="00523CB7" w:rsidRPr="004F1900">
        <w:rPr>
          <w:rFonts w:ascii="Arial" w:hAnsi="Arial" w:cs="Arial"/>
          <w:sz w:val="24"/>
          <w:szCs w:val="24"/>
        </w:rPr>
        <w:t xml:space="preserve">The HBF would wish to see further analysis between the various data sets prior to such a conclusion being drawn. </w:t>
      </w:r>
      <w:r w:rsidR="00E37304" w:rsidRPr="004F1900">
        <w:rPr>
          <w:rFonts w:ascii="Arial" w:hAnsi="Arial" w:cs="Arial"/>
          <w:sz w:val="24"/>
          <w:szCs w:val="24"/>
        </w:rPr>
        <w:t xml:space="preserve">Particular areas of concern with </w:t>
      </w:r>
      <w:r w:rsidR="004F1900">
        <w:rPr>
          <w:rFonts w:ascii="Arial" w:hAnsi="Arial" w:cs="Arial"/>
          <w:sz w:val="24"/>
          <w:szCs w:val="24"/>
        </w:rPr>
        <w:t>‘</w:t>
      </w:r>
      <w:r w:rsidRPr="004F1900">
        <w:rPr>
          <w:rFonts w:ascii="Arial" w:hAnsi="Arial" w:cs="Arial"/>
          <w:sz w:val="24"/>
          <w:szCs w:val="24"/>
        </w:rPr>
        <w:t>Method 1</w:t>
      </w:r>
      <w:r w:rsidR="004F1900">
        <w:rPr>
          <w:rFonts w:ascii="Arial" w:hAnsi="Arial" w:cs="Arial"/>
          <w:sz w:val="24"/>
          <w:szCs w:val="24"/>
        </w:rPr>
        <w:t>’</w:t>
      </w:r>
      <w:r w:rsidRPr="004F1900">
        <w:rPr>
          <w:rFonts w:ascii="Arial" w:hAnsi="Arial" w:cs="Arial"/>
          <w:sz w:val="24"/>
          <w:szCs w:val="24"/>
        </w:rPr>
        <w:t xml:space="preserve"> </w:t>
      </w:r>
      <w:r w:rsidR="00E37304" w:rsidRPr="004F1900">
        <w:rPr>
          <w:rFonts w:ascii="Arial" w:hAnsi="Arial" w:cs="Arial"/>
          <w:sz w:val="24"/>
          <w:szCs w:val="24"/>
        </w:rPr>
        <w:t>are the fact that it does not take account of the propensity of those filling jobs (usually younger migrants) to either begin or have existing dependent children who overtime would require housing. This is particularly important within Eden due to significant aging</w:t>
      </w:r>
      <w:r w:rsidR="004F1900">
        <w:rPr>
          <w:rFonts w:ascii="Arial" w:hAnsi="Arial" w:cs="Arial"/>
          <w:sz w:val="24"/>
          <w:szCs w:val="24"/>
        </w:rPr>
        <w:t xml:space="preserve"> of the population</w:t>
      </w:r>
      <w:r w:rsidR="00E37304" w:rsidRPr="004F1900">
        <w:rPr>
          <w:rFonts w:ascii="Arial" w:hAnsi="Arial" w:cs="Arial"/>
          <w:sz w:val="24"/>
          <w:szCs w:val="24"/>
        </w:rPr>
        <w:t xml:space="preserve">. </w:t>
      </w:r>
      <w:r w:rsidR="004F1900">
        <w:rPr>
          <w:rFonts w:ascii="Arial" w:hAnsi="Arial" w:cs="Arial"/>
          <w:sz w:val="24"/>
          <w:szCs w:val="24"/>
        </w:rPr>
        <w:t>This is likely to mean that ‘M</w:t>
      </w:r>
      <w:r w:rsidR="00E37304" w:rsidRPr="004F1900">
        <w:rPr>
          <w:rFonts w:ascii="Arial" w:hAnsi="Arial" w:cs="Arial"/>
          <w:sz w:val="24"/>
          <w:szCs w:val="24"/>
        </w:rPr>
        <w:t xml:space="preserve">ethod </w:t>
      </w:r>
      <w:r w:rsidR="004F1900">
        <w:rPr>
          <w:rFonts w:ascii="Arial" w:hAnsi="Arial" w:cs="Arial"/>
          <w:sz w:val="24"/>
          <w:szCs w:val="24"/>
        </w:rPr>
        <w:t>1’ will underestimate</w:t>
      </w:r>
      <w:r w:rsidR="00E37304" w:rsidRPr="004F1900">
        <w:rPr>
          <w:rFonts w:ascii="Arial" w:hAnsi="Arial" w:cs="Arial"/>
          <w:sz w:val="24"/>
          <w:szCs w:val="24"/>
        </w:rPr>
        <w:t xml:space="preserve"> needs based upon jobs growth</w:t>
      </w:r>
      <w:r w:rsidR="004F1900">
        <w:rPr>
          <w:rFonts w:ascii="Arial" w:hAnsi="Arial" w:cs="Arial"/>
          <w:sz w:val="24"/>
          <w:szCs w:val="24"/>
        </w:rPr>
        <w:t xml:space="preserve"> as the fertility rates of younger age groups are not factored into the calculations</w:t>
      </w:r>
      <w:r w:rsidR="00E37304" w:rsidRPr="004F1900">
        <w:rPr>
          <w:rFonts w:ascii="Arial" w:hAnsi="Arial" w:cs="Arial"/>
          <w:sz w:val="24"/>
          <w:szCs w:val="24"/>
        </w:rPr>
        <w:t xml:space="preserve">. </w:t>
      </w:r>
    </w:p>
    <w:p w:rsidR="004F1900" w:rsidRDefault="004F1900" w:rsidP="004F1900">
      <w:pPr>
        <w:pStyle w:val="ListParagraph"/>
        <w:autoSpaceDE w:val="0"/>
        <w:autoSpaceDN w:val="0"/>
        <w:adjustRightInd w:val="0"/>
        <w:ind w:left="426"/>
        <w:jc w:val="both"/>
        <w:rPr>
          <w:rFonts w:ascii="Arial" w:hAnsi="Arial" w:cs="Arial"/>
          <w:sz w:val="24"/>
          <w:szCs w:val="24"/>
        </w:rPr>
      </w:pPr>
    </w:p>
    <w:p w:rsidR="00431930" w:rsidRDefault="004F1900" w:rsidP="00A33A9F">
      <w:pPr>
        <w:pStyle w:val="ListParagraph"/>
        <w:numPr>
          <w:ilvl w:val="0"/>
          <w:numId w:val="7"/>
        </w:numPr>
        <w:autoSpaceDE w:val="0"/>
        <w:autoSpaceDN w:val="0"/>
        <w:adjustRightInd w:val="0"/>
        <w:ind w:left="426" w:hanging="426"/>
        <w:jc w:val="both"/>
        <w:rPr>
          <w:rFonts w:ascii="Arial" w:hAnsi="Arial" w:cs="Arial"/>
          <w:sz w:val="24"/>
          <w:szCs w:val="24"/>
        </w:rPr>
      </w:pPr>
      <w:r>
        <w:rPr>
          <w:rFonts w:ascii="Arial" w:hAnsi="Arial" w:cs="Arial"/>
          <w:sz w:val="24"/>
          <w:szCs w:val="24"/>
        </w:rPr>
        <w:t>From the methods identified the HBF favours ‘</w:t>
      </w:r>
      <w:r w:rsidR="00523CB7" w:rsidRPr="004F1900">
        <w:rPr>
          <w:rFonts w:ascii="Arial" w:hAnsi="Arial" w:cs="Arial"/>
          <w:sz w:val="24"/>
          <w:szCs w:val="24"/>
        </w:rPr>
        <w:t>Method 2</w:t>
      </w:r>
      <w:r>
        <w:rPr>
          <w:rFonts w:ascii="Arial" w:hAnsi="Arial" w:cs="Arial"/>
          <w:sz w:val="24"/>
          <w:szCs w:val="24"/>
        </w:rPr>
        <w:t>’. This method</w:t>
      </w:r>
      <w:r w:rsidR="00523CB7" w:rsidRPr="004F1900">
        <w:rPr>
          <w:rFonts w:ascii="Arial" w:hAnsi="Arial" w:cs="Arial"/>
          <w:sz w:val="24"/>
          <w:szCs w:val="24"/>
        </w:rPr>
        <w:t xml:space="preserve"> utilises the POPGROUP model to forecast the </w:t>
      </w:r>
      <w:r w:rsidR="00431930">
        <w:rPr>
          <w:rFonts w:ascii="Arial" w:hAnsi="Arial" w:cs="Arial"/>
          <w:sz w:val="24"/>
          <w:szCs w:val="24"/>
        </w:rPr>
        <w:t xml:space="preserve">housing </w:t>
      </w:r>
      <w:r w:rsidR="00523CB7" w:rsidRPr="004F1900">
        <w:rPr>
          <w:rFonts w:ascii="Arial" w:hAnsi="Arial" w:cs="Arial"/>
          <w:sz w:val="24"/>
          <w:szCs w:val="24"/>
        </w:rPr>
        <w:t xml:space="preserve">growth required based upon Experian data. </w:t>
      </w:r>
      <w:r w:rsidR="00431930">
        <w:rPr>
          <w:rFonts w:ascii="Arial" w:hAnsi="Arial" w:cs="Arial"/>
          <w:sz w:val="24"/>
          <w:szCs w:val="24"/>
        </w:rPr>
        <w:t xml:space="preserve">This method has been successfully used at numerous local plan examinations and takes account of varying fertility rates amongst different age cohorts. This </w:t>
      </w:r>
      <w:r w:rsidR="00431930">
        <w:rPr>
          <w:rFonts w:ascii="Arial" w:hAnsi="Arial" w:cs="Arial"/>
          <w:sz w:val="24"/>
          <w:szCs w:val="24"/>
        </w:rPr>
        <w:lastRenderedPageBreak/>
        <w:t>method produces an annual housing requirement of approximately 300dpa.</w:t>
      </w:r>
    </w:p>
    <w:p w:rsidR="00431930" w:rsidRPr="00431930" w:rsidRDefault="00431930" w:rsidP="00431930">
      <w:pPr>
        <w:pStyle w:val="ListParagraph"/>
        <w:rPr>
          <w:rFonts w:ascii="Arial" w:hAnsi="Arial" w:cs="Arial"/>
          <w:sz w:val="24"/>
          <w:szCs w:val="24"/>
        </w:rPr>
      </w:pPr>
    </w:p>
    <w:p w:rsidR="00523CB7" w:rsidRPr="00431930" w:rsidRDefault="00523CB7" w:rsidP="00431930">
      <w:pPr>
        <w:pStyle w:val="ListParagraph"/>
        <w:numPr>
          <w:ilvl w:val="0"/>
          <w:numId w:val="7"/>
        </w:numPr>
        <w:autoSpaceDE w:val="0"/>
        <w:autoSpaceDN w:val="0"/>
        <w:adjustRightInd w:val="0"/>
        <w:ind w:left="426" w:hanging="426"/>
        <w:jc w:val="both"/>
        <w:rPr>
          <w:rFonts w:ascii="Arial" w:hAnsi="Arial" w:cs="Arial"/>
          <w:sz w:val="24"/>
          <w:szCs w:val="24"/>
        </w:rPr>
      </w:pPr>
      <w:r w:rsidRPr="004F1900">
        <w:rPr>
          <w:rFonts w:ascii="Arial" w:hAnsi="Arial" w:cs="Arial"/>
          <w:sz w:val="24"/>
          <w:szCs w:val="24"/>
        </w:rPr>
        <w:t>The Council discounts this m</w:t>
      </w:r>
      <w:r w:rsidR="00431930">
        <w:rPr>
          <w:rFonts w:ascii="Arial" w:hAnsi="Arial" w:cs="Arial"/>
          <w:sz w:val="24"/>
          <w:szCs w:val="24"/>
        </w:rPr>
        <w:t>ethod</w:t>
      </w:r>
      <w:r w:rsidRPr="004F1900">
        <w:rPr>
          <w:rFonts w:ascii="Arial" w:hAnsi="Arial" w:cs="Arial"/>
          <w:sz w:val="24"/>
          <w:szCs w:val="24"/>
        </w:rPr>
        <w:t xml:space="preserve"> on a number of grounds, not least due to the numerous assumptions made. Whilst the HBF does not dispute such issues exist, the same is true of all modelling including the process within </w:t>
      </w:r>
      <w:r w:rsidR="00431930">
        <w:rPr>
          <w:rFonts w:ascii="Arial" w:hAnsi="Arial" w:cs="Arial"/>
          <w:sz w:val="24"/>
          <w:szCs w:val="24"/>
        </w:rPr>
        <w:t>‘</w:t>
      </w:r>
      <w:r w:rsidRPr="004F1900">
        <w:rPr>
          <w:rFonts w:ascii="Arial" w:hAnsi="Arial" w:cs="Arial"/>
          <w:sz w:val="24"/>
          <w:szCs w:val="24"/>
        </w:rPr>
        <w:t>Method 1</w:t>
      </w:r>
      <w:r w:rsidR="00431930">
        <w:rPr>
          <w:rFonts w:ascii="Arial" w:hAnsi="Arial" w:cs="Arial"/>
          <w:sz w:val="24"/>
          <w:szCs w:val="24"/>
        </w:rPr>
        <w:t>’. To minimise errors in any assumptions a range of recognised</w:t>
      </w:r>
      <w:r w:rsidRPr="004F1900">
        <w:rPr>
          <w:rFonts w:ascii="Arial" w:hAnsi="Arial" w:cs="Arial"/>
          <w:sz w:val="24"/>
          <w:szCs w:val="24"/>
        </w:rPr>
        <w:t xml:space="preserve"> economic projections </w:t>
      </w:r>
      <w:r w:rsidR="00431930">
        <w:rPr>
          <w:rFonts w:ascii="Arial" w:hAnsi="Arial" w:cs="Arial"/>
          <w:sz w:val="24"/>
          <w:szCs w:val="24"/>
        </w:rPr>
        <w:t>could be utilised</w:t>
      </w:r>
      <w:r w:rsidRPr="004F1900">
        <w:rPr>
          <w:rFonts w:ascii="Arial" w:hAnsi="Arial" w:cs="Arial"/>
          <w:sz w:val="24"/>
          <w:szCs w:val="24"/>
        </w:rPr>
        <w:t xml:space="preserve">, such as those from Oxford and Cambridge Econometrics. </w:t>
      </w:r>
      <w:r w:rsidR="00431930">
        <w:rPr>
          <w:rFonts w:ascii="Arial" w:hAnsi="Arial" w:cs="Arial"/>
          <w:sz w:val="24"/>
          <w:szCs w:val="24"/>
        </w:rPr>
        <w:t xml:space="preserve">An analysis of each would provide a reasonable basis upon which to plan for housing growth associated with employment growth. </w:t>
      </w:r>
      <w:r w:rsidR="00431930" w:rsidRPr="00431930">
        <w:rPr>
          <w:rFonts w:ascii="Arial" w:hAnsi="Arial" w:cs="Arial"/>
          <w:sz w:val="24"/>
          <w:szCs w:val="24"/>
        </w:rPr>
        <w:t>The HBF acknowledge</w:t>
      </w:r>
      <w:r w:rsidRPr="00431930">
        <w:rPr>
          <w:rFonts w:ascii="Arial" w:hAnsi="Arial" w:cs="Arial"/>
          <w:sz w:val="24"/>
          <w:szCs w:val="24"/>
        </w:rPr>
        <w:t xml:space="preserve"> that the 2012 household projections should be fed into </w:t>
      </w:r>
      <w:r w:rsidR="00431930" w:rsidRPr="00431930">
        <w:rPr>
          <w:rFonts w:ascii="Arial" w:hAnsi="Arial" w:cs="Arial"/>
          <w:sz w:val="24"/>
          <w:szCs w:val="24"/>
        </w:rPr>
        <w:t>‘Method 2’</w:t>
      </w:r>
      <w:r w:rsidRPr="00431930">
        <w:rPr>
          <w:rFonts w:ascii="Arial" w:hAnsi="Arial" w:cs="Arial"/>
          <w:sz w:val="24"/>
          <w:szCs w:val="24"/>
        </w:rPr>
        <w:t xml:space="preserve"> prior to any firm conclusions being made. Given the timescales for plan preparation this would appear entirely feasible.</w:t>
      </w:r>
    </w:p>
    <w:p w:rsidR="00D702EE" w:rsidRPr="00D702EE" w:rsidRDefault="00D702EE" w:rsidP="00A33A9F">
      <w:pPr>
        <w:autoSpaceDE w:val="0"/>
        <w:autoSpaceDN w:val="0"/>
        <w:adjustRightInd w:val="0"/>
        <w:jc w:val="both"/>
        <w:rPr>
          <w:rFonts w:ascii="Arial" w:hAnsi="Arial" w:cs="Arial"/>
          <w:bCs/>
          <w:sz w:val="24"/>
          <w:szCs w:val="24"/>
        </w:rPr>
      </w:pPr>
    </w:p>
    <w:p w:rsidR="00A33A9F" w:rsidRPr="00A33A9F" w:rsidRDefault="00A33A9F" w:rsidP="00A33A9F">
      <w:pPr>
        <w:pStyle w:val="ListParagraph"/>
        <w:numPr>
          <w:ilvl w:val="0"/>
          <w:numId w:val="6"/>
        </w:numPr>
        <w:autoSpaceDE w:val="0"/>
        <w:autoSpaceDN w:val="0"/>
        <w:adjustRightInd w:val="0"/>
        <w:jc w:val="both"/>
        <w:rPr>
          <w:rFonts w:ascii="Arial" w:hAnsi="Arial" w:cs="Arial"/>
          <w:b/>
          <w:bCs/>
          <w:sz w:val="24"/>
          <w:szCs w:val="24"/>
        </w:rPr>
      </w:pPr>
      <w:r w:rsidRPr="00A33A9F">
        <w:rPr>
          <w:rFonts w:ascii="Arial" w:hAnsi="Arial" w:cs="Arial"/>
          <w:b/>
          <w:bCs/>
          <w:sz w:val="24"/>
          <w:szCs w:val="24"/>
        </w:rPr>
        <w:t>Affordable Housing</w:t>
      </w:r>
    </w:p>
    <w:p w:rsidR="00F44C6A" w:rsidRPr="00431930" w:rsidRDefault="003C4440" w:rsidP="00431930">
      <w:pPr>
        <w:pStyle w:val="ListParagraph"/>
        <w:numPr>
          <w:ilvl w:val="0"/>
          <w:numId w:val="7"/>
        </w:numPr>
        <w:autoSpaceDE w:val="0"/>
        <w:autoSpaceDN w:val="0"/>
        <w:adjustRightInd w:val="0"/>
        <w:ind w:left="426" w:hanging="426"/>
        <w:jc w:val="both"/>
        <w:rPr>
          <w:rFonts w:ascii="Arial" w:hAnsi="Arial" w:cs="Arial"/>
          <w:bCs/>
          <w:sz w:val="24"/>
          <w:szCs w:val="24"/>
        </w:rPr>
      </w:pPr>
      <w:r w:rsidRPr="00431930">
        <w:rPr>
          <w:rFonts w:ascii="Arial" w:hAnsi="Arial" w:cs="Arial"/>
          <w:bCs/>
          <w:sz w:val="24"/>
          <w:szCs w:val="24"/>
        </w:rPr>
        <w:t xml:space="preserve">The affordability issues </w:t>
      </w:r>
      <w:r w:rsidR="00425094" w:rsidRPr="00431930">
        <w:rPr>
          <w:rFonts w:ascii="Arial" w:hAnsi="Arial" w:cs="Arial"/>
          <w:bCs/>
          <w:sz w:val="24"/>
          <w:szCs w:val="24"/>
        </w:rPr>
        <w:t xml:space="preserve">within Eden are significant, with an </w:t>
      </w:r>
      <w:r w:rsidR="00431930">
        <w:rPr>
          <w:rFonts w:ascii="Arial" w:hAnsi="Arial" w:cs="Arial"/>
          <w:bCs/>
          <w:sz w:val="24"/>
          <w:szCs w:val="24"/>
        </w:rPr>
        <w:t>affordability ratio of 6.46 it</w:t>
      </w:r>
      <w:r w:rsidR="00425094" w:rsidRPr="00431930">
        <w:rPr>
          <w:rFonts w:ascii="Arial" w:hAnsi="Arial" w:cs="Arial"/>
          <w:bCs/>
          <w:sz w:val="24"/>
          <w:szCs w:val="24"/>
        </w:rPr>
        <w:t xml:space="preserve"> is the second worst within the region and is above the national average. The </w:t>
      </w:r>
      <w:r w:rsidR="00431930">
        <w:rPr>
          <w:rFonts w:ascii="Arial" w:hAnsi="Arial" w:cs="Arial"/>
          <w:bCs/>
          <w:sz w:val="24"/>
          <w:szCs w:val="24"/>
        </w:rPr>
        <w:t>SHMA</w:t>
      </w:r>
      <w:r w:rsidR="00425094" w:rsidRPr="00431930">
        <w:rPr>
          <w:rFonts w:ascii="Arial" w:hAnsi="Arial" w:cs="Arial"/>
          <w:bCs/>
          <w:sz w:val="24"/>
          <w:szCs w:val="24"/>
        </w:rPr>
        <w:t xml:space="preserve"> useful summarises the issues of affordable need within the bullets</w:t>
      </w:r>
      <w:r w:rsidR="00431930">
        <w:rPr>
          <w:rFonts w:ascii="Arial" w:hAnsi="Arial" w:cs="Arial"/>
          <w:bCs/>
          <w:sz w:val="24"/>
          <w:szCs w:val="24"/>
        </w:rPr>
        <w:t xml:space="preserve"> at</w:t>
      </w:r>
      <w:r w:rsidR="00425094" w:rsidRPr="00431930">
        <w:rPr>
          <w:rFonts w:ascii="Arial" w:hAnsi="Arial" w:cs="Arial"/>
          <w:bCs/>
          <w:sz w:val="24"/>
          <w:szCs w:val="24"/>
        </w:rPr>
        <w:t xml:space="preserve"> paragraph 4.160</w:t>
      </w:r>
      <w:r w:rsidR="00431930">
        <w:rPr>
          <w:rFonts w:ascii="Arial" w:hAnsi="Arial" w:cs="Arial"/>
          <w:bCs/>
          <w:sz w:val="24"/>
          <w:szCs w:val="24"/>
        </w:rPr>
        <w:t>. This</w:t>
      </w:r>
      <w:r w:rsidR="00425094" w:rsidRPr="00431930">
        <w:rPr>
          <w:rFonts w:ascii="Arial" w:hAnsi="Arial" w:cs="Arial"/>
          <w:bCs/>
          <w:sz w:val="24"/>
          <w:szCs w:val="24"/>
        </w:rPr>
        <w:t xml:space="preserve"> identifies a net annual need of 61 affordable dwellings. This equates to just over 30% of the proposed housing requirement of 200dpa, the Council justifies that such a figure is achievable based upon </w:t>
      </w:r>
      <w:r w:rsidR="00431930">
        <w:rPr>
          <w:rFonts w:ascii="Arial" w:hAnsi="Arial" w:cs="Arial"/>
          <w:bCs/>
          <w:sz w:val="24"/>
          <w:szCs w:val="24"/>
        </w:rPr>
        <w:t xml:space="preserve">affordable housing </w:t>
      </w:r>
      <w:r w:rsidR="00425094" w:rsidRPr="00431930">
        <w:rPr>
          <w:rFonts w:ascii="Arial" w:hAnsi="Arial" w:cs="Arial"/>
          <w:bCs/>
          <w:sz w:val="24"/>
          <w:szCs w:val="24"/>
        </w:rPr>
        <w:t>delivery rates over the previous five years</w:t>
      </w:r>
      <w:r w:rsidR="00431930">
        <w:rPr>
          <w:rFonts w:ascii="Arial" w:hAnsi="Arial" w:cs="Arial"/>
          <w:bCs/>
          <w:sz w:val="24"/>
          <w:szCs w:val="24"/>
        </w:rPr>
        <w:t xml:space="preserve">. A simplistic analysis of this data suggests an </w:t>
      </w:r>
      <w:r w:rsidR="00425094" w:rsidRPr="00431930">
        <w:rPr>
          <w:rFonts w:ascii="Arial" w:hAnsi="Arial" w:cs="Arial"/>
          <w:bCs/>
          <w:sz w:val="24"/>
          <w:szCs w:val="24"/>
        </w:rPr>
        <w:t xml:space="preserve">average </w:t>
      </w:r>
      <w:r w:rsidR="00431930">
        <w:rPr>
          <w:rFonts w:ascii="Arial" w:hAnsi="Arial" w:cs="Arial"/>
          <w:bCs/>
          <w:sz w:val="24"/>
          <w:szCs w:val="24"/>
        </w:rPr>
        <w:t>of</w:t>
      </w:r>
      <w:r w:rsidR="00425094" w:rsidRPr="00431930">
        <w:rPr>
          <w:rFonts w:ascii="Arial" w:hAnsi="Arial" w:cs="Arial"/>
          <w:bCs/>
          <w:sz w:val="24"/>
          <w:szCs w:val="24"/>
        </w:rPr>
        <w:t xml:space="preserve"> 28</w:t>
      </w:r>
      <w:r w:rsidR="000075FD" w:rsidRPr="00431930">
        <w:rPr>
          <w:rFonts w:ascii="Arial" w:hAnsi="Arial" w:cs="Arial"/>
          <w:bCs/>
          <w:sz w:val="24"/>
          <w:szCs w:val="24"/>
        </w:rPr>
        <w:t>.5</w:t>
      </w:r>
      <w:r w:rsidR="00425094" w:rsidRPr="00431930">
        <w:rPr>
          <w:rFonts w:ascii="Arial" w:hAnsi="Arial" w:cs="Arial"/>
          <w:bCs/>
          <w:sz w:val="24"/>
          <w:szCs w:val="24"/>
        </w:rPr>
        <w:t>% of the net dwelling</w:t>
      </w:r>
      <w:r w:rsidR="00431930">
        <w:rPr>
          <w:rFonts w:ascii="Arial" w:hAnsi="Arial" w:cs="Arial"/>
          <w:bCs/>
          <w:sz w:val="24"/>
          <w:szCs w:val="24"/>
        </w:rPr>
        <w:t>s completed were affordable. If these</w:t>
      </w:r>
      <w:r w:rsidR="00425094" w:rsidRPr="00431930">
        <w:rPr>
          <w:rFonts w:ascii="Arial" w:hAnsi="Arial" w:cs="Arial"/>
          <w:bCs/>
          <w:sz w:val="24"/>
          <w:szCs w:val="24"/>
        </w:rPr>
        <w:t xml:space="preserve"> past rates of affordable housing delivery were carried forward over the plan period </w:t>
      </w:r>
      <w:r w:rsidR="000075FD" w:rsidRPr="00431930">
        <w:rPr>
          <w:rFonts w:ascii="Arial" w:hAnsi="Arial" w:cs="Arial"/>
          <w:bCs/>
          <w:sz w:val="24"/>
          <w:szCs w:val="24"/>
        </w:rPr>
        <w:t xml:space="preserve">a dwelling requirement of at least 204dpa would be needed. </w:t>
      </w:r>
      <w:r w:rsidR="00F44C6A" w:rsidRPr="00431930">
        <w:rPr>
          <w:rFonts w:ascii="Arial" w:hAnsi="Arial" w:cs="Arial"/>
          <w:bCs/>
          <w:sz w:val="24"/>
          <w:szCs w:val="24"/>
        </w:rPr>
        <w:t>However</w:t>
      </w:r>
      <w:r w:rsidR="000075FD" w:rsidRPr="00431930">
        <w:rPr>
          <w:rFonts w:ascii="Arial" w:hAnsi="Arial" w:cs="Arial"/>
          <w:bCs/>
          <w:sz w:val="24"/>
          <w:szCs w:val="24"/>
        </w:rPr>
        <w:t xml:space="preserve"> the data</w:t>
      </w:r>
      <w:r w:rsidR="00F44C6A" w:rsidRPr="00431930">
        <w:rPr>
          <w:rFonts w:ascii="Arial" w:hAnsi="Arial" w:cs="Arial"/>
          <w:bCs/>
          <w:sz w:val="24"/>
          <w:szCs w:val="24"/>
        </w:rPr>
        <w:t>, included within the study,</w:t>
      </w:r>
      <w:r w:rsidR="000075FD" w:rsidRPr="00431930">
        <w:rPr>
          <w:rFonts w:ascii="Arial" w:hAnsi="Arial" w:cs="Arial"/>
          <w:bCs/>
          <w:sz w:val="24"/>
          <w:szCs w:val="24"/>
        </w:rPr>
        <w:t xml:space="preserve"> from the last five years must be viewed with caution</w:t>
      </w:r>
      <w:r w:rsidR="00F44C6A" w:rsidRPr="00431930">
        <w:rPr>
          <w:rFonts w:ascii="Arial" w:hAnsi="Arial" w:cs="Arial"/>
          <w:bCs/>
          <w:sz w:val="24"/>
          <w:szCs w:val="24"/>
        </w:rPr>
        <w:t xml:space="preserve">. This is </w:t>
      </w:r>
      <w:r w:rsidR="00431930">
        <w:rPr>
          <w:rFonts w:ascii="Arial" w:hAnsi="Arial" w:cs="Arial"/>
          <w:bCs/>
          <w:sz w:val="24"/>
          <w:szCs w:val="24"/>
        </w:rPr>
        <w:t>because</w:t>
      </w:r>
      <w:r w:rsidR="00F44C6A" w:rsidRPr="00431930">
        <w:rPr>
          <w:rFonts w:ascii="Arial" w:hAnsi="Arial" w:cs="Arial"/>
          <w:bCs/>
          <w:sz w:val="24"/>
          <w:szCs w:val="24"/>
        </w:rPr>
        <w:t>;</w:t>
      </w:r>
    </w:p>
    <w:p w:rsidR="00F44C6A" w:rsidRDefault="00F44C6A" w:rsidP="00A33A9F">
      <w:pPr>
        <w:autoSpaceDE w:val="0"/>
        <w:autoSpaceDN w:val="0"/>
        <w:adjustRightInd w:val="0"/>
        <w:jc w:val="both"/>
        <w:rPr>
          <w:rFonts w:ascii="Arial" w:hAnsi="Arial" w:cs="Arial"/>
          <w:bCs/>
          <w:sz w:val="24"/>
          <w:szCs w:val="24"/>
        </w:rPr>
      </w:pPr>
    </w:p>
    <w:p w:rsidR="009A2553" w:rsidRDefault="00F44C6A" w:rsidP="00F44C6A">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The figures do not accurately tally with those within the</w:t>
      </w:r>
      <w:r w:rsidR="009A2553">
        <w:rPr>
          <w:rFonts w:ascii="Arial" w:hAnsi="Arial" w:cs="Arial"/>
          <w:bCs/>
          <w:sz w:val="24"/>
          <w:szCs w:val="24"/>
        </w:rPr>
        <w:t xml:space="preserve"> Council’s</w:t>
      </w:r>
      <w:r>
        <w:rPr>
          <w:rFonts w:ascii="Arial" w:hAnsi="Arial" w:cs="Arial"/>
          <w:bCs/>
          <w:sz w:val="24"/>
          <w:szCs w:val="24"/>
        </w:rPr>
        <w:t xml:space="preserve"> </w:t>
      </w:r>
      <w:r w:rsidR="009A2553">
        <w:rPr>
          <w:rFonts w:ascii="Arial" w:hAnsi="Arial" w:cs="Arial"/>
          <w:bCs/>
          <w:sz w:val="24"/>
          <w:szCs w:val="24"/>
        </w:rPr>
        <w:t xml:space="preserve">2014/15 </w:t>
      </w:r>
      <w:r w:rsidR="00431930" w:rsidRPr="00431930">
        <w:rPr>
          <w:rFonts w:ascii="Arial" w:hAnsi="Arial" w:cs="Arial"/>
          <w:bCs/>
          <w:i/>
          <w:sz w:val="24"/>
          <w:szCs w:val="24"/>
        </w:rPr>
        <w:t>‘</w:t>
      </w:r>
      <w:r w:rsidR="009A2553" w:rsidRPr="00431930">
        <w:rPr>
          <w:rFonts w:ascii="Arial" w:hAnsi="Arial" w:cs="Arial"/>
          <w:bCs/>
          <w:i/>
          <w:sz w:val="24"/>
          <w:szCs w:val="24"/>
        </w:rPr>
        <w:t>Housing Land Supply</w:t>
      </w:r>
      <w:r w:rsidR="00431930" w:rsidRPr="00431930">
        <w:rPr>
          <w:rFonts w:ascii="Arial" w:hAnsi="Arial" w:cs="Arial"/>
          <w:bCs/>
          <w:i/>
          <w:sz w:val="24"/>
          <w:szCs w:val="24"/>
        </w:rPr>
        <w:t>’</w:t>
      </w:r>
      <w:r w:rsidR="009A2553" w:rsidRPr="00431930">
        <w:rPr>
          <w:rFonts w:ascii="Arial" w:hAnsi="Arial" w:cs="Arial"/>
          <w:bCs/>
          <w:i/>
          <w:sz w:val="24"/>
          <w:szCs w:val="24"/>
        </w:rPr>
        <w:t xml:space="preserve"> </w:t>
      </w:r>
      <w:r w:rsidR="009A2553">
        <w:rPr>
          <w:rFonts w:ascii="Arial" w:hAnsi="Arial" w:cs="Arial"/>
          <w:bCs/>
          <w:sz w:val="24"/>
          <w:szCs w:val="24"/>
        </w:rPr>
        <w:t xml:space="preserve">report or the July 2015 consultation document </w:t>
      </w:r>
      <w:r w:rsidR="00431930" w:rsidRPr="00431930">
        <w:rPr>
          <w:rFonts w:ascii="Arial" w:hAnsi="Arial" w:cs="Arial"/>
          <w:bCs/>
          <w:i/>
          <w:sz w:val="24"/>
          <w:szCs w:val="24"/>
        </w:rPr>
        <w:t>‘</w:t>
      </w:r>
      <w:r w:rsidR="009A2553" w:rsidRPr="00431930">
        <w:rPr>
          <w:rFonts w:ascii="Arial" w:hAnsi="Arial" w:cs="Arial"/>
          <w:bCs/>
          <w:i/>
          <w:sz w:val="24"/>
          <w:szCs w:val="24"/>
        </w:rPr>
        <w:t>Housing Land Assessment</w:t>
      </w:r>
      <w:r w:rsidR="00431930" w:rsidRPr="00431930">
        <w:rPr>
          <w:rFonts w:ascii="Arial" w:hAnsi="Arial" w:cs="Arial"/>
          <w:bCs/>
          <w:i/>
          <w:sz w:val="24"/>
          <w:szCs w:val="24"/>
        </w:rPr>
        <w:t>’</w:t>
      </w:r>
      <w:r w:rsidR="009A2553">
        <w:rPr>
          <w:rFonts w:ascii="Arial" w:hAnsi="Arial" w:cs="Arial"/>
          <w:bCs/>
          <w:sz w:val="24"/>
          <w:szCs w:val="24"/>
        </w:rPr>
        <w:t xml:space="preserve"> which show gross completions to be at 788 units over the five year period. This is lower than the reported net completions in the table at paragraph </w:t>
      </w:r>
      <w:r w:rsidR="000B0F03">
        <w:rPr>
          <w:rFonts w:ascii="Arial" w:hAnsi="Arial" w:cs="Arial"/>
          <w:bCs/>
          <w:sz w:val="24"/>
          <w:szCs w:val="24"/>
        </w:rPr>
        <w:t>4.160 (790 dwellings)</w:t>
      </w:r>
      <w:r w:rsidR="001A52B9">
        <w:rPr>
          <w:rFonts w:ascii="Arial" w:hAnsi="Arial" w:cs="Arial"/>
          <w:bCs/>
          <w:sz w:val="24"/>
          <w:szCs w:val="24"/>
        </w:rPr>
        <w:t>. Given net completions are invariably lower, and never higher, than gross completions</w:t>
      </w:r>
      <w:r w:rsidR="000B0F03">
        <w:rPr>
          <w:rFonts w:ascii="Arial" w:hAnsi="Arial" w:cs="Arial"/>
          <w:bCs/>
          <w:sz w:val="24"/>
          <w:szCs w:val="24"/>
        </w:rPr>
        <w:t xml:space="preserve"> </w:t>
      </w:r>
      <w:r w:rsidR="001A52B9">
        <w:rPr>
          <w:rFonts w:ascii="Arial" w:hAnsi="Arial" w:cs="Arial"/>
          <w:bCs/>
          <w:sz w:val="24"/>
          <w:szCs w:val="24"/>
        </w:rPr>
        <w:t>this</w:t>
      </w:r>
      <w:r w:rsidR="000B0F03">
        <w:rPr>
          <w:rFonts w:ascii="Arial" w:hAnsi="Arial" w:cs="Arial"/>
          <w:bCs/>
          <w:sz w:val="24"/>
          <w:szCs w:val="24"/>
        </w:rPr>
        <w:t xml:space="preserve"> draws into question the validity of the data</w:t>
      </w:r>
      <w:r w:rsidR="001A52B9">
        <w:rPr>
          <w:rFonts w:ascii="Arial" w:hAnsi="Arial" w:cs="Arial"/>
          <w:bCs/>
          <w:sz w:val="24"/>
          <w:szCs w:val="24"/>
        </w:rPr>
        <w:t xml:space="preserve"> presented</w:t>
      </w:r>
      <w:r w:rsidR="000B0F03">
        <w:rPr>
          <w:rFonts w:ascii="Arial" w:hAnsi="Arial" w:cs="Arial"/>
          <w:bCs/>
          <w:sz w:val="24"/>
          <w:szCs w:val="24"/>
        </w:rPr>
        <w:t>. The problem appears to be within the data for April 2011 to March 2012;</w:t>
      </w:r>
    </w:p>
    <w:p w:rsidR="000B0F03" w:rsidRDefault="000B0F03" w:rsidP="00A33A9F">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 xml:space="preserve">The figures are </w:t>
      </w:r>
      <w:r w:rsidR="000075FD" w:rsidRPr="000B0F03">
        <w:rPr>
          <w:rFonts w:ascii="Arial" w:hAnsi="Arial" w:cs="Arial"/>
          <w:bCs/>
          <w:sz w:val="24"/>
          <w:szCs w:val="24"/>
        </w:rPr>
        <w:t xml:space="preserve">heavily influenced by an outlier year </w:t>
      </w:r>
      <w:r w:rsidR="001A52B9">
        <w:rPr>
          <w:rFonts w:ascii="Arial" w:hAnsi="Arial" w:cs="Arial"/>
          <w:bCs/>
          <w:sz w:val="24"/>
          <w:szCs w:val="24"/>
        </w:rPr>
        <w:t>(</w:t>
      </w:r>
      <w:r w:rsidR="000075FD" w:rsidRPr="000B0F03">
        <w:rPr>
          <w:rFonts w:ascii="Arial" w:hAnsi="Arial" w:cs="Arial"/>
          <w:bCs/>
          <w:sz w:val="24"/>
          <w:szCs w:val="24"/>
        </w:rPr>
        <w:t>2012/13</w:t>
      </w:r>
      <w:r w:rsidR="001A52B9">
        <w:rPr>
          <w:rFonts w:ascii="Arial" w:hAnsi="Arial" w:cs="Arial"/>
          <w:bCs/>
          <w:sz w:val="24"/>
          <w:szCs w:val="24"/>
        </w:rPr>
        <w:t>)</w:t>
      </w:r>
      <w:r w:rsidR="000075FD" w:rsidRPr="000B0F03">
        <w:rPr>
          <w:rFonts w:ascii="Arial" w:hAnsi="Arial" w:cs="Arial"/>
          <w:bCs/>
          <w:sz w:val="24"/>
          <w:szCs w:val="24"/>
        </w:rPr>
        <w:t xml:space="preserve"> when approximately 53% of all net dwelling completions were affordable, presumably this was due to a specific scheme</w:t>
      </w:r>
      <w:r>
        <w:rPr>
          <w:rFonts w:ascii="Arial" w:hAnsi="Arial" w:cs="Arial"/>
          <w:bCs/>
          <w:sz w:val="24"/>
          <w:szCs w:val="24"/>
        </w:rPr>
        <w:t>; and</w:t>
      </w:r>
    </w:p>
    <w:p w:rsidR="001A52B9" w:rsidRDefault="000B0F03" w:rsidP="001A52B9">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 xml:space="preserve">In only one year </w:t>
      </w:r>
      <w:r w:rsidR="001A52B9">
        <w:rPr>
          <w:rFonts w:ascii="Arial" w:hAnsi="Arial" w:cs="Arial"/>
          <w:bCs/>
          <w:sz w:val="24"/>
          <w:szCs w:val="24"/>
        </w:rPr>
        <w:t>did the number of dwellings meet the proposed plan requirement (200dpa)</w:t>
      </w:r>
      <w:r>
        <w:rPr>
          <w:rFonts w:ascii="Arial" w:hAnsi="Arial" w:cs="Arial"/>
          <w:bCs/>
          <w:sz w:val="24"/>
          <w:szCs w:val="24"/>
        </w:rPr>
        <w:t xml:space="preserve">, </w:t>
      </w:r>
      <w:r w:rsidR="001A52B9">
        <w:rPr>
          <w:rFonts w:ascii="Arial" w:hAnsi="Arial" w:cs="Arial"/>
          <w:bCs/>
          <w:sz w:val="24"/>
          <w:szCs w:val="24"/>
        </w:rPr>
        <w:t>as such it is difficult to determine if such levels of affordable housing would hold true if higher delivery rates were achieved</w:t>
      </w:r>
      <w:r w:rsidRPr="001A52B9">
        <w:rPr>
          <w:rFonts w:ascii="Arial" w:hAnsi="Arial" w:cs="Arial"/>
          <w:bCs/>
          <w:sz w:val="24"/>
          <w:szCs w:val="24"/>
        </w:rPr>
        <w:t>.</w:t>
      </w:r>
    </w:p>
    <w:p w:rsidR="000B0F03" w:rsidRPr="001A52B9" w:rsidRDefault="000B0F03" w:rsidP="001A52B9">
      <w:pPr>
        <w:pStyle w:val="ListParagraph"/>
        <w:autoSpaceDE w:val="0"/>
        <w:autoSpaceDN w:val="0"/>
        <w:adjustRightInd w:val="0"/>
        <w:jc w:val="both"/>
        <w:rPr>
          <w:rFonts w:ascii="Arial" w:hAnsi="Arial" w:cs="Arial"/>
          <w:bCs/>
          <w:sz w:val="24"/>
          <w:szCs w:val="24"/>
        </w:rPr>
      </w:pPr>
      <w:r w:rsidRPr="001A52B9">
        <w:rPr>
          <w:rFonts w:ascii="Arial" w:hAnsi="Arial" w:cs="Arial"/>
          <w:bCs/>
          <w:sz w:val="24"/>
          <w:szCs w:val="24"/>
        </w:rPr>
        <w:t xml:space="preserve"> </w:t>
      </w:r>
      <w:r w:rsidR="000075FD" w:rsidRPr="001A52B9">
        <w:rPr>
          <w:rFonts w:ascii="Arial" w:hAnsi="Arial" w:cs="Arial"/>
          <w:bCs/>
          <w:sz w:val="24"/>
          <w:szCs w:val="24"/>
        </w:rPr>
        <w:t xml:space="preserve"> </w:t>
      </w:r>
    </w:p>
    <w:p w:rsidR="00A33A9F" w:rsidRPr="001A52B9" w:rsidRDefault="000B0F03" w:rsidP="001A52B9">
      <w:pPr>
        <w:pStyle w:val="ListParagraph"/>
        <w:numPr>
          <w:ilvl w:val="0"/>
          <w:numId w:val="7"/>
        </w:numPr>
        <w:autoSpaceDE w:val="0"/>
        <w:autoSpaceDN w:val="0"/>
        <w:adjustRightInd w:val="0"/>
        <w:ind w:left="426" w:hanging="426"/>
        <w:jc w:val="both"/>
        <w:rPr>
          <w:rFonts w:ascii="Arial" w:hAnsi="Arial" w:cs="Arial"/>
          <w:bCs/>
          <w:sz w:val="24"/>
          <w:szCs w:val="24"/>
        </w:rPr>
      </w:pPr>
      <w:r w:rsidRPr="001A52B9">
        <w:rPr>
          <w:rFonts w:ascii="Arial" w:hAnsi="Arial" w:cs="Arial"/>
          <w:bCs/>
          <w:sz w:val="24"/>
          <w:szCs w:val="24"/>
        </w:rPr>
        <w:t>The table below illustrates that if</w:t>
      </w:r>
      <w:r w:rsidR="000075FD" w:rsidRPr="001A52B9">
        <w:rPr>
          <w:rFonts w:ascii="Arial" w:hAnsi="Arial" w:cs="Arial"/>
          <w:bCs/>
          <w:sz w:val="24"/>
          <w:szCs w:val="24"/>
        </w:rPr>
        <w:t xml:space="preserve"> the percentages </w:t>
      </w:r>
      <w:r w:rsidR="001A52B9">
        <w:rPr>
          <w:rFonts w:ascii="Arial" w:hAnsi="Arial" w:cs="Arial"/>
          <w:bCs/>
          <w:sz w:val="24"/>
          <w:szCs w:val="24"/>
        </w:rPr>
        <w:t>from</w:t>
      </w:r>
      <w:r w:rsidR="000075FD" w:rsidRPr="001A52B9">
        <w:rPr>
          <w:rFonts w:ascii="Arial" w:hAnsi="Arial" w:cs="Arial"/>
          <w:bCs/>
          <w:sz w:val="24"/>
          <w:szCs w:val="24"/>
        </w:rPr>
        <w:t xml:space="preserve"> all other years are considered the annual delivery is consistently around 17 to 18% of net c</w:t>
      </w:r>
      <w:r w:rsidR="001A52B9">
        <w:rPr>
          <w:rFonts w:ascii="Arial" w:hAnsi="Arial" w:cs="Arial"/>
          <w:bCs/>
          <w:sz w:val="24"/>
          <w:szCs w:val="24"/>
        </w:rPr>
        <w:t>ompletions. I</w:t>
      </w:r>
      <w:r w:rsidRPr="001A52B9">
        <w:rPr>
          <w:rFonts w:ascii="Arial" w:hAnsi="Arial" w:cs="Arial"/>
          <w:bCs/>
          <w:sz w:val="24"/>
          <w:szCs w:val="24"/>
        </w:rPr>
        <w:t>f gross completions are considered and removing the anomalous year 2011/12 they stand slightly lower</w:t>
      </w:r>
      <w:r w:rsidR="000075FD" w:rsidRPr="001A52B9">
        <w:rPr>
          <w:rFonts w:ascii="Arial" w:hAnsi="Arial" w:cs="Arial"/>
          <w:bCs/>
          <w:sz w:val="24"/>
          <w:szCs w:val="24"/>
        </w:rPr>
        <w:t>.</w:t>
      </w:r>
    </w:p>
    <w:p w:rsidR="000075FD" w:rsidRDefault="000075FD" w:rsidP="00A33A9F">
      <w:pPr>
        <w:autoSpaceDE w:val="0"/>
        <w:autoSpaceDN w:val="0"/>
        <w:adjustRightInd w:val="0"/>
        <w:jc w:val="both"/>
        <w:rPr>
          <w:rFonts w:ascii="Arial" w:hAnsi="Arial" w:cs="Arial"/>
          <w:bCs/>
          <w:sz w:val="24"/>
          <w:szCs w:val="24"/>
        </w:rPr>
      </w:pPr>
    </w:p>
    <w:tbl>
      <w:tblPr>
        <w:tblStyle w:val="TableGrid"/>
        <w:tblW w:w="0" w:type="auto"/>
        <w:tblLook w:val="04A0" w:firstRow="1" w:lastRow="0" w:firstColumn="1" w:lastColumn="0" w:noHBand="0" w:noVBand="1"/>
      </w:tblPr>
      <w:tblGrid>
        <w:gridCol w:w="2046"/>
        <w:gridCol w:w="1907"/>
        <w:gridCol w:w="989"/>
        <w:gridCol w:w="1183"/>
        <w:gridCol w:w="994"/>
        <w:gridCol w:w="1183"/>
      </w:tblGrid>
      <w:tr w:rsidR="00F44C6A" w:rsidTr="00F44C6A">
        <w:tc>
          <w:tcPr>
            <w:tcW w:w="2122" w:type="dxa"/>
            <w:vMerge w:val="restart"/>
          </w:tcPr>
          <w:p w:rsidR="00F44C6A" w:rsidRPr="001A52B9" w:rsidRDefault="00F44C6A" w:rsidP="00F44C6A">
            <w:pPr>
              <w:autoSpaceDE w:val="0"/>
              <w:autoSpaceDN w:val="0"/>
              <w:adjustRightInd w:val="0"/>
              <w:jc w:val="center"/>
              <w:rPr>
                <w:rFonts w:ascii="Arial" w:hAnsi="Arial" w:cs="Arial"/>
                <w:b/>
                <w:bCs/>
                <w:sz w:val="22"/>
                <w:szCs w:val="22"/>
              </w:rPr>
            </w:pPr>
            <w:r w:rsidRPr="001A52B9">
              <w:rPr>
                <w:rFonts w:ascii="Arial" w:hAnsi="Arial" w:cs="Arial"/>
                <w:b/>
                <w:bCs/>
                <w:sz w:val="22"/>
                <w:szCs w:val="22"/>
              </w:rPr>
              <w:t>Date</w:t>
            </w:r>
          </w:p>
        </w:tc>
        <w:tc>
          <w:tcPr>
            <w:tcW w:w="1940" w:type="dxa"/>
            <w:vMerge w:val="restart"/>
          </w:tcPr>
          <w:p w:rsidR="00F44C6A" w:rsidRPr="001A52B9" w:rsidRDefault="00F44C6A" w:rsidP="00F44C6A">
            <w:pPr>
              <w:autoSpaceDE w:val="0"/>
              <w:autoSpaceDN w:val="0"/>
              <w:adjustRightInd w:val="0"/>
              <w:jc w:val="center"/>
              <w:rPr>
                <w:rFonts w:ascii="Arial" w:hAnsi="Arial" w:cs="Arial"/>
                <w:b/>
                <w:bCs/>
                <w:sz w:val="22"/>
                <w:szCs w:val="22"/>
              </w:rPr>
            </w:pPr>
            <w:r w:rsidRPr="001A52B9">
              <w:rPr>
                <w:rFonts w:ascii="Arial" w:hAnsi="Arial" w:cs="Arial"/>
                <w:b/>
                <w:bCs/>
                <w:sz w:val="22"/>
                <w:szCs w:val="22"/>
              </w:rPr>
              <w:t>Affordable Units</w:t>
            </w:r>
          </w:p>
        </w:tc>
        <w:tc>
          <w:tcPr>
            <w:tcW w:w="2120" w:type="dxa"/>
            <w:gridSpan w:val="2"/>
          </w:tcPr>
          <w:p w:rsidR="00F44C6A" w:rsidRPr="001A52B9" w:rsidRDefault="00F44C6A" w:rsidP="00F44C6A">
            <w:pPr>
              <w:autoSpaceDE w:val="0"/>
              <w:autoSpaceDN w:val="0"/>
              <w:adjustRightInd w:val="0"/>
              <w:jc w:val="center"/>
              <w:rPr>
                <w:rFonts w:ascii="Arial" w:hAnsi="Arial" w:cs="Arial"/>
                <w:b/>
                <w:bCs/>
                <w:sz w:val="22"/>
                <w:szCs w:val="22"/>
              </w:rPr>
            </w:pPr>
            <w:r w:rsidRPr="001A52B9">
              <w:rPr>
                <w:rFonts w:ascii="Arial" w:hAnsi="Arial" w:cs="Arial"/>
                <w:b/>
                <w:bCs/>
                <w:sz w:val="22"/>
                <w:szCs w:val="22"/>
              </w:rPr>
              <w:t>Net Units</w:t>
            </w:r>
          </w:p>
        </w:tc>
        <w:tc>
          <w:tcPr>
            <w:tcW w:w="2120" w:type="dxa"/>
            <w:gridSpan w:val="2"/>
          </w:tcPr>
          <w:p w:rsidR="00F44C6A" w:rsidRPr="001A52B9" w:rsidRDefault="00F44C6A" w:rsidP="00F44C6A">
            <w:pPr>
              <w:autoSpaceDE w:val="0"/>
              <w:autoSpaceDN w:val="0"/>
              <w:adjustRightInd w:val="0"/>
              <w:jc w:val="center"/>
              <w:rPr>
                <w:rFonts w:ascii="Arial" w:hAnsi="Arial" w:cs="Arial"/>
                <w:b/>
                <w:bCs/>
                <w:sz w:val="22"/>
                <w:szCs w:val="22"/>
              </w:rPr>
            </w:pPr>
            <w:r w:rsidRPr="001A52B9">
              <w:rPr>
                <w:rFonts w:ascii="Arial" w:hAnsi="Arial" w:cs="Arial"/>
                <w:b/>
                <w:bCs/>
                <w:sz w:val="22"/>
                <w:szCs w:val="22"/>
              </w:rPr>
              <w:t>Gross Units</w:t>
            </w:r>
          </w:p>
        </w:tc>
      </w:tr>
      <w:tr w:rsidR="00F44C6A" w:rsidTr="00F44C6A">
        <w:tc>
          <w:tcPr>
            <w:tcW w:w="2122" w:type="dxa"/>
            <w:vMerge/>
          </w:tcPr>
          <w:p w:rsidR="00F44C6A" w:rsidRDefault="00F44C6A" w:rsidP="00A33A9F">
            <w:pPr>
              <w:autoSpaceDE w:val="0"/>
              <w:autoSpaceDN w:val="0"/>
              <w:adjustRightInd w:val="0"/>
              <w:jc w:val="both"/>
              <w:rPr>
                <w:rFonts w:ascii="Arial" w:hAnsi="Arial" w:cs="Arial"/>
                <w:bCs/>
                <w:sz w:val="24"/>
                <w:szCs w:val="24"/>
              </w:rPr>
            </w:pPr>
          </w:p>
        </w:tc>
        <w:tc>
          <w:tcPr>
            <w:tcW w:w="1940" w:type="dxa"/>
            <w:vMerge/>
          </w:tcPr>
          <w:p w:rsidR="00F44C6A" w:rsidRDefault="00F44C6A" w:rsidP="00A33A9F">
            <w:pPr>
              <w:autoSpaceDE w:val="0"/>
              <w:autoSpaceDN w:val="0"/>
              <w:adjustRightInd w:val="0"/>
              <w:jc w:val="both"/>
              <w:rPr>
                <w:rFonts w:ascii="Arial" w:hAnsi="Arial" w:cs="Arial"/>
                <w:bCs/>
                <w:sz w:val="24"/>
                <w:szCs w:val="24"/>
              </w:rPr>
            </w:pPr>
          </w:p>
        </w:tc>
        <w:tc>
          <w:tcPr>
            <w:tcW w:w="1014" w:type="dxa"/>
          </w:tcPr>
          <w:p w:rsidR="00F44C6A" w:rsidRPr="001A52B9" w:rsidRDefault="00F44C6A" w:rsidP="00F44C6A">
            <w:pPr>
              <w:autoSpaceDE w:val="0"/>
              <w:autoSpaceDN w:val="0"/>
              <w:adjustRightInd w:val="0"/>
              <w:jc w:val="center"/>
              <w:rPr>
                <w:rFonts w:ascii="Arial" w:hAnsi="Arial" w:cs="Arial"/>
                <w:b/>
                <w:bCs/>
              </w:rPr>
            </w:pPr>
            <w:r w:rsidRPr="001A52B9">
              <w:rPr>
                <w:rFonts w:ascii="Arial" w:hAnsi="Arial" w:cs="Arial"/>
                <w:b/>
                <w:bCs/>
              </w:rPr>
              <w:t>All</w:t>
            </w:r>
          </w:p>
        </w:tc>
        <w:tc>
          <w:tcPr>
            <w:tcW w:w="1106" w:type="dxa"/>
          </w:tcPr>
          <w:p w:rsidR="00F44C6A" w:rsidRPr="001A52B9" w:rsidRDefault="00F44C6A" w:rsidP="00F44C6A">
            <w:pPr>
              <w:autoSpaceDE w:val="0"/>
              <w:autoSpaceDN w:val="0"/>
              <w:adjustRightInd w:val="0"/>
              <w:jc w:val="center"/>
              <w:rPr>
                <w:rFonts w:ascii="Arial" w:hAnsi="Arial" w:cs="Arial"/>
                <w:b/>
                <w:bCs/>
              </w:rPr>
            </w:pPr>
            <w:r w:rsidRPr="001A52B9">
              <w:rPr>
                <w:rFonts w:ascii="Arial" w:hAnsi="Arial" w:cs="Arial"/>
                <w:b/>
                <w:bCs/>
              </w:rPr>
              <w:t>% affordable</w:t>
            </w:r>
          </w:p>
        </w:tc>
        <w:tc>
          <w:tcPr>
            <w:tcW w:w="1014" w:type="dxa"/>
          </w:tcPr>
          <w:p w:rsidR="00F44C6A" w:rsidRPr="001A52B9" w:rsidRDefault="00F44C6A" w:rsidP="00F44C6A">
            <w:pPr>
              <w:autoSpaceDE w:val="0"/>
              <w:autoSpaceDN w:val="0"/>
              <w:adjustRightInd w:val="0"/>
              <w:jc w:val="center"/>
              <w:rPr>
                <w:rFonts w:ascii="Arial" w:hAnsi="Arial" w:cs="Arial"/>
                <w:b/>
                <w:bCs/>
              </w:rPr>
            </w:pPr>
            <w:r w:rsidRPr="001A52B9">
              <w:rPr>
                <w:rFonts w:ascii="Arial" w:hAnsi="Arial" w:cs="Arial"/>
                <w:b/>
                <w:bCs/>
              </w:rPr>
              <w:t>All</w:t>
            </w:r>
          </w:p>
        </w:tc>
        <w:tc>
          <w:tcPr>
            <w:tcW w:w="1106" w:type="dxa"/>
          </w:tcPr>
          <w:p w:rsidR="00F44C6A" w:rsidRPr="001A52B9" w:rsidRDefault="00F44C6A" w:rsidP="00F44C6A">
            <w:pPr>
              <w:autoSpaceDE w:val="0"/>
              <w:autoSpaceDN w:val="0"/>
              <w:adjustRightInd w:val="0"/>
              <w:jc w:val="center"/>
              <w:rPr>
                <w:rFonts w:ascii="Arial" w:hAnsi="Arial" w:cs="Arial"/>
                <w:b/>
                <w:bCs/>
              </w:rPr>
            </w:pPr>
            <w:r w:rsidRPr="001A52B9">
              <w:rPr>
                <w:rFonts w:ascii="Arial" w:hAnsi="Arial" w:cs="Arial"/>
                <w:b/>
                <w:bCs/>
              </w:rPr>
              <w:t>% affordable</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sidRPr="00F44C6A">
              <w:rPr>
                <w:rFonts w:ascii="Arial" w:hAnsi="Arial" w:cs="Arial"/>
                <w:bCs/>
              </w:rPr>
              <w:t>Apr 2010 – Mar 2011</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22</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129</w:t>
            </w:r>
          </w:p>
        </w:tc>
        <w:tc>
          <w:tcPr>
            <w:tcW w:w="1106"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17</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141</w:t>
            </w:r>
          </w:p>
        </w:tc>
        <w:tc>
          <w:tcPr>
            <w:tcW w:w="1106" w:type="dxa"/>
          </w:tcPr>
          <w:p w:rsidR="00F44C6A" w:rsidRPr="00F44C6A" w:rsidRDefault="000B0F03" w:rsidP="00A33A9F">
            <w:pPr>
              <w:autoSpaceDE w:val="0"/>
              <w:autoSpaceDN w:val="0"/>
              <w:adjustRightInd w:val="0"/>
              <w:jc w:val="both"/>
              <w:rPr>
                <w:rFonts w:ascii="Arial" w:hAnsi="Arial" w:cs="Arial"/>
                <w:bCs/>
              </w:rPr>
            </w:pPr>
            <w:r>
              <w:rPr>
                <w:rFonts w:ascii="Arial" w:hAnsi="Arial" w:cs="Arial"/>
                <w:bCs/>
              </w:rPr>
              <w:t>16</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Apr 2011 – Mar 2012</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22</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121</w:t>
            </w:r>
          </w:p>
        </w:tc>
        <w:tc>
          <w:tcPr>
            <w:tcW w:w="1106"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18</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105*</w:t>
            </w:r>
          </w:p>
        </w:tc>
        <w:tc>
          <w:tcPr>
            <w:tcW w:w="1106" w:type="dxa"/>
          </w:tcPr>
          <w:p w:rsidR="00F44C6A" w:rsidRPr="00F44C6A" w:rsidRDefault="000B0F03" w:rsidP="00A33A9F">
            <w:pPr>
              <w:autoSpaceDE w:val="0"/>
              <w:autoSpaceDN w:val="0"/>
              <w:adjustRightInd w:val="0"/>
              <w:jc w:val="both"/>
              <w:rPr>
                <w:rFonts w:ascii="Arial" w:hAnsi="Arial" w:cs="Arial"/>
                <w:bCs/>
              </w:rPr>
            </w:pPr>
            <w:r>
              <w:rPr>
                <w:rFonts w:ascii="Arial" w:hAnsi="Arial" w:cs="Arial"/>
                <w:bCs/>
              </w:rPr>
              <w:t>21*</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Apr 2012 – Mar 2013</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125</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237</w:t>
            </w:r>
          </w:p>
        </w:tc>
        <w:tc>
          <w:tcPr>
            <w:tcW w:w="1106"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53</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238</w:t>
            </w:r>
          </w:p>
        </w:tc>
        <w:tc>
          <w:tcPr>
            <w:tcW w:w="1106" w:type="dxa"/>
          </w:tcPr>
          <w:p w:rsidR="00F44C6A" w:rsidRPr="00F44C6A" w:rsidRDefault="000B0F03" w:rsidP="00A33A9F">
            <w:pPr>
              <w:autoSpaceDE w:val="0"/>
              <w:autoSpaceDN w:val="0"/>
              <w:adjustRightInd w:val="0"/>
              <w:jc w:val="both"/>
              <w:rPr>
                <w:rFonts w:ascii="Arial" w:hAnsi="Arial" w:cs="Arial"/>
                <w:bCs/>
              </w:rPr>
            </w:pPr>
            <w:r>
              <w:rPr>
                <w:rFonts w:ascii="Arial" w:hAnsi="Arial" w:cs="Arial"/>
                <w:bCs/>
              </w:rPr>
              <w:t>53</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Apr 2013 – Mar 2014</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32</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174</w:t>
            </w:r>
          </w:p>
        </w:tc>
        <w:tc>
          <w:tcPr>
            <w:tcW w:w="1106"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18</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175</w:t>
            </w:r>
          </w:p>
        </w:tc>
        <w:tc>
          <w:tcPr>
            <w:tcW w:w="1106" w:type="dxa"/>
          </w:tcPr>
          <w:p w:rsidR="00F44C6A" w:rsidRPr="00F44C6A" w:rsidRDefault="000B0F03" w:rsidP="00A33A9F">
            <w:pPr>
              <w:autoSpaceDE w:val="0"/>
              <w:autoSpaceDN w:val="0"/>
              <w:adjustRightInd w:val="0"/>
              <w:jc w:val="both"/>
              <w:rPr>
                <w:rFonts w:ascii="Arial" w:hAnsi="Arial" w:cs="Arial"/>
                <w:bCs/>
              </w:rPr>
            </w:pPr>
            <w:r>
              <w:rPr>
                <w:rFonts w:ascii="Arial" w:hAnsi="Arial" w:cs="Arial"/>
                <w:bCs/>
              </w:rPr>
              <w:t>18</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Apr 2014 – Mar 2015</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24</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129</w:t>
            </w:r>
          </w:p>
        </w:tc>
        <w:tc>
          <w:tcPr>
            <w:tcW w:w="1106"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19</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129</w:t>
            </w:r>
          </w:p>
        </w:tc>
        <w:tc>
          <w:tcPr>
            <w:tcW w:w="1106" w:type="dxa"/>
          </w:tcPr>
          <w:p w:rsidR="00F44C6A" w:rsidRPr="00F44C6A" w:rsidRDefault="000B0F03" w:rsidP="00A33A9F">
            <w:pPr>
              <w:autoSpaceDE w:val="0"/>
              <w:autoSpaceDN w:val="0"/>
              <w:adjustRightInd w:val="0"/>
              <w:jc w:val="both"/>
              <w:rPr>
                <w:rFonts w:ascii="Arial" w:hAnsi="Arial" w:cs="Arial"/>
                <w:bCs/>
              </w:rPr>
            </w:pPr>
            <w:r>
              <w:rPr>
                <w:rFonts w:ascii="Arial" w:hAnsi="Arial" w:cs="Arial"/>
                <w:bCs/>
              </w:rPr>
              <w:t>19</w:t>
            </w:r>
          </w:p>
        </w:tc>
      </w:tr>
      <w:tr w:rsidR="00F44C6A" w:rsidTr="00F44C6A">
        <w:tc>
          <w:tcPr>
            <w:tcW w:w="2122"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Total</w:t>
            </w:r>
          </w:p>
        </w:tc>
        <w:tc>
          <w:tcPr>
            <w:tcW w:w="1940"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225</w:t>
            </w: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790</w:t>
            </w:r>
          </w:p>
        </w:tc>
        <w:tc>
          <w:tcPr>
            <w:tcW w:w="1106" w:type="dxa"/>
          </w:tcPr>
          <w:p w:rsidR="00F44C6A" w:rsidRPr="00F44C6A" w:rsidRDefault="00F44C6A" w:rsidP="00A33A9F">
            <w:pPr>
              <w:autoSpaceDE w:val="0"/>
              <w:autoSpaceDN w:val="0"/>
              <w:adjustRightInd w:val="0"/>
              <w:jc w:val="both"/>
              <w:rPr>
                <w:rFonts w:ascii="Arial" w:hAnsi="Arial" w:cs="Arial"/>
                <w:bCs/>
              </w:rPr>
            </w:pPr>
          </w:p>
        </w:tc>
        <w:tc>
          <w:tcPr>
            <w:tcW w:w="1014" w:type="dxa"/>
          </w:tcPr>
          <w:p w:rsidR="00F44C6A" w:rsidRPr="00F44C6A" w:rsidRDefault="00F44C6A" w:rsidP="00A33A9F">
            <w:pPr>
              <w:autoSpaceDE w:val="0"/>
              <w:autoSpaceDN w:val="0"/>
              <w:adjustRightInd w:val="0"/>
              <w:jc w:val="both"/>
              <w:rPr>
                <w:rFonts w:ascii="Arial" w:hAnsi="Arial" w:cs="Arial"/>
                <w:bCs/>
              </w:rPr>
            </w:pPr>
            <w:r>
              <w:rPr>
                <w:rFonts w:ascii="Arial" w:hAnsi="Arial" w:cs="Arial"/>
                <w:bCs/>
              </w:rPr>
              <w:t>788</w:t>
            </w:r>
          </w:p>
        </w:tc>
        <w:tc>
          <w:tcPr>
            <w:tcW w:w="1106" w:type="dxa"/>
          </w:tcPr>
          <w:p w:rsidR="00F44C6A" w:rsidRPr="00F44C6A" w:rsidRDefault="00F44C6A" w:rsidP="00A33A9F">
            <w:pPr>
              <w:autoSpaceDE w:val="0"/>
              <w:autoSpaceDN w:val="0"/>
              <w:adjustRightInd w:val="0"/>
              <w:jc w:val="both"/>
              <w:rPr>
                <w:rFonts w:ascii="Arial" w:hAnsi="Arial" w:cs="Arial"/>
                <w:bCs/>
              </w:rPr>
            </w:pPr>
          </w:p>
        </w:tc>
      </w:tr>
    </w:tbl>
    <w:p w:rsidR="000075FD" w:rsidRPr="001A52B9" w:rsidRDefault="001A52B9" w:rsidP="00A33A9F">
      <w:pPr>
        <w:autoSpaceDE w:val="0"/>
        <w:autoSpaceDN w:val="0"/>
        <w:adjustRightInd w:val="0"/>
        <w:jc w:val="both"/>
        <w:rPr>
          <w:rFonts w:ascii="Arial" w:hAnsi="Arial" w:cs="Arial"/>
          <w:bCs/>
          <w:sz w:val="24"/>
          <w:szCs w:val="24"/>
          <w:vertAlign w:val="superscript"/>
        </w:rPr>
      </w:pPr>
      <w:r>
        <w:rPr>
          <w:rFonts w:ascii="Arial" w:hAnsi="Arial" w:cs="Arial"/>
          <w:bCs/>
          <w:sz w:val="24"/>
          <w:szCs w:val="24"/>
          <w:vertAlign w:val="superscript"/>
        </w:rPr>
        <w:t>Source: Eden District Council (Taking Stock, Housing Land Supply, Housing Land Assessment)</w:t>
      </w:r>
    </w:p>
    <w:p w:rsidR="000A341B" w:rsidRPr="001A52B9" w:rsidRDefault="001A52B9" w:rsidP="001A52B9">
      <w:pPr>
        <w:pStyle w:val="ListParagraph"/>
        <w:numPr>
          <w:ilvl w:val="0"/>
          <w:numId w:val="7"/>
        </w:numPr>
        <w:autoSpaceDE w:val="0"/>
        <w:autoSpaceDN w:val="0"/>
        <w:adjustRightInd w:val="0"/>
        <w:ind w:left="426" w:hanging="426"/>
        <w:jc w:val="both"/>
        <w:rPr>
          <w:rFonts w:ascii="Arial" w:hAnsi="Arial" w:cs="Arial"/>
          <w:bCs/>
          <w:sz w:val="24"/>
          <w:szCs w:val="24"/>
        </w:rPr>
      </w:pPr>
      <w:r>
        <w:rPr>
          <w:rFonts w:ascii="Arial" w:hAnsi="Arial" w:cs="Arial"/>
          <w:bCs/>
          <w:sz w:val="24"/>
          <w:szCs w:val="24"/>
        </w:rPr>
        <w:t>T</w:t>
      </w:r>
      <w:r w:rsidR="000B0F03" w:rsidRPr="001A52B9">
        <w:rPr>
          <w:rFonts w:ascii="Arial" w:hAnsi="Arial" w:cs="Arial"/>
          <w:bCs/>
          <w:sz w:val="24"/>
          <w:szCs w:val="24"/>
        </w:rPr>
        <w:t xml:space="preserve">he </w:t>
      </w:r>
      <w:r>
        <w:rPr>
          <w:rFonts w:ascii="Arial" w:hAnsi="Arial" w:cs="Arial"/>
          <w:bCs/>
          <w:sz w:val="24"/>
          <w:szCs w:val="24"/>
        </w:rPr>
        <w:t>above table suggests that</w:t>
      </w:r>
      <w:r w:rsidR="000B0F03" w:rsidRPr="001A52B9">
        <w:rPr>
          <w:rFonts w:ascii="Arial" w:hAnsi="Arial" w:cs="Arial"/>
          <w:bCs/>
          <w:sz w:val="24"/>
          <w:szCs w:val="24"/>
        </w:rPr>
        <w:t xml:space="preserve"> based upon </w:t>
      </w:r>
      <w:r w:rsidR="00F55EFC" w:rsidRPr="001A52B9">
        <w:rPr>
          <w:rFonts w:ascii="Arial" w:hAnsi="Arial" w:cs="Arial"/>
          <w:bCs/>
          <w:sz w:val="24"/>
          <w:szCs w:val="24"/>
        </w:rPr>
        <w:t>recent</w:t>
      </w:r>
      <w:r w:rsidR="000B0F03" w:rsidRPr="001A52B9">
        <w:rPr>
          <w:rFonts w:ascii="Arial" w:hAnsi="Arial" w:cs="Arial"/>
          <w:bCs/>
          <w:sz w:val="24"/>
          <w:szCs w:val="24"/>
        </w:rPr>
        <w:t xml:space="preserve"> trends an 18% delivery</w:t>
      </w:r>
      <w:r>
        <w:rPr>
          <w:rFonts w:ascii="Arial" w:hAnsi="Arial" w:cs="Arial"/>
          <w:bCs/>
          <w:sz w:val="24"/>
          <w:szCs w:val="24"/>
        </w:rPr>
        <w:t xml:space="preserve"> rate would appear realistic. If this was simplistically </w:t>
      </w:r>
      <w:r>
        <w:rPr>
          <w:rFonts w:ascii="Arial" w:hAnsi="Arial" w:cs="Arial"/>
          <w:bCs/>
          <w:sz w:val="24"/>
          <w:szCs w:val="24"/>
        </w:rPr>
        <w:lastRenderedPageBreak/>
        <w:t xml:space="preserve">converted to meet the </w:t>
      </w:r>
      <w:r w:rsidR="006A0429">
        <w:rPr>
          <w:rFonts w:ascii="Arial" w:hAnsi="Arial" w:cs="Arial"/>
          <w:bCs/>
          <w:sz w:val="24"/>
          <w:szCs w:val="24"/>
        </w:rPr>
        <w:t>identified</w:t>
      </w:r>
      <w:r>
        <w:rPr>
          <w:rFonts w:ascii="Arial" w:hAnsi="Arial" w:cs="Arial"/>
          <w:bCs/>
          <w:sz w:val="24"/>
          <w:szCs w:val="24"/>
        </w:rPr>
        <w:t xml:space="preserve"> </w:t>
      </w:r>
      <w:r w:rsidR="000B0F03" w:rsidRPr="001A52B9">
        <w:rPr>
          <w:rFonts w:ascii="Arial" w:hAnsi="Arial" w:cs="Arial"/>
          <w:bCs/>
          <w:sz w:val="24"/>
          <w:szCs w:val="24"/>
        </w:rPr>
        <w:t xml:space="preserve">annual affordable housing requirement </w:t>
      </w:r>
      <w:r>
        <w:rPr>
          <w:rFonts w:ascii="Arial" w:hAnsi="Arial" w:cs="Arial"/>
          <w:bCs/>
          <w:sz w:val="24"/>
          <w:szCs w:val="24"/>
        </w:rPr>
        <w:t xml:space="preserve">this would need </w:t>
      </w:r>
      <w:r w:rsidR="000B0F03" w:rsidRPr="001A52B9">
        <w:rPr>
          <w:rFonts w:ascii="Arial" w:hAnsi="Arial" w:cs="Arial"/>
          <w:bCs/>
          <w:sz w:val="24"/>
          <w:szCs w:val="24"/>
        </w:rPr>
        <w:t>339dpa</w:t>
      </w:r>
      <w:r>
        <w:rPr>
          <w:rFonts w:ascii="Arial" w:hAnsi="Arial" w:cs="Arial"/>
          <w:bCs/>
          <w:sz w:val="24"/>
          <w:szCs w:val="24"/>
        </w:rPr>
        <w:t xml:space="preserve"> to be delivered</w:t>
      </w:r>
      <w:r w:rsidR="000B0F03" w:rsidRPr="001A52B9">
        <w:rPr>
          <w:rFonts w:ascii="Arial" w:hAnsi="Arial" w:cs="Arial"/>
          <w:bCs/>
          <w:sz w:val="24"/>
          <w:szCs w:val="24"/>
        </w:rPr>
        <w:t xml:space="preserve">. </w:t>
      </w:r>
      <w:r w:rsidR="00F55EFC" w:rsidRPr="001A52B9">
        <w:rPr>
          <w:rFonts w:ascii="Arial" w:hAnsi="Arial" w:cs="Arial"/>
          <w:bCs/>
          <w:sz w:val="24"/>
          <w:szCs w:val="24"/>
        </w:rPr>
        <w:t>If a longer term view is taken part 5 of the SHMA identifies that between 2003 and March 2015 a total of 1,916 dwellings were completed of which 407 were affordable (paragraph 5.86), this equates to an average delivery of 21%. Utilising the same basic calculations this would ident</w:t>
      </w:r>
      <w:r>
        <w:rPr>
          <w:rFonts w:ascii="Arial" w:hAnsi="Arial" w:cs="Arial"/>
          <w:bCs/>
          <w:sz w:val="24"/>
          <w:szCs w:val="24"/>
        </w:rPr>
        <w:t xml:space="preserve">ify a housing figure of 290dpa. </w:t>
      </w:r>
      <w:r w:rsidR="006A0429">
        <w:rPr>
          <w:rFonts w:ascii="Arial" w:hAnsi="Arial" w:cs="Arial"/>
          <w:bCs/>
          <w:sz w:val="24"/>
          <w:szCs w:val="24"/>
        </w:rPr>
        <w:t>Whilst t</w:t>
      </w:r>
      <w:r w:rsidR="000B0F03" w:rsidRPr="001A52B9">
        <w:rPr>
          <w:rFonts w:ascii="Arial" w:hAnsi="Arial" w:cs="Arial"/>
          <w:bCs/>
          <w:sz w:val="24"/>
          <w:szCs w:val="24"/>
        </w:rPr>
        <w:t xml:space="preserve">he HBF </w:t>
      </w:r>
      <w:r>
        <w:rPr>
          <w:rFonts w:ascii="Arial" w:hAnsi="Arial" w:cs="Arial"/>
          <w:bCs/>
          <w:sz w:val="24"/>
          <w:szCs w:val="24"/>
        </w:rPr>
        <w:t>recognise that such calculations are overly simplistic the data does</w:t>
      </w:r>
      <w:r w:rsidR="006A0429">
        <w:rPr>
          <w:rFonts w:ascii="Arial" w:hAnsi="Arial" w:cs="Arial"/>
          <w:bCs/>
          <w:sz w:val="24"/>
          <w:szCs w:val="24"/>
        </w:rPr>
        <w:t xml:space="preserve"> </w:t>
      </w:r>
      <w:r>
        <w:rPr>
          <w:rFonts w:ascii="Arial" w:hAnsi="Arial" w:cs="Arial"/>
          <w:bCs/>
          <w:sz w:val="24"/>
          <w:szCs w:val="24"/>
        </w:rPr>
        <w:t xml:space="preserve">provide evidence that the proposed housing requirement of </w:t>
      </w:r>
      <w:r w:rsidR="00FD72BA" w:rsidRPr="001A52B9">
        <w:rPr>
          <w:rFonts w:ascii="Arial" w:hAnsi="Arial" w:cs="Arial"/>
          <w:bCs/>
          <w:sz w:val="24"/>
          <w:szCs w:val="24"/>
        </w:rPr>
        <w:t>200</w:t>
      </w:r>
      <w:r>
        <w:rPr>
          <w:rFonts w:ascii="Arial" w:hAnsi="Arial" w:cs="Arial"/>
          <w:bCs/>
          <w:sz w:val="24"/>
          <w:szCs w:val="24"/>
        </w:rPr>
        <w:t xml:space="preserve">dpa will be insufficient to meet </w:t>
      </w:r>
      <w:r w:rsidR="00FD72BA" w:rsidRPr="001A52B9">
        <w:rPr>
          <w:rFonts w:ascii="Arial" w:hAnsi="Arial" w:cs="Arial"/>
          <w:bCs/>
          <w:sz w:val="24"/>
          <w:szCs w:val="24"/>
        </w:rPr>
        <w:t>affordable needs.</w:t>
      </w:r>
      <w:r>
        <w:rPr>
          <w:rFonts w:ascii="Arial" w:hAnsi="Arial" w:cs="Arial"/>
          <w:bCs/>
          <w:sz w:val="24"/>
          <w:szCs w:val="24"/>
        </w:rPr>
        <w:t xml:space="preserve"> The HBF therefore recommend an increase is considered.</w:t>
      </w:r>
    </w:p>
    <w:p w:rsidR="00FD72BA" w:rsidRPr="0058382F" w:rsidRDefault="00FD72BA" w:rsidP="0058382F">
      <w:pPr>
        <w:autoSpaceDE w:val="0"/>
        <w:autoSpaceDN w:val="0"/>
        <w:adjustRightInd w:val="0"/>
        <w:jc w:val="both"/>
        <w:rPr>
          <w:rFonts w:ascii="Arial" w:eastAsiaTheme="minorHAnsi" w:hAnsi="Arial" w:cs="Arial"/>
          <w:sz w:val="24"/>
          <w:szCs w:val="24"/>
        </w:rPr>
      </w:pPr>
    </w:p>
    <w:p w:rsidR="0058382F" w:rsidRPr="0058382F" w:rsidRDefault="0058382F" w:rsidP="0058382F">
      <w:pPr>
        <w:pStyle w:val="Default"/>
      </w:pPr>
      <w:r w:rsidRPr="0058382F">
        <w:rPr>
          <w:b/>
          <w:bCs/>
        </w:rPr>
        <w:t xml:space="preserve">PART TWO: FINDINGS </w:t>
      </w:r>
    </w:p>
    <w:p w:rsidR="001C7B92" w:rsidRPr="006A0429" w:rsidRDefault="0058382F" w:rsidP="006A0429">
      <w:pPr>
        <w:pStyle w:val="ListParagraph"/>
        <w:numPr>
          <w:ilvl w:val="0"/>
          <w:numId w:val="5"/>
        </w:numPr>
        <w:autoSpaceDE w:val="0"/>
        <w:autoSpaceDN w:val="0"/>
        <w:adjustRightInd w:val="0"/>
        <w:jc w:val="both"/>
        <w:rPr>
          <w:rFonts w:ascii="Arial" w:hAnsi="Arial" w:cs="Arial"/>
          <w:b/>
          <w:bCs/>
          <w:sz w:val="24"/>
          <w:szCs w:val="24"/>
        </w:rPr>
      </w:pPr>
      <w:r w:rsidRPr="006A0429">
        <w:rPr>
          <w:rFonts w:ascii="Arial" w:hAnsi="Arial" w:cs="Arial"/>
          <w:b/>
          <w:bCs/>
          <w:sz w:val="24"/>
          <w:szCs w:val="24"/>
        </w:rPr>
        <w:t>Do you agree with the SHMA’s judgement that the figure of 200 homes per year will meet the district’s objectively assessed housing need over the Local Plan period, and its assessment of the types, sizes and tenures needed?</w:t>
      </w:r>
    </w:p>
    <w:p w:rsidR="006A0429" w:rsidRPr="006A0429" w:rsidRDefault="006A0429" w:rsidP="006A0429">
      <w:pPr>
        <w:pStyle w:val="ListParagraph"/>
        <w:autoSpaceDE w:val="0"/>
        <w:autoSpaceDN w:val="0"/>
        <w:adjustRightInd w:val="0"/>
        <w:ind w:left="360"/>
        <w:jc w:val="both"/>
        <w:rPr>
          <w:rFonts w:ascii="Arial" w:hAnsi="Arial" w:cs="Arial"/>
          <w:b/>
          <w:bCs/>
          <w:sz w:val="24"/>
          <w:szCs w:val="24"/>
        </w:rPr>
      </w:pPr>
    </w:p>
    <w:p w:rsidR="0058382F" w:rsidRPr="0058382F" w:rsidRDefault="006A0429" w:rsidP="006A0429">
      <w:pPr>
        <w:autoSpaceDE w:val="0"/>
        <w:autoSpaceDN w:val="0"/>
        <w:adjustRightInd w:val="0"/>
        <w:ind w:left="426" w:hanging="426"/>
        <w:jc w:val="both"/>
        <w:rPr>
          <w:rFonts w:ascii="Arial" w:eastAsiaTheme="minorHAnsi" w:hAnsi="Arial" w:cs="Arial"/>
          <w:sz w:val="24"/>
          <w:szCs w:val="24"/>
        </w:rPr>
      </w:pPr>
      <w:r>
        <w:rPr>
          <w:rFonts w:ascii="Arial" w:eastAsiaTheme="minorHAnsi" w:hAnsi="Arial" w:cs="Arial"/>
          <w:sz w:val="24"/>
          <w:szCs w:val="24"/>
        </w:rPr>
        <w:t xml:space="preserve">23. </w:t>
      </w:r>
      <w:r w:rsidR="0058382F" w:rsidRPr="0058382F">
        <w:rPr>
          <w:rFonts w:ascii="Arial" w:eastAsiaTheme="minorHAnsi" w:hAnsi="Arial" w:cs="Arial"/>
          <w:sz w:val="24"/>
          <w:szCs w:val="24"/>
        </w:rPr>
        <w:t>No, the HBF does not agree</w:t>
      </w:r>
      <w:r>
        <w:rPr>
          <w:rFonts w:ascii="Arial" w:eastAsiaTheme="minorHAnsi" w:hAnsi="Arial" w:cs="Arial"/>
          <w:sz w:val="24"/>
          <w:szCs w:val="24"/>
        </w:rPr>
        <w:t xml:space="preserve"> that the figure of 200dpa </w:t>
      </w:r>
      <w:r w:rsidR="0058382F" w:rsidRPr="0058382F">
        <w:rPr>
          <w:rFonts w:ascii="Arial" w:eastAsiaTheme="minorHAnsi" w:hAnsi="Arial" w:cs="Arial"/>
          <w:sz w:val="24"/>
          <w:szCs w:val="24"/>
        </w:rPr>
        <w:t>represents the objectively assessed needs of the area.</w:t>
      </w:r>
      <w:r w:rsidR="003819B3">
        <w:rPr>
          <w:rFonts w:ascii="Arial" w:eastAsiaTheme="minorHAnsi" w:hAnsi="Arial" w:cs="Arial"/>
          <w:sz w:val="24"/>
          <w:szCs w:val="24"/>
        </w:rPr>
        <w:t xml:space="preserve"> The HBF cons</w:t>
      </w:r>
      <w:r>
        <w:rPr>
          <w:rFonts w:ascii="Arial" w:eastAsiaTheme="minorHAnsi" w:hAnsi="Arial" w:cs="Arial"/>
          <w:sz w:val="24"/>
          <w:szCs w:val="24"/>
        </w:rPr>
        <w:t xml:space="preserve">ider that further work is </w:t>
      </w:r>
      <w:r w:rsidR="003819B3">
        <w:rPr>
          <w:rFonts w:ascii="Arial" w:eastAsiaTheme="minorHAnsi" w:hAnsi="Arial" w:cs="Arial"/>
          <w:sz w:val="24"/>
          <w:szCs w:val="24"/>
        </w:rPr>
        <w:t>require</w:t>
      </w:r>
      <w:r>
        <w:rPr>
          <w:rFonts w:ascii="Arial" w:eastAsiaTheme="minorHAnsi" w:hAnsi="Arial" w:cs="Arial"/>
          <w:sz w:val="24"/>
          <w:szCs w:val="24"/>
        </w:rPr>
        <w:t>d</w:t>
      </w:r>
      <w:r w:rsidR="003819B3">
        <w:rPr>
          <w:rFonts w:ascii="Arial" w:eastAsiaTheme="minorHAnsi" w:hAnsi="Arial" w:cs="Arial"/>
          <w:sz w:val="24"/>
          <w:szCs w:val="24"/>
        </w:rPr>
        <w:t xml:space="preserve"> to provide a robust assessment of the objectively assessed housing needs of the area. However, based upon the information currently available</w:t>
      </w:r>
      <w:r>
        <w:rPr>
          <w:rFonts w:ascii="Arial" w:eastAsiaTheme="minorHAnsi" w:hAnsi="Arial" w:cs="Arial"/>
          <w:sz w:val="24"/>
          <w:szCs w:val="24"/>
        </w:rPr>
        <w:t>,</w:t>
      </w:r>
      <w:r w:rsidR="003819B3">
        <w:rPr>
          <w:rFonts w:ascii="Arial" w:eastAsiaTheme="minorHAnsi" w:hAnsi="Arial" w:cs="Arial"/>
          <w:sz w:val="24"/>
          <w:szCs w:val="24"/>
        </w:rPr>
        <w:t xml:space="preserve"> the HBF concludes that this is in excess of the proposed 200dpa figure identified. Our reasons for these conclusions are set out within our response to question 1 above. </w:t>
      </w:r>
    </w:p>
    <w:p w:rsidR="0058382F" w:rsidRPr="0058382F" w:rsidRDefault="0058382F" w:rsidP="0058382F">
      <w:pPr>
        <w:autoSpaceDE w:val="0"/>
        <w:autoSpaceDN w:val="0"/>
        <w:adjustRightInd w:val="0"/>
        <w:jc w:val="both"/>
        <w:rPr>
          <w:rFonts w:ascii="Arial" w:eastAsiaTheme="minorHAnsi" w:hAnsi="Arial" w:cs="Arial"/>
          <w:sz w:val="24"/>
          <w:szCs w:val="24"/>
        </w:rPr>
      </w:pPr>
    </w:p>
    <w:p w:rsidR="0058382F" w:rsidRPr="0058382F" w:rsidRDefault="0058382F" w:rsidP="0058382F">
      <w:pPr>
        <w:autoSpaceDE w:val="0"/>
        <w:autoSpaceDN w:val="0"/>
        <w:adjustRightInd w:val="0"/>
        <w:jc w:val="both"/>
        <w:rPr>
          <w:rFonts w:ascii="Arial" w:eastAsiaTheme="minorHAnsi" w:hAnsi="Arial" w:cs="Arial"/>
          <w:sz w:val="24"/>
          <w:szCs w:val="24"/>
        </w:rPr>
      </w:pPr>
      <w:r w:rsidRPr="0058382F">
        <w:rPr>
          <w:rFonts w:ascii="Arial" w:hAnsi="Arial" w:cs="Arial"/>
          <w:b/>
          <w:bCs/>
          <w:sz w:val="24"/>
          <w:szCs w:val="24"/>
        </w:rPr>
        <w:t>PART THREE: GENERAL COMMENTS</w:t>
      </w:r>
    </w:p>
    <w:p w:rsidR="001C7B92" w:rsidRPr="006A0429" w:rsidRDefault="00A33A9F" w:rsidP="006A0429">
      <w:pPr>
        <w:pStyle w:val="ListParagraph"/>
        <w:numPr>
          <w:ilvl w:val="0"/>
          <w:numId w:val="8"/>
        </w:numPr>
        <w:autoSpaceDE w:val="0"/>
        <w:autoSpaceDN w:val="0"/>
        <w:adjustRightInd w:val="0"/>
        <w:ind w:left="426" w:hanging="426"/>
        <w:jc w:val="both"/>
        <w:rPr>
          <w:rFonts w:ascii="Arial" w:eastAsiaTheme="minorHAnsi" w:hAnsi="Arial" w:cs="Arial"/>
          <w:sz w:val="24"/>
          <w:szCs w:val="24"/>
        </w:rPr>
      </w:pPr>
      <w:r w:rsidRPr="006A0429">
        <w:rPr>
          <w:rFonts w:ascii="Arial" w:eastAsiaTheme="minorHAnsi" w:hAnsi="Arial" w:cs="Arial"/>
          <w:sz w:val="24"/>
          <w:szCs w:val="24"/>
        </w:rPr>
        <w:t>The HBF has no further comments at this stage.</w:t>
      </w:r>
    </w:p>
    <w:p w:rsidR="007001D2" w:rsidRDefault="007001D2" w:rsidP="00BE4E4C">
      <w:pPr>
        <w:autoSpaceDE w:val="0"/>
        <w:autoSpaceDN w:val="0"/>
        <w:adjustRightInd w:val="0"/>
        <w:jc w:val="both"/>
        <w:rPr>
          <w:rFonts w:ascii="Arial" w:eastAsiaTheme="minorHAnsi" w:hAnsi="Arial" w:cs="Arial"/>
          <w:sz w:val="24"/>
          <w:szCs w:val="24"/>
        </w:rPr>
      </w:pPr>
    </w:p>
    <w:p w:rsidR="00CA3132" w:rsidRPr="00D25F24" w:rsidRDefault="00CA3132" w:rsidP="00CA3132">
      <w:pPr>
        <w:autoSpaceDE w:val="0"/>
        <w:autoSpaceDN w:val="0"/>
        <w:adjustRightInd w:val="0"/>
        <w:jc w:val="both"/>
        <w:rPr>
          <w:rFonts w:ascii="Arial" w:eastAsiaTheme="minorHAnsi" w:hAnsi="Arial" w:cs="Arial"/>
          <w:b/>
          <w:sz w:val="28"/>
          <w:szCs w:val="28"/>
        </w:rPr>
      </w:pPr>
      <w:r>
        <w:rPr>
          <w:rFonts w:ascii="Arial" w:eastAsiaTheme="minorHAnsi" w:hAnsi="Arial" w:cs="Arial"/>
          <w:b/>
          <w:sz w:val="28"/>
          <w:szCs w:val="28"/>
        </w:rPr>
        <w:t>Further Consultations</w:t>
      </w:r>
    </w:p>
    <w:p w:rsidR="00CA3132" w:rsidRPr="006A0429" w:rsidRDefault="00CA3132" w:rsidP="006A0429">
      <w:pPr>
        <w:pStyle w:val="ListParagraph"/>
        <w:numPr>
          <w:ilvl w:val="0"/>
          <w:numId w:val="8"/>
        </w:numPr>
        <w:ind w:left="426" w:hanging="426"/>
        <w:jc w:val="both"/>
        <w:rPr>
          <w:rFonts w:ascii="Arial" w:hAnsi="Arial" w:cs="Arial"/>
          <w:sz w:val="24"/>
          <w:szCs w:val="24"/>
        </w:rPr>
      </w:pPr>
      <w:r w:rsidRPr="006A0429">
        <w:rPr>
          <w:rFonts w:ascii="Arial" w:hAnsi="Arial" w:cs="Arial"/>
          <w:sz w:val="24"/>
          <w:szCs w:val="24"/>
        </w:rPr>
        <w:lastRenderedPageBreak/>
        <w:t>The HBF would like to be kept informed of all forthcoming consultations upon the Local Plan and associated do</w:t>
      </w:r>
      <w:r w:rsidR="006A0429">
        <w:rPr>
          <w:rFonts w:ascii="Arial" w:hAnsi="Arial" w:cs="Arial"/>
          <w:sz w:val="24"/>
          <w:szCs w:val="24"/>
        </w:rPr>
        <w:t xml:space="preserve">cuments. Please use the contact </w:t>
      </w:r>
      <w:r w:rsidRPr="006A0429">
        <w:rPr>
          <w:rFonts w:ascii="Arial" w:hAnsi="Arial" w:cs="Arial"/>
          <w:sz w:val="24"/>
          <w:szCs w:val="24"/>
        </w:rPr>
        <w:t>details provided in the footer to this response for future correspondence.</w:t>
      </w:r>
    </w:p>
    <w:p w:rsidR="008B279E" w:rsidRPr="00CD62D9" w:rsidRDefault="008B279E" w:rsidP="008B279E">
      <w:pPr>
        <w:rPr>
          <w:rFonts w:ascii="Arial" w:hAnsi="Arial" w:cs="Arial"/>
          <w:b/>
          <w:sz w:val="24"/>
          <w:szCs w:val="24"/>
        </w:rPr>
      </w:pPr>
    </w:p>
    <w:p w:rsidR="008B279E" w:rsidRPr="00CD62D9" w:rsidRDefault="008B279E" w:rsidP="008B279E">
      <w:pPr>
        <w:rPr>
          <w:rFonts w:ascii="Arial" w:hAnsi="Arial" w:cs="Arial"/>
          <w:b/>
          <w:sz w:val="24"/>
          <w:szCs w:val="24"/>
        </w:rPr>
      </w:pPr>
    </w:p>
    <w:p w:rsidR="008B279E" w:rsidRPr="00CD62D9" w:rsidRDefault="008B279E" w:rsidP="008B279E">
      <w:pPr>
        <w:jc w:val="both"/>
        <w:rPr>
          <w:rFonts w:ascii="Arial" w:hAnsi="Arial" w:cs="Arial"/>
          <w:sz w:val="24"/>
          <w:szCs w:val="24"/>
        </w:rPr>
      </w:pPr>
      <w:r w:rsidRPr="00CD62D9">
        <w:rPr>
          <w:rFonts w:ascii="Arial" w:hAnsi="Arial" w:cs="Arial"/>
          <w:sz w:val="24"/>
          <w:szCs w:val="24"/>
        </w:rPr>
        <w:t>Yours sincerely,</w:t>
      </w:r>
    </w:p>
    <w:p w:rsidR="008B279E" w:rsidRDefault="008B279E" w:rsidP="008B279E">
      <w:pPr>
        <w:jc w:val="both"/>
        <w:rPr>
          <w:rFonts w:ascii="Arial" w:hAnsi="Arial" w:cs="Arial"/>
          <w:sz w:val="24"/>
        </w:rPr>
      </w:pPr>
    </w:p>
    <w:p w:rsidR="008B279E" w:rsidRPr="00AE29A5" w:rsidRDefault="008B279E" w:rsidP="008B279E">
      <w:pPr>
        <w:jc w:val="both"/>
        <w:rPr>
          <w:rFonts w:ascii="Bradley Hand ITC" w:hAnsi="Bradley Hand ITC" w:cs="Arial"/>
          <w:b/>
          <w:sz w:val="56"/>
          <w:szCs w:val="56"/>
        </w:rPr>
      </w:pPr>
      <w:r w:rsidRPr="00AE29A5">
        <w:rPr>
          <w:rFonts w:ascii="Bradley Hand ITC" w:hAnsi="Bradley Hand ITC" w:cs="Arial"/>
          <w:b/>
          <w:sz w:val="56"/>
          <w:szCs w:val="56"/>
        </w:rPr>
        <w:t>M J Good</w:t>
      </w:r>
    </w:p>
    <w:p w:rsidR="008B279E" w:rsidRDefault="008B279E" w:rsidP="008B279E">
      <w:pPr>
        <w:jc w:val="both"/>
        <w:rPr>
          <w:rFonts w:ascii="Arial" w:hAnsi="Arial" w:cs="Arial"/>
          <w:sz w:val="24"/>
        </w:rPr>
      </w:pPr>
    </w:p>
    <w:p w:rsidR="008B279E" w:rsidRDefault="008B279E" w:rsidP="008B279E">
      <w:pPr>
        <w:pStyle w:val="Heading2"/>
        <w:jc w:val="left"/>
        <w:rPr>
          <w:rFonts w:ascii="Arial" w:hAnsi="Arial" w:cs="Arial"/>
          <w:sz w:val="24"/>
        </w:rPr>
      </w:pPr>
      <w:r>
        <w:rPr>
          <w:rFonts w:ascii="Arial" w:hAnsi="Arial" w:cs="Arial"/>
          <w:sz w:val="24"/>
        </w:rPr>
        <w:t>Matthew Good</w:t>
      </w:r>
    </w:p>
    <w:p w:rsidR="008B279E" w:rsidRDefault="008B279E" w:rsidP="008B279E">
      <w:pPr>
        <w:rPr>
          <w:rFonts w:ascii="Arial" w:hAnsi="Arial" w:cs="Arial"/>
          <w:b/>
          <w:sz w:val="24"/>
        </w:rPr>
      </w:pPr>
      <w:r>
        <w:rPr>
          <w:rFonts w:ascii="Arial" w:hAnsi="Arial" w:cs="Arial"/>
          <w:b/>
          <w:sz w:val="24"/>
        </w:rPr>
        <w:t>Planning Manager – Local Plans</w:t>
      </w:r>
    </w:p>
    <w:p w:rsidR="008B279E" w:rsidRPr="00CD62D9" w:rsidRDefault="008B279E" w:rsidP="008B279E">
      <w:pPr>
        <w:rPr>
          <w:rFonts w:ascii="Arial" w:hAnsi="Arial" w:cs="Arial"/>
          <w:sz w:val="24"/>
        </w:rPr>
      </w:pPr>
      <w:r w:rsidRPr="00CD62D9">
        <w:rPr>
          <w:rFonts w:ascii="Arial" w:hAnsi="Arial" w:cs="Arial"/>
          <w:sz w:val="24"/>
        </w:rPr>
        <w:t xml:space="preserve">Email: </w:t>
      </w:r>
      <w:hyperlink r:id="rId9" w:history="1">
        <w:r w:rsidRPr="00CD62D9">
          <w:rPr>
            <w:rStyle w:val="Hyperlink"/>
            <w:rFonts w:ascii="Arial" w:hAnsi="Arial" w:cs="Arial"/>
            <w:sz w:val="24"/>
          </w:rPr>
          <w:t>matthew.good@hbf.co.uk</w:t>
        </w:r>
      </w:hyperlink>
    </w:p>
    <w:p w:rsidR="008B279E" w:rsidRPr="00CD62D9" w:rsidRDefault="008B279E" w:rsidP="008B279E">
      <w:pPr>
        <w:rPr>
          <w:rFonts w:ascii="Arial" w:hAnsi="Arial" w:cs="Arial"/>
          <w:sz w:val="24"/>
        </w:rPr>
      </w:pPr>
      <w:r w:rsidRPr="00CD62D9">
        <w:rPr>
          <w:rFonts w:ascii="Arial" w:hAnsi="Arial" w:cs="Arial"/>
          <w:sz w:val="24"/>
        </w:rPr>
        <w:t>Tel: 07972774229</w:t>
      </w:r>
    </w:p>
    <w:p w:rsidR="008B279E" w:rsidRPr="008B279E" w:rsidRDefault="008B279E">
      <w:pPr>
        <w:rPr>
          <w:rFonts w:ascii="Arial" w:hAnsi="Arial" w:cs="Arial"/>
          <w:sz w:val="24"/>
          <w:szCs w:val="24"/>
        </w:rPr>
      </w:pPr>
    </w:p>
    <w:p w:rsidR="00CD62D9" w:rsidRPr="00CD62D9" w:rsidRDefault="00CD62D9">
      <w:pPr>
        <w:rPr>
          <w:rFonts w:ascii="Arial" w:hAnsi="Arial" w:cs="Arial"/>
          <w:sz w:val="24"/>
        </w:rPr>
      </w:pPr>
    </w:p>
    <w:sectPr w:rsidR="00CD62D9" w:rsidRPr="00CD62D9" w:rsidSect="00CD62D9">
      <w:footerReference w:type="default" r:id="rId10"/>
      <w:pgSz w:w="11906" w:h="16838" w:code="9"/>
      <w:pgMar w:top="1440" w:right="1797" w:bottom="1440" w:left="1797" w:header="709" w:footer="357" w:gutter="0"/>
      <w:paperSrc w:first="262" w:other="2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21" w:rsidRDefault="00213921" w:rsidP="00CD62D9">
      <w:r>
        <w:separator/>
      </w:r>
    </w:p>
  </w:endnote>
  <w:endnote w:type="continuationSeparator" w:id="0">
    <w:p w:rsidR="00213921" w:rsidRDefault="00213921" w:rsidP="00CD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E24C6A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246099839"/>
      <w:docPartObj>
        <w:docPartGallery w:val="Page Numbers (Bottom of Page)"/>
        <w:docPartUnique/>
      </w:docPartObj>
    </w:sdtPr>
    <w:sdtEndPr>
      <w:rPr>
        <w:noProof/>
      </w:rPr>
    </w:sdtEndPr>
    <w:sdtContent>
      <w:p w:rsidR="00CD62D9" w:rsidRPr="00CD62D9" w:rsidRDefault="00CD62D9">
        <w:pPr>
          <w:pStyle w:val="Footer"/>
          <w:jc w:val="right"/>
          <w:rPr>
            <w:rFonts w:ascii="Arial" w:hAnsi="Arial" w:cs="Arial"/>
            <w:sz w:val="18"/>
            <w:szCs w:val="18"/>
          </w:rPr>
        </w:pPr>
        <w:r w:rsidRPr="00CD62D9">
          <w:rPr>
            <w:rFonts w:ascii="Arial" w:hAnsi="Arial" w:cs="Arial"/>
            <w:sz w:val="18"/>
            <w:szCs w:val="18"/>
          </w:rPr>
          <w:fldChar w:fldCharType="begin"/>
        </w:r>
        <w:r w:rsidRPr="00CD62D9">
          <w:rPr>
            <w:rFonts w:ascii="Arial" w:hAnsi="Arial" w:cs="Arial"/>
            <w:sz w:val="18"/>
            <w:szCs w:val="18"/>
          </w:rPr>
          <w:instrText xml:space="preserve"> PAGE   \* MERGEFORMAT </w:instrText>
        </w:r>
        <w:r w:rsidRPr="00CD62D9">
          <w:rPr>
            <w:rFonts w:ascii="Arial" w:hAnsi="Arial" w:cs="Arial"/>
            <w:sz w:val="18"/>
            <w:szCs w:val="18"/>
          </w:rPr>
          <w:fldChar w:fldCharType="separate"/>
        </w:r>
        <w:r w:rsidR="004C3EB8">
          <w:rPr>
            <w:rFonts w:ascii="Arial" w:hAnsi="Arial" w:cs="Arial"/>
            <w:noProof/>
            <w:sz w:val="18"/>
            <w:szCs w:val="18"/>
          </w:rPr>
          <w:t>2</w:t>
        </w:r>
        <w:r w:rsidRPr="00CD62D9">
          <w:rPr>
            <w:rFonts w:ascii="Arial" w:hAnsi="Arial" w:cs="Arial"/>
            <w:noProof/>
            <w:sz w:val="18"/>
            <w:szCs w:val="18"/>
          </w:rPr>
          <w:fldChar w:fldCharType="end"/>
        </w:r>
      </w:p>
    </w:sdtContent>
  </w:sdt>
  <w:p w:rsidR="00CD62D9" w:rsidRPr="00CD62D9" w:rsidRDefault="00CD62D9" w:rsidP="00CD62D9">
    <w:pPr>
      <w:pStyle w:val="Footer"/>
      <w:ind w:left="-1260"/>
      <w:jc w:val="both"/>
      <w:rPr>
        <w:rFonts w:ascii="Arial" w:hAnsi="Arial" w:cs="Arial"/>
        <w:sz w:val="18"/>
        <w:szCs w:val="18"/>
      </w:rPr>
    </w:pPr>
    <w:r w:rsidRPr="00CD62D9">
      <w:rPr>
        <w:rFonts w:ascii="Arial" w:hAnsi="Arial" w:cs="Arial"/>
        <w:sz w:val="18"/>
        <w:szCs w:val="18"/>
      </w:rPr>
      <w:t>Home Builders Federation</w:t>
    </w:r>
  </w:p>
  <w:p w:rsidR="00CD62D9" w:rsidRPr="00CD62D9" w:rsidRDefault="00BF3F04" w:rsidP="00CD62D9">
    <w:pPr>
      <w:pStyle w:val="Footer"/>
      <w:ind w:left="-1260"/>
      <w:jc w:val="both"/>
      <w:rPr>
        <w:rFonts w:ascii="Arial" w:hAnsi="Arial" w:cs="Arial"/>
        <w:sz w:val="18"/>
        <w:szCs w:val="18"/>
      </w:rPr>
    </w:pPr>
    <w:r>
      <w:rPr>
        <w:rFonts w:ascii="Arial" w:hAnsi="Arial" w:cs="Arial"/>
        <w:sz w:val="18"/>
        <w:szCs w:val="18"/>
      </w:rPr>
      <w:t>The Styes Cottage, Styes Lane, Sowerby</w:t>
    </w:r>
    <w:r w:rsidR="00CD62D9" w:rsidRPr="00CD62D9">
      <w:rPr>
        <w:rFonts w:ascii="Arial" w:hAnsi="Arial" w:cs="Arial"/>
        <w:sz w:val="18"/>
        <w:szCs w:val="18"/>
      </w:rPr>
      <w:t>,</w:t>
    </w:r>
    <w:r>
      <w:rPr>
        <w:rFonts w:ascii="Arial" w:hAnsi="Arial" w:cs="Arial"/>
        <w:sz w:val="18"/>
        <w:szCs w:val="18"/>
      </w:rPr>
      <w:t xml:space="preserve"> Sowerby Bridge,</w:t>
    </w:r>
    <w:r w:rsidR="00CD62D9" w:rsidRPr="00CD62D9">
      <w:rPr>
        <w:rFonts w:ascii="Arial" w:hAnsi="Arial" w:cs="Arial"/>
        <w:sz w:val="18"/>
        <w:szCs w:val="18"/>
      </w:rPr>
      <w:t xml:space="preserve"> </w:t>
    </w:r>
    <w:r>
      <w:rPr>
        <w:rFonts w:ascii="Arial" w:hAnsi="Arial" w:cs="Arial"/>
        <w:sz w:val="18"/>
        <w:szCs w:val="18"/>
      </w:rPr>
      <w:t>HX6 1NF</w:t>
    </w:r>
  </w:p>
  <w:p w:rsidR="00CD62D9" w:rsidRPr="00CD62D9" w:rsidRDefault="00BF3F04" w:rsidP="00CD62D9">
    <w:pPr>
      <w:pStyle w:val="Footer"/>
      <w:ind w:left="-1260"/>
      <w:jc w:val="both"/>
      <w:rPr>
        <w:rFonts w:ascii="Arial" w:hAnsi="Arial" w:cs="Arial"/>
        <w:sz w:val="18"/>
        <w:szCs w:val="18"/>
      </w:rPr>
    </w:pPr>
    <w:r>
      <w:rPr>
        <w:rFonts w:ascii="Arial" w:hAnsi="Arial" w:cs="Arial"/>
        <w:sz w:val="18"/>
        <w:szCs w:val="18"/>
      </w:rPr>
      <w:t>T: 07972774229</w:t>
    </w:r>
    <w:r w:rsidR="00CD62D9" w:rsidRPr="00CD62D9">
      <w:rPr>
        <w:rFonts w:ascii="Arial" w:hAnsi="Arial" w:cs="Arial"/>
        <w:sz w:val="18"/>
        <w:szCs w:val="18"/>
      </w:rPr>
      <w:t xml:space="preserve">  E: </w:t>
    </w:r>
    <w:r>
      <w:rPr>
        <w:rFonts w:ascii="Arial" w:hAnsi="Arial" w:cs="Arial"/>
        <w:sz w:val="18"/>
        <w:szCs w:val="18"/>
      </w:rPr>
      <w:t>matthew.good</w:t>
    </w:r>
    <w:r w:rsidR="00CD62D9" w:rsidRPr="00CD62D9">
      <w:rPr>
        <w:rFonts w:ascii="Arial" w:hAnsi="Arial" w:cs="Arial"/>
        <w:sz w:val="18"/>
        <w:szCs w:val="18"/>
      </w:rPr>
      <w:t>@hbf.co.uk   www.hbf.co.uk</w:t>
    </w:r>
  </w:p>
  <w:p w:rsidR="00CD62D9" w:rsidRDefault="00CD6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21" w:rsidRDefault="00213921" w:rsidP="00CD62D9">
      <w:r>
        <w:separator/>
      </w:r>
    </w:p>
  </w:footnote>
  <w:footnote w:type="continuationSeparator" w:id="0">
    <w:p w:rsidR="00213921" w:rsidRDefault="00213921" w:rsidP="00CD6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601"/>
    <w:multiLevelType w:val="hybridMultilevel"/>
    <w:tmpl w:val="D2DC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14B13"/>
    <w:multiLevelType w:val="hybridMultilevel"/>
    <w:tmpl w:val="15EC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17A2A"/>
    <w:multiLevelType w:val="hybridMultilevel"/>
    <w:tmpl w:val="5600B1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FF7083"/>
    <w:multiLevelType w:val="hybridMultilevel"/>
    <w:tmpl w:val="73F27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C62A8E"/>
    <w:multiLevelType w:val="hybridMultilevel"/>
    <w:tmpl w:val="1408B914"/>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F13B1"/>
    <w:multiLevelType w:val="hybridMultilevel"/>
    <w:tmpl w:val="E55C8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0A5579"/>
    <w:multiLevelType w:val="hybridMultilevel"/>
    <w:tmpl w:val="8302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74535"/>
    <w:multiLevelType w:val="hybridMultilevel"/>
    <w:tmpl w:val="98E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4B"/>
    <w:rsid w:val="0000547A"/>
    <w:rsid w:val="00007152"/>
    <w:rsid w:val="000075FD"/>
    <w:rsid w:val="0002321F"/>
    <w:rsid w:val="000265F9"/>
    <w:rsid w:val="00066919"/>
    <w:rsid w:val="00076600"/>
    <w:rsid w:val="000A341B"/>
    <w:rsid w:val="000A5748"/>
    <w:rsid w:val="000B0F03"/>
    <w:rsid w:val="000F2FE9"/>
    <w:rsid w:val="00150BF7"/>
    <w:rsid w:val="00173F62"/>
    <w:rsid w:val="001A3887"/>
    <w:rsid w:val="001A52B9"/>
    <w:rsid w:val="001A5D9D"/>
    <w:rsid w:val="001C7B92"/>
    <w:rsid w:val="001F436F"/>
    <w:rsid w:val="00213921"/>
    <w:rsid w:val="002A648D"/>
    <w:rsid w:val="002B092D"/>
    <w:rsid w:val="00362F58"/>
    <w:rsid w:val="0036647F"/>
    <w:rsid w:val="00367290"/>
    <w:rsid w:val="003759BF"/>
    <w:rsid w:val="003819B3"/>
    <w:rsid w:val="003837BF"/>
    <w:rsid w:val="00387B18"/>
    <w:rsid w:val="003C0BB4"/>
    <w:rsid w:val="003C4440"/>
    <w:rsid w:val="00425094"/>
    <w:rsid w:val="00431930"/>
    <w:rsid w:val="0044063B"/>
    <w:rsid w:val="00471B9A"/>
    <w:rsid w:val="00473B31"/>
    <w:rsid w:val="004B62C6"/>
    <w:rsid w:val="004C3EB8"/>
    <w:rsid w:val="004E3101"/>
    <w:rsid w:val="004E4C33"/>
    <w:rsid w:val="004E4DB5"/>
    <w:rsid w:val="004F1900"/>
    <w:rsid w:val="004F45BF"/>
    <w:rsid w:val="00501672"/>
    <w:rsid w:val="00523CB7"/>
    <w:rsid w:val="0058382F"/>
    <w:rsid w:val="005D66F8"/>
    <w:rsid w:val="006A0429"/>
    <w:rsid w:val="006A15A4"/>
    <w:rsid w:val="006C71F5"/>
    <w:rsid w:val="007001D2"/>
    <w:rsid w:val="00712491"/>
    <w:rsid w:val="007327E0"/>
    <w:rsid w:val="007E0333"/>
    <w:rsid w:val="007F08D3"/>
    <w:rsid w:val="00830D75"/>
    <w:rsid w:val="008A2ADE"/>
    <w:rsid w:val="008B1A8F"/>
    <w:rsid w:val="008B279E"/>
    <w:rsid w:val="008B7808"/>
    <w:rsid w:val="008D7EDE"/>
    <w:rsid w:val="008F48A5"/>
    <w:rsid w:val="0091390B"/>
    <w:rsid w:val="00950B13"/>
    <w:rsid w:val="0097072C"/>
    <w:rsid w:val="009817BD"/>
    <w:rsid w:val="009A2553"/>
    <w:rsid w:val="009B1326"/>
    <w:rsid w:val="009D12B9"/>
    <w:rsid w:val="00A27F03"/>
    <w:rsid w:val="00A33A9F"/>
    <w:rsid w:val="00A56673"/>
    <w:rsid w:val="00AA02F4"/>
    <w:rsid w:val="00AB3512"/>
    <w:rsid w:val="00AB525E"/>
    <w:rsid w:val="00AC56D7"/>
    <w:rsid w:val="00AF3345"/>
    <w:rsid w:val="00B12B4B"/>
    <w:rsid w:val="00B731DC"/>
    <w:rsid w:val="00BA0E1A"/>
    <w:rsid w:val="00BA402D"/>
    <w:rsid w:val="00BB2F60"/>
    <w:rsid w:val="00BD3804"/>
    <w:rsid w:val="00BE4E4C"/>
    <w:rsid w:val="00BF3F04"/>
    <w:rsid w:val="00C220A0"/>
    <w:rsid w:val="00CA3132"/>
    <w:rsid w:val="00CD62D9"/>
    <w:rsid w:val="00CE6F05"/>
    <w:rsid w:val="00D00065"/>
    <w:rsid w:val="00D25F24"/>
    <w:rsid w:val="00D53599"/>
    <w:rsid w:val="00D702EE"/>
    <w:rsid w:val="00E00051"/>
    <w:rsid w:val="00E16832"/>
    <w:rsid w:val="00E37304"/>
    <w:rsid w:val="00E7436D"/>
    <w:rsid w:val="00E95F1F"/>
    <w:rsid w:val="00EB2E6F"/>
    <w:rsid w:val="00ED061A"/>
    <w:rsid w:val="00ED4CD1"/>
    <w:rsid w:val="00F070E8"/>
    <w:rsid w:val="00F44C6A"/>
    <w:rsid w:val="00F55DC9"/>
    <w:rsid w:val="00F55EFC"/>
    <w:rsid w:val="00FA565D"/>
    <w:rsid w:val="00FD72BA"/>
    <w:rsid w:val="00FE02AB"/>
    <w:rsid w:val="00FE03AE"/>
    <w:rsid w:val="00FE52BE"/>
    <w:rsid w:val="00FF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8F3DB-97C5-4675-82B6-A4E76D96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link w:val="Heading2Char"/>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B12B4B"/>
    <w:rPr>
      <w:rFonts w:ascii="Tahoma" w:hAnsi="Tahoma" w:cs="Tahoma"/>
      <w:sz w:val="16"/>
      <w:szCs w:val="16"/>
    </w:rPr>
  </w:style>
  <w:style w:type="character" w:customStyle="1" w:styleId="BalloonTextChar">
    <w:name w:val="Balloon Text Char"/>
    <w:basedOn w:val="DefaultParagraphFont"/>
    <w:link w:val="BalloonText"/>
    <w:uiPriority w:val="99"/>
    <w:semiHidden/>
    <w:rsid w:val="00B12B4B"/>
    <w:rPr>
      <w:rFonts w:ascii="Tahoma" w:hAnsi="Tahoma" w:cs="Tahoma"/>
      <w:sz w:val="16"/>
      <w:szCs w:val="16"/>
      <w:lang w:eastAsia="en-US"/>
    </w:rPr>
  </w:style>
  <w:style w:type="paragraph" w:styleId="Header">
    <w:name w:val="header"/>
    <w:basedOn w:val="Normal"/>
    <w:link w:val="HeaderChar"/>
    <w:uiPriority w:val="99"/>
    <w:unhideWhenUsed/>
    <w:rsid w:val="00CD62D9"/>
    <w:pPr>
      <w:tabs>
        <w:tab w:val="center" w:pos="4513"/>
        <w:tab w:val="right" w:pos="9026"/>
      </w:tabs>
    </w:pPr>
  </w:style>
  <w:style w:type="character" w:customStyle="1" w:styleId="HeaderChar">
    <w:name w:val="Header Char"/>
    <w:basedOn w:val="DefaultParagraphFont"/>
    <w:link w:val="Header"/>
    <w:uiPriority w:val="99"/>
    <w:rsid w:val="00CD62D9"/>
    <w:rPr>
      <w:lang w:eastAsia="en-US"/>
    </w:rPr>
  </w:style>
  <w:style w:type="paragraph" w:styleId="Footer">
    <w:name w:val="footer"/>
    <w:basedOn w:val="Normal"/>
    <w:link w:val="FooterChar"/>
    <w:uiPriority w:val="99"/>
    <w:unhideWhenUsed/>
    <w:rsid w:val="00CD62D9"/>
    <w:pPr>
      <w:tabs>
        <w:tab w:val="center" w:pos="4513"/>
        <w:tab w:val="right" w:pos="9026"/>
      </w:tabs>
    </w:pPr>
  </w:style>
  <w:style w:type="character" w:customStyle="1" w:styleId="FooterChar">
    <w:name w:val="Footer Char"/>
    <w:basedOn w:val="DefaultParagraphFont"/>
    <w:link w:val="Footer"/>
    <w:uiPriority w:val="99"/>
    <w:rsid w:val="00CD62D9"/>
    <w:rPr>
      <w:lang w:eastAsia="en-US"/>
    </w:rPr>
  </w:style>
  <w:style w:type="character" w:styleId="Hyperlink">
    <w:name w:val="Hyperlink"/>
    <w:basedOn w:val="DefaultParagraphFont"/>
    <w:uiPriority w:val="99"/>
    <w:unhideWhenUsed/>
    <w:rsid w:val="00CD62D9"/>
    <w:rPr>
      <w:color w:val="0000FF" w:themeColor="hyperlink"/>
      <w:u w:val="single"/>
    </w:rPr>
  </w:style>
  <w:style w:type="paragraph" w:customStyle="1" w:styleId="Default">
    <w:name w:val="Default"/>
    <w:rsid w:val="00473B3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8B279E"/>
    <w:rPr>
      <w:b/>
      <w:sz w:val="28"/>
      <w:lang w:eastAsia="en-US"/>
    </w:rPr>
  </w:style>
  <w:style w:type="paragraph" w:styleId="ListParagraph">
    <w:name w:val="List Paragraph"/>
    <w:basedOn w:val="Normal"/>
    <w:uiPriority w:val="34"/>
    <w:qFormat/>
    <w:rsid w:val="007001D2"/>
    <w:pPr>
      <w:ind w:left="720"/>
      <w:contextualSpacing/>
    </w:pPr>
  </w:style>
  <w:style w:type="paragraph" w:styleId="Title">
    <w:name w:val="Title"/>
    <w:basedOn w:val="Normal"/>
    <w:next w:val="Normal"/>
    <w:link w:val="TitleChar"/>
    <w:uiPriority w:val="10"/>
    <w:qFormat/>
    <w:rsid w:val="00362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F58"/>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00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plan2014@ede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thew.good@hb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2355</Words>
  <Characters>12356</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R Radford Esq</vt:lpstr>
    </vt:vector>
  </TitlesOfParts>
  <Company>Construction Confederation</Company>
  <LinksUpToDate>false</LinksUpToDate>
  <CharactersWithSpaces>14682</CharactersWithSpaces>
  <SharedDoc>false</SharedDoc>
  <HLinks>
    <vt:vector size="6" baseType="variant">
      <vt:variant>
        <vt:i4>7405589</vt:i4>
      </vt:variant>
      <vt:variant>
        <vt:i4>1024</vt:i4>
      </vt:variant>
      <vt:variant>
        <vt:i4>1025</vt:i4>
      </vt:variant>
      <vt:variant>
        <vt:i4>1</vt:i4>
      </vt:variant>
      <vt:variant>
        <vt:lpwstr>..\..\..\..\..\Staff Manual\LOGOS\home builders logo\HBF_LOGO_BLACK_TEXT black.jpg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Radford Esq</dc:title>
  <dc:creator>Sue Green</dc:creator>
  <cp:lastModifiedBy>Ruth Scott</cp:lastModifiedBy>
  <cp:revision>2</cp:revision>
  <cp:lastPrinted>2000-02-03T15:57:00Z</cp:lastPrinted>
  <dcterms:created xsi:type="dcterms:W3CDTF">2015-09-23T11:40:00Z</dcterms:created>
  <dcterms:modified xsi:type="dcterms:W3CDTF">2015-09-23T11:40:00Z</dcterms:modified>
</cp:coreProperties>
</file>