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00C75CDF" w:rsidR="0028345D" w:rsidRPr="00C411E9" w:rsidRDefault="00C7395B" w:rsidP="0028345D">
      <w:pPr>
        <w:spacing w:line="276" w:lineRule="auto"/>
        <w:jc w:val="right"/>
        <w:rPr>
          <w:rFonts w:ascii="Times New Roman" w:hAnsi="Times New Roman" w:cs="Times New Roman"/>
        </w:rPr>
      </w:pPr>
      <w:r>
        <w:rPr>
          <w:rFonts w:ascii="Times New Roman" w:hAnsi="Times New Roman" w:cs="Times New Roman"/>
        </w:rPr>
        <w:t>mark.behendt@hbf.co.uk</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5ABB9364" w:rsidR="00F0430A" w:rsidRDefault="006E743B" w:rsidP="00F0430A">
      <w:pPr>
        <w:pStyle w:val="Heading3"/>
        <w:spacing w:after="240" w:line="276" w:lineRule="auto"/>
        <w:rPr>
          <w:rFonts w:ascii="Arial" w:hAnsi="Arial" w:cs="Arial"/>
          <w:sz w:val="22"/>
          <w:szCs w:val="22"/>
        </w:rPr>
      </w:pPr>
      <w:r>
        <w:rPr>
          <w:rFonts w:ascii="Arial" w:hAnsi="Arial" w:cs="Arial"/>
          <w:sz w:val="22"/>
          <w:szCs w:val="22"/>
        </w:rPr>
        <w:t>MILTON KEYNES CITY</w:t>
      </w:r>
      <w:r w:rsidR="00F0430A">
        <w:rPr>
          <w:rFonts w:ascii="Arial" w:hAnsi="Arial" w:cs="Arial"/>
          <w:sz w:val="22"/>
          <w:szCs w:val="22"/>
        </w:rPr>
        <w:t xml:space="preserve"> PLAN</w:t>
      </w:r>
      <w:r w:rsidR="0046276F">
        <w:rPr>
          <w:rFonts w:ascii="Arial" w:hAnsi="Arial" w:cs="Arial"/>
          <w:sz w:val="22"/>
          <w:szCs w:val="22"/>
        </w:rPr>
        <w:t xml:space="preserve"> 2050</w:t>
      </w:r>
    </w:p>
    <w:p w14:paraId="4F9A4834" w14:textId="7C69AD0C"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46276F">
        <w:rPr>
          <w:rFonts w:ascii="Times New Roman" w:hAnsi="Times New Roman" w:cs="Times New Roman"/>
          <w:bCs/>
        </w:rPr>
        <w:t>Milton Keynes City</w:t>
      </w:r>
      <w:r>
        <w:rPr>
          <w:rFonts w:ascii="Times New Roman" w:hAnsi="Times New Roman" w:cs="Times New Roman"/>
          <w:bCs/>
        </w:rPr>
        <w:t xml:space="preserve">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3D45C640" w14:textId="5FC7AB56" w:rsidR="009E1528" w:rsidRPr="00CC0CD2" w:rsidRDefault="007A1723" w:rsidP="007A1723">
      <w:pPr>
        <w:widowControl/>
        <w:suppressAutoHyphens w:val="0"/>
        <w:autoSpaceDE/>
        <w:spacing w:after="240" w:line="360" w:lineRule="auto"/>
        <w:jc w:val="both"/>
        <w:rPr>
          <w:rFonts w:ascii="Times New Roman" w:hAnsi="Times New Roman" w:cs="Times New Roman"/>
          <w:b/>
        </w:rPr>
      </w:pPr>
      <w:r w:rsidRPr="00CC0CD2">
        <w:rPr>
          <w:rFonts w:ascii="Times New Roman" w:hAnsi="Times New Roman" w:cs="Times New Roman"/>
          <w:b/>
        </w:rPr>
        <w:t>Duty to co-operate</w:t>
      </w:r>
    </w:p>
    <w:p w14:paraId="77E35EA4" w14:textId="7D15DA25" w:rsidR="007A1723" w:rsidRPr="000D4E91" w:rsidRDefault="007A1723" w:rsidP="000D4E91">
      <w:pPr>
        <w:widowControl/>
        <w:suppressAutoHyphens w:val="0"/>
        <w:autoSpaceDE/>
        <w:spacing w:after="240" w:line="360" w:lineRule="auto"/>
        <w:jc w:val="both"/>
        <w:rPr>
          <w:rFonts w:ascii="Times New Roman" w:hAnsi="Times New Roman" w:cs="Times New Roman"/>
          <w:bCs/>
        </w:rPr>
      </w:pPr>
      <w:r w:rsidRPr="000D4E91">
        <w:rPr>
          <w:rFonts w:ascii="Times New Roman" w:hAnsi="Times New Roman" w:cs="Times New Roman"/>
          <w:bCs/>
        </w:rPr>
        <w:t>I</w:t>
      </w:r>
      <w:r w:rsidR="00571A54" w:rsidRPr="000D4E91">
        <w:rPr>
          <w:rFonts w:ascii="Times New Roman" w:hAnsi="Times New Roman" w:cs="Times New Roman"/>
          <w:bCs/>
        </w:rPr>
        <w:t>n</w:t>
      </w:r>
      <w:r w:rsidRPr="000D4E91">
        <w:rPr>
          <w:rFonts w:ascii="Times New Roman" w:hAnsi="Times New Roman" w:cs="Times New Roman"/>
          <w:bCs/>
        </w:rPr>
        <w:t xml:space="preserve"> a recent </w:t>
      </w:r>
      <w:r w:rsidR="00571A54" w:rsidRPr="000D4E91">
        <w:rPr>
          <w:rFonts w:ascii="Times New Roman" w:hAnsi="Times New Roman" w:cs="Times New Roman"/>
          <w:bCs/>
        </w:rPr>
        <w:t>Written Ministerial</w:t>
      </w:r>
      <w:r w:rsidRPr="000D4E91">
        <w:rPr>
          <w:rFonts w:ascii="Times New Roman" w:hAnsi="Times New Roman" w:cs="Times New Roman"/>
          <w:bCs/>
        </w:rPr>
        <w:t xml:space="preserve"> </w:t>
      </w:r>
      <w:r w:rsidR="00571A54" w:rsidRPr="000D4E91">
        <w:rPr>
          <w:rFonts w:ascii="Times New Roman" w:hAnsi="Times New Roman" w:cs="Times New Roman"/>
          <w:bCs/>
        </w:rPr>
        <w:t>Statement,</w:t>
      </w:r>
      <w:r w:rsidRPr="000D4E91">
        <w:rPr>
          <w:rFonts w:ascii="Times New Roman" w:hAnsi="Times New Roman" w:cs="Times New Roman"/>
          <w:bCs/>
        </w:rPr>
        <w:t xml:space="preserve"> it has been confirmed that thew Duty to Co-</w:t>
      </w:r>
      <w:r w:rsidR="00571A54" w:rsidRPr="000D4E91">
        <w:rPr>
          <w:rFonts w:ascii="Times New Roman" w:hAnsi="Times New Roman" w:cs="Times New Roman"/>
          <w:bCs/>
        </w:rPr>
        <w:t>operate</w:t>
      </w:r>
      <w:r w:rsidRPr="000D4E91">
        <w:rPr>
          <w:rFonts w:ascii="Times New Roman" w:hAnsi="Times New Roman" w:cs="Times New Roman"/>
          <w:bCs/>
        </w:rPr>
        <w:t xml:space="preserve"> will not be maintained and that</w:t>
      </w:r>
      <w:r w:rsidR="00571A54" w:rsidRPr="000D4E91">
        <w:rPr>
          <w:rFonts w:ascii="Times New Roman" w:hAnsi="Times New Roman" w:cs="Times New Roman"/>
          <w:bCs/>
        </w:rPr>
        <w:t xml:space="preserve"> </w:t>
      </w:r>
      <w:r w:rsidR="00F471B4" w:rsidRPr="000D4E91">
        <w:rPr>
          <w:rFonts w:ascii="Times New Roman" w:hAnsi="Times New Roman" w:cs="Times New Roman"/>
          <w:bCs/>
        </w:rPr>
        <w:t xml:space="preserve">consideration as to the legal duty </w:t>
      </w:r>
      <w:r w:rsidR="00571A54" w:rsidRPr="000D4E91">
        <w:rPr>
          <w:rFonts w:ascii="Times New Roman" w:hAnsi="Times New Roman" w:cs="Times New Roman"/>
          <w:bCs/>
        </w:rPr>
        <w:t>will</w:t>
      </w:r>
      <w:r w:rsidR="00F471B4" w:rsidRPr="000D4E91">
        <w:rPr>
          <w:rFonts w:ascii="Times New Roman" w:hAnsi="Times New Roman" w:cs="Times New Roman"/>
          <w:bCs/>
        </w:rPr>
        <w:t xml:space="preserve"> no longer be </w:t>
      </w:r>
      <w:r w:rsidR="00571A54" w:rsidRPr="000D4E91">
        <w:rPr>
          <w:rFonts w:ascii="Times New Roman" w:hAnsi="Times New Roman" w:cs="Times New Roman"/>
          <w:bCs/>
        </w:rPr>
        <w:t xml:space="preserve">a factor when </w:t>
      </w:r>
      <w:r w:rsidR="0012352D" w:rsidRPr="000D4E91">
        <w:rPr>
          <w:rFonts w:ascii="Times New Roman" w:hAnsi="Times New Roman" w:cs="Times New Roman"/>
          <w:bCs/>
        </w:rPr>
        <w:t>considering</w:t>
      </w:r>
      <w:r w:rsidR="00F471B4" w:rsidRPr="000D4E91">
        <w:rPr>
          <w:rFonts w:ascii="Times New Roman" w:hAnsi="Times New Roman" w:cs="Times New Roman"/>
          <w:bCs/>
        </w:rPr>
        <w:t xml:space="preserve"> local </w:t>
      </w:r>
      <w:r w:rsidR="00571A54" w:rsidRPr="000D4E91">
        <w:rPr>
          <w:rFonts w:ascii="Times New Roman" w:hAnsi="Times New Roman" w:cs="Times New Roman"/>
          <w:bCs/>
        </w:rPr>
        <w:t>plans</w:t>
      </w:r>
      <w:r w:rsidR="00F471B4" w:rsidRPr="000D4E91">
        <w:rPr>
          <w:rFonts w:ascii="Times New Roman" w:hAnsi="Times New Roman" w:cs="Times New Roman"/>
          <w:bCs/>
        </w:rPr>
        <w:t xml:space="preserve"> in future. However, this </w:t>
      </w:r>
      <w:r w:rsidR="00571A54" w:rsidRPr="000D4E91">
        <w:rPr>
          <w:rFonts w:ascii="Times New Roman" w:hAnsi="Times New Roman" w:cs="Times New Roman"/>
          <w:bCs/>
        </w:rPr>
        <w:t>does</w:t>
      </w:r>
      <w:r w:rsidR="00F471B4" w:rsidRPr="000D4E91">
        <w:rPr>
          <w:rFonts w:ascii="Times New Roman" w:hAnsi="Times New Roman" w:cs="Times New Roman"/>
          <w:bCs/>
        </w:rPr>
        <w:t xml:space="preserve"> not </w:t>
      </w:r>
      <w:r w:rsidR="00571A54" w:rsidRPr="000D4E91">
        <w:rPr>
          <w:rFonts w:ascii="Times New Roman" w:hAnsi="Times New Roman" w:cs="Times New Roman"/>
          <w:bCs/>
        </w:rPr>
        <w:t>mean</w:t>
      </w:r>
      <w:r w:rsidR="00F471B4" w:rsidRPr="000D4E91">
        <w:rPr>
          <w:rFonts w:ascii="Times New Roman" w:hAnsi="Times New Roman" w:cs="Times New Roman"/>
          <w:bCs/>
        </w:rPr>
        <w:t xml:space="preserve"> that there is no longer a need for co-</w:t>
      </w:r>
      <w:r w:rsidR="00571A54" w:rsidRPr="000D4E91">
        <w:rPr>
          <w:rFonts w:ascii="Times New Roman" w:hAnsi="Times New Roman" w:cs="Times New Roman"/>
          <w:bCs/>
        </w:rPr>
        <w:t>operation</w:t>
      </w:r>
      <w:r w:rsidR="00F471B4" w:rsidRPr="000D4E91">
        <w:rPr>
          <w:rFonts w:ascii="Times New Roman" w:hAnsi="Times New Roman" w:cs="Times New Roman"/>
          <w:bCs/>
        </w:rPr>
        <w:t xml:space="preserve"> o</w:t>
      </w:r>
      <w:r w:rsidR="00571A54" w:rsidRPr="000D4E91">
        <w:rPr>
          <w:rFonts w:ascii="Times New Roman" w:hAnsi="Times New Roman" w:cs="Times New Roman"/>
          <w:bCs/>
        </w:rPr>
        <w:t xml:space="preserve">n strategic cross boundary matters. </w:t>
      </w:r>
      <w:r w:rsidR="00662C76" w:rsidRPr="000D4E91">
        <w:rPr>
          <w:rFonts w:ascii="Times New Roman" w:hAnsi="Times New Roman" w:cs="Times New Roman"/>
          <w:bCs/>
        </w:rPr>
        <w:t xml:space="preserve">Co-operation may not be a legal </w:t>
      </w:r>
      <w:r w:rsidR="008E7080" w:rsidRPr="000D4E91">
        <w:rPr>
          <w:rFonts w:ascii="Times New Roman" w:hAnsi="Times New Roman" w:cs="Times New Roman"/>
          <w:bCs/>
        </w:rPr>
        <w:t>test</w:t>
      </w:r>
      <w:r w:rsidR="00662C76" w:rsidRPr="000D4E91">
        <w:rPr>
          <w:rFonts w:ascii="Times New Roman" w:hAnsi="Times New Roman" w:cs="Times New Roman"/>
          <w:bCs/>
        </w:rPr>
        <w:t xml:space="preserve"> where failure result in the plan </w:t>
      </w:r>
      <w:r w:rsidR="008E7080" w:rsidRPr="000D4E91">
        <w:rPr>
          <w:rFonts w:ascii="Times New Roman" w:hAnsi="Times New Roman" w:cs="Times New Roman"/>
          <w:bCs/>
        </w:rPr>
        <w:t xml:space="preserve">being withdrawn but it remains a </w:t>
      </w:r>
      <w:r w:rsidR="00DC133D" w:rsidRPr="000D4E91">
        <w:rPr>
          <w:rFonts w:ascii="Times New Roman" w:hAnsi="Times New Roman" w:cs="Times New Roman"/>
          <w:bCs/>
        </w:rPr>
        <w:t xml:space="preserve">key </w:t>
      </w:r>
      <w:r w:rsidR="0012352D" w:rsidRPr="000D4E91">
        <w:rPr>
          <w:rFonts w:ascii="Times New Roman" w:hAnsi="Times New Roman" w:cs="Times New Roman"/>
          <w:bCs/>
        </w:rPr>
        <w:t>test</w:t>
      </w:r>
      <w:r w:rsidR="00DC133D" w:rsidRPr="000D4E91">
        <w:rPr>
          <w:rFonts w:ascii="Times New Roman" w:hAnsi="Times New Roman" w:cs="Times New Roman"/>
          <w:bCs/>
        </w:rPr>
        <w:t xml:space="preserve"> of soundness </w:t>
      </w:r>
      <w:r w:rsidR="0012352D" w:rsidRPr="000D4E91">
        <w:rPr>
          <w:rFonts w:ascii="Times New Roman" w:hAnsi="Times New Roman" w:cs="Times New Roman"/>
          <w:bCs/>
        </w:rPr>
        <w:t xml:space="preserve">in relation to paragraphs 24 to 28. </w:t>
      </w:r>
      <w:r w:rsidR="00662C76" w:rsidRPr="000D4E91">
        <w:rPr>
          <w:rFonts w:ascii="Times New Roman" w:hAnsi="Times New Roman" w:cs="Times New Roman"/>
          <w:bCs/>
        </w:rPr>
        <w:t xml:space="preserve"> </w:t>
      </w:r>
      <w:r w:rsidR="0012352D" w:rsidRPr="000D4E91">
        <w:rPr>
          <w:rFonts w:ascii="Times New Roman" w:hAnsi="Times New Roman" w:cs="Times New Roman"/>
          <w:bCs/>
        </w:rPr>
        <w:t xml:space="preserve">In </w:t>
      </w:r>
      <w:r w:rsidR="00A278E3" w:rsidRPr="000D4E91">
        <w:rPr>
          <w:rFonts w:ascii="Times New Roman" w:hAnsi="Times New Roman" w:cs="Times New Roman"/>
          <w:bCs/>
        </w:rPr>
        <w:t>order</w:t>
      </w:r>
      <w:r w:rsidR="0012352D" w:rsidRPr="000D4E91">
        <w:rPr>
          <w:rFonts w:ascii="Times New Roman" w:hAnsi="Times New Roman" w:cs="Times New Roman"/>
          <w:bCs/>
        </w:rPr>
        <w:t xml:space="preserve"> </w:t>
      </w:r>
      <w:r w:rsidR="00A278E3" w:rsidRPr="000D4E91">
        <w:rPr>
          <w:rFonts w:ascii="Times New Roman" w:hAnsi="Times New Roman" w:cs="Times New Roman"/>
          <w:bCs/>
        </w:rPr>
        <w:t>to</w:t>
      </w:r>
      <w:r w:rsidR="0012352D" w:rsidRPr="000D4E91">
        <w:rPr>
          <w:rFonts w:ascii="Times New Roman" w:hAnsi="Times New Roman" w:cs="Times New Roman"/>
          <w:bCs/>
        </w:rPr>
        <w:t xml:space="preserve"> </w:t>
      </w:r>
      <w:r w:rsidR="00A278E3" w:rsidRPr="000D4E91">
        <w:rPr>
          <w:rFonts w:ascii="Times New Roman" w:hAnsi="Times New Roman" w:cs="Times New Roman"/>
          <w:bCs/>
        </w:rPr>
        <w:t>test</w:t>
      </w:r>
      <w:r w:rsidR="0012352D" w:rsidRPr="000D4E91">
        <w:rPr>
          <w:rFonts w:ascii="Times New Roman" w:hAnsi="Times New Roman" w:cs="Times New Roman"/>
          <w:bCs/>
        </w:rPr>
        <w:t xml:space="preserve"> the </w:t>
      </w:r>
      <w:r w:rsidR="00A278E3" w:rsidRPr="000D4E91">
        <w:rPr>
          <w:rFonts w:ascii="Times New Roman" w:hAnsi="Times New Roman" w:cs="Times New Roman"/>
          <w:bCs/>
        </w:rPr>
        <w:t>soundness</w:t>
      </w:r>
      <w:r w:rsidR="0012352D" w:rsidRPr="000D4E91">
        <w:rPr>
          <w:rFonts w:ascii="Times New Roman" w:hAnsi="Times New Roman" w:cs="Times New Roman"/>
          <w:bCs/>
        </w:rPr>
        <w:t xml:space="preserve"> </w:t>
      </w:r>
      <w:r w:rsidR="00A278E3" w:rsidRPr="000D4E91">
        <w:rPr>
          <w:rFonts w:ascii="Times New Roman" w:hAnsi="Times New Roman" w:cs="Times New Roman"/>
          <w:bCs/>
        </w:rPr>
        <w:t xml:space="preserve">of the local plan on this matter </w:t>
      </w:r>
      <w:r w:rsidR="0012352D" w:rsidRPr="000D4E91">
        <w:rPr>
          <w:rFonts w:ascii="Times New Roman" w:hAnsi="Times New Roman" w:cs="Times New Roman"/>
          <w:bCs/>
        </w:rPr>
        <w:t xml:space="preserve">the </w:t>
      </w:r>
      <w:r w:rsidR="00A278E3" w:rsidRPr="000D4E91">
        <w:rPr>
          <w:rFonts w:ascii="Times New Roman" w:hAnsi="Times New Roman" w:cs="Times New Roman"/>
          <w:bCs/>
        </w:rPr>
        <w:t>Council</w:t>
      </w:r>
      <w:r w:rsidR="0012352D" w:rsidRPr="000D4E91">
        <w:rPr>
          <w:rFonts w:ascii="Times New Roman" w:hAnsi="Times New Roman" w:cs="Times New Roman"/>
          <w:bCs/>
        </w:rPr>
        <w:t xml:space="preserve"> must provide the </w:t>
      </w:r>
      <w:r w:rsidR="00A278E3" w:rsidRPr="000D4E91">
        <w:rPr>
          <w:rFonts w:ascii="Times New Roman" w:hAnsi="Times New Roman" w:cs="Times New Roman"/>
          <w:bCs/>
        </w:rPr>
        <w:t>necessary</w:t>
      </w:r>
      <w:r w:rsidR="0012352D" w:rsidRPr="000D4E91">
        <w:rPr>
          <w:rFonts w:ascii="Times New Roman" w:hAnsi="Times New Roman" w:cs="Times New Roman"/>
          <w:bCs/>
        </w:rPr>
        <w:t xml:space="preserve"> evidence including </w:t>
      </w:r>
      <w:r w:rsidR="006A3252" w:rsidRPr="000D4E91">
        <w:rPr>
          <w:rFonts w:ascii="Times New Roman" w:hAnsi="Times New Roman" w:cs="Times New Roman"/>
          <w:bCs/>
        </w:rPr>
        <w:t xml:space="preserve">statement so common ground to demonstrate </w:t>
      </w:r>
      <w:r w:rsidR="00A278E3" w:rsidRPr="000D4E91">
        <w:rPr>
          <w:rFonts w:ascii="Times New Roman" w:hAnsi="Times New Roman" w:cs="Times New Roman"/>
          <w:bCs/>
        </w:rPr>
        <w:t>effective</w:t>
      </w:r>
      <w:r w:rsidR="006A3252" w:rsidRPr="000D4E91">
        <w:rPr>
          <w:rFonts w:ascii="Times New Roman" w:hAnsi="Times New Roman" w:cs="Times New Roman"/>
          <w:bCs/>
        </w:rPr>
        <w:t xml:space="preserve"> and </w:t>
      </w:r>
      <w:r w:rsidR="007F2EBA" w:rsidRPr="000D4E91">
        <w:rPr>
          <w:rFonts w:ascii="Times New Roman" w:hAnsi="Times New Roman" w:cs="Times New Roman"/>
          <w:bCs/>
        </w:rPr>
        <w:t>ongoing</w:t>
      </w:r>
      <w:r w:rsidR="006A3252" w:rsidRPr="000D4E91">
        <w:rPr>
          <w:rFonts w:ascii="Times New Roman" w:hAnsi="Times New Roman" w:cs="Times New Roman"/>
          <w:bCs/>
        </w:rPr>
        <w:t xml:space="preserve"> co-operation </w:t>
      </w:r>
      <w:r w:rsidR="00A278E3" w:rsidRPr="000D4E91">
        <w:rPr>
          <w:rFonts w:ascii="Times New Roman" w:hAnsi="Times New Roman" w:cs="Times New Roman"/>
          <w:bCs/>
        </w:rPr>
        <w:t>during the</w:t>
      </w:r>
      <w:r w:rsidR="006A3252" w:rsidRPr="000D4E91">
        <w:rPr>
          <w:rFonts w:ascii="Times New Roman" w:hAnsi="Times New Roman" w:cs="Times New Roman"/>
          <w:bCs/>
        </w:rPr>
        <w:t xml:space="preserve"> </w:t>
      </w:r>
      <w:r w:rsidR="00A278E3" w:rsidRPr="000D4E91">
        <w:rPr>
          <w:rFonts w:ascii="Times New Roman" w:hAnsi="Times New Roman" w:cs="Times New Roman"/>
          <w:bCs/>
        </w:rPr>
        <w:t>preparation of this local plan</w:t>
      </w:r>
      <w:r w:rsidR="006A3252" w:rsidRPr="000D4E91">
        <w:rPr>
          <w:rFonts w:ascii="Times New Roman" w:hAnsi="Times New Roman" w:cs="Times New Roman"/>
          <w:bCs/>
        </w:rPr>
        <w:t xml:space="preserve"> </w:t>
      </w:r>
      <w:r w:rsidR="007F2EBA" w:rsidRPr="000D4E91">
        <w:rPr>
          <w:rFonts w:ascii="Times New Roman" w:hAnsi="Times New Roman" w:cs="Times New Roman"/>
          <w:bCs/>
        </w:rPr>
        <w:t xml:space="preserve">and where it has impacted on the strategy and </w:t>
      </w:r>
      <w:r w:rsidR="00B50183" w:rsidRPr="000D4E91">
        <w:rPr>
          <w:rFonts w:ascii="Times New Roman" w:hAnsi="Times New Roman" w:cs="Times New Roman"/>
          <w:bCs/>
        </w:rPr>
        <w:t>policies</w:t>
      </w:r>
      <w:r w:rsidR="007F2EBA" w:rsidRPr="000D4E91">
        <w:rPr>
          <w:rFonts w:ascii="Times New Roman" w:hAnsi="Times New Roman" w:cs="Times New Roman"/>
          <w:bCs/>
        </w:rPr>
        <w:t xml:space="preserve"> it contains. </w:t>
      </w:r>
      <w:r w:rsidR="0080648C" w:rsidRPr="000D4E91">
        <w:rPr>
          <w:rFonts w:ascii="Times New Roman" w:hAnsi="Times New Roman" w:cs="Times New Roman"/>
          <w:bCs/>
        </w:rPr>
        <w:t xml:space="preserve">At present the Duty to </w:t>
      </w:r>
      <w:r w:rsidR="002B626D" w:rsidRPr="000D4E91">
        <w:rPr>
          <w:rFonts w:ascii="Times New Roman" w:hAnsi="Times New Roman" w:cs="Times New Roman"/>
          <w:bCs/>
        </w:rPr>
        <w:t>Co-operate</w:t>
      </w:r>
      <w:r w:rsidR="0080648C" w:rsidRPr="000D4E91">
        <w:rPr>
          <w:rFonts w:ascii="Times New Roman" w:hAnsi="Times New Roman" w:cs="Times New Roman"/>
          <w:bCs/>
        </w:rPr>
        <w:t xml:space="preserve"> Statement provides limited evidence as to </w:t>
      </w:r>
      <w:r w:rsidR="00BB0F12" w:rsidRPr="000D4E91">
        <w:rPr>
          <w:rFonts w:ascii="Times New Roman" w:hAnsi="Times New Roman" w:cs="Times New Roman"/>
          <w:bCs/>
        </w:rPr>
        <w:t xml:space="preserve">the issues and discussions that have </w:t>
      </w:r>
      <w:r w:rsidR="002B626D" w:rsidRPr="000D4E91">
        <w:rPr>
          <w:rFonts w:ascii="Times New Roman" w:hAnsi="Times New Roman" w:cs="Times New Roman"/>
          <w:bCs/>
        </w:rPr>
        <w:t>taken</w:t>
      </w:r>
      <w:r w:rsidR="00BB0F12" w:rsidRPr="000D4E91">
        <w:rPr>
          <w:rFonts w:ascii="Times New Roman" w:hAnsi="Times New Roman" w:cs="Times New Roman"/>
          <w:bCs/>
        </w:rPr>
        <w:t xml:space="preserve"> place and HBF would suggest that Statements of Common Ground are </w:t>
      </w:r>
      <w:r w:rsidR="002B626D" w:rsidRPr="000D4E91">
        <w:rPr>
          <w:rFonts w:ascii="Times New Roman" w:hAnsi="Times New Roman" w:cs="Times New Roman"/>
          <w:bCs/>
        </w:rPr>
        <w:t>published</w:t>
      </w:r>
      <w:r w:rsidR="00BB0F12" w:rsidRPr="000D4E91">
        <w:rPr>
          <w:rFonts w:ascii="Times New Roman" w:hAnsi="Times New Roman" w:cs="Times New Roman"/>
          <w:bCs/>
        </w:rPr>
        <w:t xml:space="preserve"> </w:t>
      </w:r>
      <w:r w:rsidR="002B626D" w:rsidRPr="000D4E91">
        <w:rPr>
          <w:rFonts w:ascii="Times New Roman" w:hAnsi="Times New Roman" w:cs="Times New Roman"/>
          <w:bCs/>
        </w:rPr>
        <w:t xml:space="preserve">when the plan is submitted for examination. </w:t>
      </w:r>
    </w:p>
    <w:p w14:paraId="45DB2698" w14:textId="00186399" w:rsidR="00723058" w:rsidRDefault="00723058" w:rsidP="00391CB8">
      <w:pPr>
        <w:widowControl/>
        <w:suppressAutoHyphens w:val="0"/>
        <w:autoSpaceDE/>
        <w:spacing w:after="240" w:line="360" w:lineRule="auto"/>
        <w:jc w:val="both"/>
        <w:rPr>
          <w:rFonts w:ascii="Times New Roman" w:hAnsi="Times New Roman" w:cs="Times New Roman"/>
          <w:b/>
        </w:rPr>
      </w:pPr>
      <w:r w:rsidRPr="00723058">
        <w:rPr>
          <w:rFonts w:ascii="Times New Roman" w:hAnsi="Times New Roman" w:cs="Times New Roman"/>
          <w:b/>
        </w:rPr>
        <w:t>GS2 – Strategy for Homes</w:t>
      </w:r>
    </w:p>
    <w:p w14:paraId="5B59000B" w14:textId="5385ED47" w:rsidR="0092564D" w:rsidRDefault="0092564D" w:rsidP="00391CB8">
      <w:pPr>
        <w:widowControl/>
        <w:suppressAutoHyphens w:val="0"/>
        <w:autoSpaceDE/>
        <w:spacing w:after="240" w:line="360" w:lineRule="auto"/>
        <w:jc w:val="both"/>
        <w:rPr>
          <w:rFonts w:ascii="Times New Roman" w:hAnsi="Times New Roman" w:cs="Times New Roman"/>
          <w:bCs/>
          <w:u w:val="single"/>
        </w:rPr>
      </w:pPr>
      <w:r w:rsidRPr="0092564D">
        <w:rPr>
          <w:rFonts w:ascii="Times New Roman" w:hAnsi="Times New Roman" w:cs="Times New Roman"/>
          <w:bCs/>
          <w:u w:val="single"/>
        </w:rPr>
        <w:t>Policy is unsound as it is not consistent with national policy</w:t>
      </w:r>
      <w:r w:rsidR="00E92EF8">
        <w:rPr>
          <w:rFonts w:ascii="Times New Roman" w:hAnsi="Times New Roman" w:cs="Times New Roman"/>
          <w:bCs/>
          <w:u w:val="single"/>
        </w:rPr>
        <w:t xml:space="preserve"> and guidance</w:t>
      </w:r>
      <w:r w:rsidRPr="0092564D">
        <w:rPr>
          <w:rFonts w:ascii="Times New Roman" w:hAnsi="Times New Roman" w:cs="Times New Roman"/>
          <w:bCs/>
          <w:u w:val="single"/>
        </w:rPr>
        <w:t>.</w:t>
      </w:r>
    </w:p>
    <w:p w14:paraId="3826044C" w14:textId="3FF6ACDE" w:rsidR="00E92EF8" w:rsidRPr="00E92EF8" w:rsidRDefault="00E92EF8" w:rsidP="00391CB8">
      <w:pPr>
        <w:widowControl/>
        <w:suppressAutoHyphens w:val="0"/>
        <w:autoSpaceDE/>
        <w:spacing w:after="240" w:line="360" w:lineRule="auto"/>
        <w:jc w:val="both"/>
        <w:rPr>
          <w:rFonts w:ascii="Times New Roman" w:hAnsi="Times New Roman" w:cs="Times New Roman"/>
          <w:bCs/>
          <w:i/>
          <w:iCs/>
        </w:rPr>
      </w:pPr>
      <w:r w:rsidRPr="00E92EF8">
        <w:rPr>
          <w:rFonts w:ascii="Times New Roman" w:hAnsi="Times New Roman" w:cs="Times New Roman"/>
          <w:bCs/>
          <w:i/>
          <w:iCs/>
        </w:rPr>
        <w:t>Housing needs</w:t>
      </w:r>
    </w:p>
    <w:p w14:paraId="11757723" w14:textId="478B2EA8" w:rsidR="00391CB8" w:rsidRPr="002713AF" w:rsidRDefault="00C9010A"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While HBF agree with the Council’s assessment of housing needs using he standard method</w:t>
      </w:r>
      <w:r w:rsidR="00B10F4A">
        <w:rPr>
          <w:rFonts w:ascii="Times New Roman" w:hAnsi="Times New Roman" w:cs="Times New Roman"/>
          <w:bCs/>
        </w:rPr>
        <w:t>,</w:t>
      </w:r>
      <w:r>
        <w:rPr>
          <w:rFonts w:ascii="Times New Roman" w:hAnsi="Times New Roman" w:cs="Times New Roman"/>
          <w:bCs/>
        </w:rPr>
        <w:t xml:space="preserve"> </w:t>
      </w:r>
      <w:r w:rsidR="00B10F4A">
        <w:rPr>
          <w:rFonts w:ascii="Times New Roman" w:hAnsi="Times New Roman" w:cs="Times New Roman"/>
          <w:bCs/>
        </w:rPr>
        <w:t>we</w:t>
      </w:r>
      <w:r w:rsidR="00310EDB">
        <w:rPr>
          <w:rFonts w:ascii="Times New Roman" w:hAnsi="Times New Roman" w:cs="Times New Roman"/>
          <w:bCs/>
        </w:rPr>
        <w:t xml:space="preserve"> do not consider</w:t>
      </w:r>
      <w:r w:rsidR="00391CB8" w:rsidRPr="002713AF">
        <w:rPr>
          <w:rFonts w:ascii="Times New Roman" w:hAnsi="Times New Roman" w:cs="Times New Roman"/>
          <w:bCs/>
        </w:rPr>
        <w:t xml:space="preserve"> the period over which total housing need is derived</w:t>
      </w:r>
      <w:r w:rsidR="00310EDB">
        <w:rPr>
          <w:rFonts w:ascii="Times New Roman" w:hAnsi="Times New Roman" w:cs="Times New Roman"/>
          <w:bCs/>
        </w:rPr>
        <w:t xml:space="preserve"> to be sound</w:t>
      </w:r>
      <w:r w:rsidR="00391CB8" w:rsidRPr="002713AF">
        <w:rPr>
          <w:rFonts w:ascii="Times New Roman" w:hAnsi="Times New Roman" w:cs="Times New Roman"/>
          <w:bCs/>
        </w:rPr>
        <w:t>. The Council have chosen to start the plan period from April 202</w:t>
      </w:r>
      <w:r w:rsidR="00F24B0F" w:rsidRPr="002713AF">
        <w:rPr>
          <w:rFonts w:ascii="Times New Roman" w:hAnsi="Times New Roman" w:cs="Times New Roman"/>
          <w:bCs/>
        </w:rPr>
        <w:t xml:space="preserve">2 – </w:t>
      </w:r>
      <w:r w:rsidR="00D96D39" w:rsidRPr="002713AF">
        <w:rPr>
          <w:rFonts w:ascii="Times New Roman" w:hAnsi="Times New Roman" w:cs="Times New Roman"/>
          <w:bCs/>
        </w:rPr>
        <w:t>four</w:t>
      </w:r>
      <w:r w:rsidR="004948FC" w:rsidRPr="002713AF">
        <w:rPr>
          <w:rFonts w:ascii="Times New Roman" w:hAnsi="Times New Roman" w:cs="Times New Roman"/>
          <w:bCs/>
        </w:rPr>
        <w:t xml:space="preserve"> </w:t>
      </w:r>
      <w:r w:rsidR="00D96D39" w:rsidRPr="002713AF">
        <w:rPr>
          <w:rFonts w:ascii="Times New Roman" w:hAnsi="Times New Roman" w:cs="Times New Roman"/>
          <w:bCs/>
        </w:rPr>
        <w:t>years prior to the submission of the plan for examination.</w:t>
      </w:r>
      <w:r w:rsidR="004948FC" w:rsidRPr="002713AF">
        <w:rPr>
          <w:rFonts w:ascii="Times New Roman" w:hAnsi="Times New Roman" w:cs="Times New Roman"/>
          <w:bCs/>
        </w:rPr>
        <w:t xml:space="preserve"> </w:t>
      </w:r>
      <w:r w:rsidR="00391CB8" w:rsidRPr="002713AF">
        <w:rPr>
          <w:rFonts w:ascii="Times New Roman" w:hAnsi="Times New Roman" w:cs="Times New Roman"/>
          <w:bCs/>
        </w:rPr>
        <w:t>When considering the starting point over which housing needs should be planned for it is important to note that the standard method is a forward looking assessment of housing need that takes into account any past supply. This principle is established in paragraph 68-031 of PPG which states with regard to past under de-livery “</w:t>
      </w:r>
      <w:r w:rsidR="00391CB8" w:rsidRPr="002713AF">
        <w:rPr>
          <w:rFonts w:ascii="Times New Roman" w:hAnsi="Times New Roman" w:cs="Times New Roman"/>
          <w:bCs/>
          <w:i/>
          <w:iCs/>
        </w:rPr>
        <w:t xml:space="preserve">Where the standard method for assessing local housing </w:t>
      </w:r>
      <w:r w:rsidR="00391CB8" w:rsidRPr="002713AF">
        <w:rPr>
          <w:rFonts w:ascii="Times New Roman" w:hAnsi="Times New Roman" w:cs="Times New Roman"/>
          <w:bCs/>
          <w:i/>
          <w:iCs/>
        </w:rPr>
        <w:lastRenderedPageBreak/>
        <w:t>need is used as the starting point in forming the planned requirement for housing, Step 2 of the standard method factors in past under-delivery as part of the affordability ratio, so there is no requirement to specifically address under-delivery separately when establishing the minimum annual local housing need figure</w:t>
      </w:r>
      <w:r w:rsidR="00391CB8" w:rsidRPr="002713AF">
        <w:rPr>
          <w:rFonts w:ascii="Times New Roman" w:hAnsi="Times New Roman" w:cs="Times New Roman"/>
          <w:bCs/>
        </w:rPr>
        <w:t>”. This is a clear statement that when using the standard method councils should be looking forward from the point at which the assessment is made, and that past supply is wrapped up in the affordability adjustment. As such the approach being taken by the Council does not align with national policy.</w:t>
      </w:r>
    </w:p>
    <w:p w14:paraId="62683B93" w14:textId="46E7AF6E" w:rsidR="00391CB8" w:rsidRPr="00391CB8" w:rsidRDefault="00391CB8" w:rsidP="00D63EFB">
      <w:pPr>
        <w:widowControl/>
        <w:suppressAutoHyphens w:val="0"/>
        <w:autoSpaceDE/>
        <w:spacing w:after="240" w:line="360" w:lineRule="auto"/>
        <w:jc w:val="both"/>
        <w:rPr>
          <w:rFonts w:ascii="Times New Roman" w:hAnsi="Times New Roman" w:cs="Times New Roman"/>
          <w:bCs/>
        </w:rPr>
      </w:pPr>
      <w:r w:rsidRPr="00391CB8">
        <w:rPr>
          <w:rFonts w:ascii="Times New Roman" w:hAnsi="Times New Roman" w:cs="Times New Roman"/>
          <w:bCs/>
        </w:rPr>
        <w:t xml:space="preserve">The starting point for the period over which housing needs are considered should be the year in which the housing needs assessment is undertaken. On the basis of the Council’s Local Development Scheme, it is the Council’s ambition submit </w:t>
      </w:r>
      <w:r w:rsidR="00922130">
        <w:rPr>
          <w:rFonts w:ascii="Times New Roman" w:hAnsi="Times New Roman" w:cs="Times New Roman"/>
          <w:bCs/>
        </w:rPr>
        <w:t xml:space="preserve">in March </w:t>
      </w:r>
      <w:r w:rsidR="00162155">
        <w:rPr>
          <w:rFonts w:ascii="Times New Roman" w:hAnsi="Times New Roman" w:cs="Times New Roman"/>
          <w:bCs/>
        </w:rPr>
        <w:t xml:space="preserve">of </w:t>
      </w:r>
      <w:r w:rsidR="00922130">
        <w:rPr>
          <w:rFonts w:ascii="Times New Roman" w:hAnsi="Times New Roman" w:cs="Times New Roman"/>
          <w:bCs/>
        </w:rPr>
        <w:t>2026</w:t>
      </w:r>
      <w:r w:rsidR="00162155">
        <w:rPr>
          <w:rFonts w:ascii="Times New Roman" w:hAnsi="Times New Roman" w:cs="Times New Roman"/>
          <w:bCs/>
        </w:rPr>
        <w:t xml:space="preserve"> prior to any updates to the </w:t>
      </w:r>
      <w:r w:rsidR="002F01A9">
        <w:rPr>
          <w:rFonts w:ascii="Times New Roman" w:hAnsi="Times New Roman" w:cs="Times New Roman"/>
          <w:bCs/>
        </w:rPr>
        <w:t>evidence underpinning the Standard Method</w:t>
      </w:r>
      <w:r w:rsidRPr="00391CB8">
        <w:rPr>
          <w:rFonts w:ascii="Times New Roman" w:hAnsi="Times New Roman" w:cs="Times New Roman"/>
          <w:bCs/>
        </w:rPr>
        <w:t xml:space="preserve">. This means that the assessment of housing needs will </w:t>
      </w:r>
      <w:r w:rsidR="002F01A9">
        <w:rPr>
          <w:rFonts w:ascii="Times New Roman" w:hAnsi="Times New Roman" w:cs="Times New Roman"/>
          <w:bCs/>
        </w:rPr>
        <w:t>be</w:t>
      </w:r>
      <w:r w:rsidR="0016213B">
        <w:rPr>
          <w:rFonts w:ascii="Times New Roman" w:hAnsi="Times New Roman" w:cs="Times New Roman"/>
          <w:bCs/>
        </w:rPr>
        <w:t xml:space="preserve"> calculated</w:t>
      </w:r>
      <w:r w:rsidRPr="00391CB8">
        <w:rPr>
          <w:rFonts w:ascii="Times New Roman" w:hAnsi="Times New Roman" w:cs="Times New Roman"/>
          <w:bCs/>
        </w:rPr>
        <w:t xml:space="preserve"> on the most recent data </w:t>
      </w:r>
      <w:r w:rsidR="009475C3">
        <w:rPr>
          <w:rFonts w:ascii="Times New Roman" w:hAnsi="Times New Roman" w:cs="Times New Roman"/>
          <w:bCs/>
        </w:rPr>
        <w:t xml:space="preserve">on </w:t>
      </w:r>
      <w:r w:rsidRPr="00391CB8">
        <w:rPr>
          <w:rFonts w:ascii="Times New Roman" w:hAnsi="Times New Roman" w:cs="Times New Roman"/>
          <w:bCs/>
        </w:rPr>
        <w:t>dwelling stock and the affordability ratio</w:t>
      </w:r>
      <w:r w:rsidR="009475C3">
        <w:rPr>
          <w:rFonts w:ascii="Times New Roman" w:hAnsi="Times New Roman" w:cs="Times New Roman"/>
          <w:bCs/>
        </w:rPr>
        <w:t xml:space="preserve"> published in 2025</w:t>
      </w:r>
      <w:r w:rsidR="00D417FC">
        <w:rPr>
          <w:rFonts w:ascii="Times New Roman" w:hAnsi="Times New Roman" w:cs="Times New Roman"/>
          <w:bCs/>
        </w:rPr>
        <w:t xml:space="preserve"> </w:t>
      </w:r>
      <w:r w:rsidRPr="00391CB8">
        <w:rPr>
          <w:rFonts w:ascii="Times New Roman" w:hAnsi="Times New Roman" w:cs="Times New Roman"/>
          <w:bCs/>
        </w:rPr>
        <w:t>with the five year average being taken from the years 202</w:t>
      </w:r>
      <w:r w:rsidR="005C3FB3">
        <w:rPr>
          <w:rFonts w:ascii="Times New Roman" w:hAnsi="Times New Roman" w:cs="Times New Roman"/>
          <w:bCs/>
        </w:rPr>
        <w:t>0</w:t>
      </w:r>
      <w:r w:rsidRPr="00391CB8">
        <w:rPr>
          <w:rFonts w:ascii="Times New Roman" w:hAnsi="Times New Roman" w:cs="Times New Roman"/>
          <w:bCs/>
        </w:rPr>
        <w:t xml:space="preserve"> to 202</w:t>
      </w:r>
      <w:r w:rsidR="005C3FB3">
        <w:rPr>
          <w:rFonts w:ascii="Times New Roman" w:hAnsi="Times New Roman" w:cs="Times New Roman"/>
          <w:bCs/>
        </w:rPr>
        <w:t>4</w:t>
      </w:r>
      <w:r w:rsidRPr="00391CB8">
        <w:rPr>
          <w:rFonts w:ascii="Times New Roman" w:hAnsi="Times New Roman" w:cs="Times New Roman"/>
          <w:bCs/>
        </w:rPr>
        <w:t xml:space="preserve">. As </w:t>
      </w:r>
      <w:r w:rsidR="00CA3F3A">
        <w:rPr>
          <w:rFonts w:ascii="Times New Roman" w:hAnsi="Times New Roman" w:cs="Times New Roman"/>
          <w:bCs/>
        </w:rPr>
        <w:t xml:space="preserve">such HBF </w:t>
      </w:r>
      <w:r w:rsidRPr="00391CB8">
        <w:rPr>
          <w:rFonts w:ascii="Times New Roman" w:hAnsi="Times New Roman" w:cs="Times New Roman"/>
          <w:bCs/>
        </w:rPr>
        <w:t>would suggest that the plan period should start from 202</w:t>
      </w:r>
      <w:r w:rsidR="008C0F19">
        <w:rPr>
          <w:rFonts w:ascii="Times New Roman" w:hAnsi="Times New Roman" w:cs="Times New Roman"/>
          <w:bCs/>
        </w:rPr>
        <w:t>5</w:t>
      </w:r>
      <w:r w:rsidRPr="00391CB8">
        <w:rPr>
          <w:rFonts w:ascii="Times New Roman" w:hAnsi="Times New Roman" w:cs="Times New Roman"/>
          <w:bCs/>
        </w:rPr>
        <w:t>/2</w:t>
      </w:r>
      <w:r w:rsidR="008C0F19">
        <w:rPr>
          <w:rFonts w:ascii="Times New Roman" w:hAnsi="Times New Roman" w:cs="Times New Roman"/>
          <w:bCs/>
        </w:rPr>
        <w:t>6</w:t>
      </w:r>
      <w:r w:rsidR="00CA3F3A">
        <w:rPr>
          <w:rFonts w:ascii="Times New Roman" w:hAnsi="Times New Roman" w:cs="Times New Roman"/>
          <w:bCs/>
        </w:rPr>
        <w:t xml:space="preserve"> and not </w:t>
      </w:r>
      <w:r w:rsidR="00094186">
        <w:rPr>
          <w:rFonts w:ascii="Times New Roman" w:hAnsi="Times New Roman" w:cs="Times New Roman"/>
          <w:bCs/>
        </w:rPr>
        <w:t>2022/23</w:t>
      </w:r>
      <w:r w:rsidRPr="00391CB8">
        <w:rPr>
          <w:rFonts w:ascii="Times New Roman" w:hAnsi="Times New Roman" w:cs="Times New Roman"/>
          <w:bCs/>
        </w:rPr>
        <w:t>.</w:t>
      </w:r>
    </w:p>
    <w:p w14:paraId="53C269A4" w14:textId="516D09E6" w:rsidR="00391CB8" w:rsidRPr="00391CB8" w:rsidRDefault="00391CB8" w:rsidP="00D63EFB">
      <w:pPr>
        <w:widowControl/>
        <w:suppressAutoHyphens w:val="0"/>
        <w:autoSpaceDE/>
        <w:spacing w:after="240" w:line="360" w:lineRule="auto"/>
        <w:jc w:val="both"/>
        <w:rPr>
          <w:rFonts w:ascii="Times New Roman" w:hAnsi="Times New Roman" w:cs="Times New Roman"/>
          <w:bCs/>
        </w:rPr>
      </w:pPr>
      <w:r w:rsidRPr="00391CB8">
        <w:rPr>
          <w:rFonts w:ascii="Times New Roman" w:hAnsi="Times New Roman" w:cs="Times New Roman"/>
          <w:bCs/>
        </w:rPr>
        <w:t xml:space="preserve">No reason has been given in the local plan as to why the Council have chosen </w:t>
      </w:r>
      <w:r w:rsidR="00094186">
        <w:rPr>
          <w:rFonts w:ascii="Times New Roman" w:hAnsi="Times New Roman" w:cs="Times New Roman"/>
          <w:bCs/>
        </w:rPr>
        <w:t>to start</w:t>
      </w:r>
      <w:r w:rsidRPr="00391CB8">
        <w:rPr>
          <w:rFonts w:ascii="Times New Roman" w:hAnsi="Times New Roman" w:cs="Times New Roman"/>
          <w:bCs/>
        </w:rPr>
        <w:t xml:space="preserve"> the plan period some </w:t>
      </w:r>
      <w:r w:rsidR="00363768">
        <w:rPr>
          <w:rFonts w:ascii="Times New Roman" w:hAnsi="Times New Roman" w:cs="Times New Roman"/>
          <w:bCs/>
        </w:rPr>
        <w:t>four</w:t>
      </w:r>
      <w:r w:rsidRPr="00391CB8">
        <w:rPr>
          <w:rFonts w:ascii="Times New Roman" w:hAnsi="Times New Roman" w:cs="Times New Roman"/>
          <w:bCs/>
        </w:rPr>
        <w:t xml:space="preserve"> years before the plan is submitted for examination – but it would appear that the Council were seeking to include a period of housing supply which exceed</w:t>
      </w:r>
      <w:r w:rsidR="00363768">
        <w:rPr>
          <w:rFonts w:ascii="Times New Roman" w:hAnsi="Times New Roman" w:cs="Times New Roman"/>
          <w:bCs/>
        </w:rPr>
        <w:t>s</w:t>
      </w:r>
      <w:r w:rsidRPr="00391CB8">
        <w:rPr>
          <w:rFonts w:ascii="Times New Roman" w:hAnsi="Times New Roman" w:cs="Times New Roman"/>
          <w:bCs/>
        </w:rPr>
        <w:t xml:space="preserve"> the requirement</w:t>
      </w:r>
      <w:r w:rsidR="00363768">
        <w:rPr>
          <w:rFonts w:ascii="Times New Roman" w:hAnsi="Times New Roman" w:cs="Times New Roman"/>
          <w:bCs/>
        </w:rPr>
        <w:t xml:space="preserve"> in the years prior to submission</w:t>
      </w:r>
      <w:r w:rsidRPr="00391CB8">
        <w:rPr>
          <w:rFonts w:ascii="Times New Roman" w:hAnsi="Times New Roman" w:cs="Times New Roman"/>
          <w:bCs/>
        </w:rPr>
        <w:t>. Over the period 202</w:t>
      </w:r>
      <w:r w:rsidR="00363768">
        <w:rPr>
          <w:rFonts w:ascii="Times New Roman" w:hAnsi="Times New Roman" w:cs="Times New Roman"/>
          <w:bCs/>
        </w:rPr>
        <w:t>2</w:t>
      </w:r>
      <w:r w:rsidRPr="00391CB8">
        <w:rPr>
          <w:rFonts w:ascii="Times New Roman" w:hAnsi="Times New Roman" w:cs="Times New Roman"/>
          <w:bCs/>
        </w:rPr>
        <w:t>/2</w:t>
      </w:r>
      <w:r w:rsidR="00363768">
        <w:rPr>
          <w:rFonts w:ascii="Times New Roman" w:hAnsi="Times New Roman" w:cs="Times New Roman"/>
          <w:bCs/>
        </w:rPr>
        <w:t>3</w:t>
      </w:r>
      <w:r w:rsidRPr="00391CB8">
        <w:rPr>
          <w:rFonts w:ascii="Times New Roman" w:hAnsi="Times New Roman" w:cs="Times New Roman"/>
          <w:bCs/>
        </w:rPr>
        <w:t xml:space="preserve"> to 202</w:t>
      </w:r>
      <w:r w:rsidR="002701DC">
        <w:rPr>
          <w:rFonts w:ascii="Times New Roman" w:hAnsi="Times New Roman" w:cs="Times New Roman"/>
          <w:bCs/>
        </w:rPr>
        <w:t>4</w:t>
      </w:r>
      <w:r w:rsidRPr="00391CB8">
        <w:rPr>
          <w:rFonts w:ascii="Times New Roman" w:hAnsi="Times New Roman" w:cs="Times New Roman"/>
          <w:bCs/>
        </w:rPr>
        <w:t>/2</w:t>
      </w:r>
      <w:r w:rsidR="002701DC">
        <w:rPr>
          <w:rFonts w:ascii="Times New Roman" w:hAnsi="Times New Roman" w:cs="Times New Roman"/>
          <w:bCs/>
        </w:rPr>
        <w:t>5</w:t>
      </w:r>
      <w:r w:rsidRPr="00391CB8">
        <w:rPr>
          <w:rFonts w:ascii="Times New Roman" w:hAnsi="Times New Roman" w:cs="Times New Roman"/>
          <w:bCs/>
        </w:rPr>
        <w:t xml:space="preserve"> the Council delivered </w:t>
      </w:r>
      <w:r w:rsidR="000B6B7B">
        <w:rPr>
          <w:rFonts w:ascii="Times New Roman" w:hAnsi="Times New Roman" w:cs="Times New Roman"/>
          <w:bCs/>
        </w:rPr>
        <w:t>7</w:t>
      </w:r>
      <w:r w:rsidRPr="00391CB8">
        <w:rPr>
          <w:rFonts w:ascii="Times New Roman" w:hAnsi="Times New Roman" w:cs="Times New Roman"/>
          <w:bCs/>
        </w:rPr>
        <w:t>,</w:t>
      </w:r>
      <w:r w:rsidR="000B6B7B">
        <w:rPr>
          <w:rFonts w:ascii="Times New Roman" w:hAnsi="Times New Roman" w:cs="Times New Roman"/>
          <w:bCs/>
        </w:rPr>
        <w:t>161</w:t>
      </w:r>
      <w:r w:rsidRPr="00391CB8">
        <w:rPr>
          <w:rFonts w:ascii="Times New Roman" w:hAnsi="Times New Roman" w:cs="Times New Roman"/>
          <w:bCs/>
        </w:rPr>
        <w:t xml:space="preserve"> homes against a housing requirement of </w:t>
      </w:r>
      <w:r w:rsidR="008F5227">
        <w:rPr>
          <w:rFonts w:ascii="Times New Roman" w:hAnsi="Times New Roman" w:cs="Times New Roman"/>
          <w:bCs/>
        </w:rPr>
        <w:t>5</w:t>
      </w:r>
      <w:r w:rsidRPr="00391CB8">
        <w:rPr>
          <w:rFonts w:ascii="Times New Roman" w:hAnsi="Times New Roman" w:cs="Times New Roman"/>
          <w:bCs/>
        </w:rPr>
        <w:t>,</w:t>
      </w:r>
      <w:r w:rsidR="008F5227">
        <w:rPr>
          <w:rFonts w:ascii="Times New Roman" w:hAnsi="Times New Roman" w:cs="Times New Roman"/>
          <w:bCs/>
        </w:rPr>
        <w:t>397</w:t>
      </w:r>
      <w:r w:rsidRPr="00391CB8">
        <w:rPr>
          <w:rFonts w:ascii="Times New Roman" w:hAnsi="Times New Roman" w:cs="Times New Roman"/>
          <w:bCs/>
        </w:rPr>
        <w:t xml:space="preserve"> homes – a surplus of 1,</w:t>
      </w:r>
      <w:r w:rsidR="00BA5D6B">
        <w:rPr>
          <w:rFonts w:ascii="Times New Roman" w:hAnsi="Times New Roman" w:cs="Times New Roman"/>
          <w:bCs/>
        </w:rPr>
        <w:t>764</w:t>
      </w:r>
      <w:r w:rsidRPr="00391CB8">
        <w:rPr>
          <w:rFonts w:ascii="Times New Roman" w:hAnsi="Times New Roman" w:cs="Times New Roman"/>
          <w:bCs/>
        </w:rPr>
        <w:t xml:space="preserve"> homes. This over supply </w:t>
      </w:r>
      <w:r w:rsidR="00761742">
        <w:rPr>
          <w:rFonts w:ascii="Times New Roman" w:hAnsi="Times New Roman" w:cs="Times New Roman"/>
          <w:bCs/>
        </w:rPr>
        <w:t>is then used to off</w:t>
      </w:r>
      <w:r w:rsidR="008F5227" w:rsidRPr="00391CB8">
        <w:rPr>
          <w:rFonts w:ascii="Times New Roman" w:hAnsi="Times New Roman" w:cs="Times New Roman"/>
          <w:bCs/>
        </w:rPr>
        <w:t>set</w:t>
      </w:r>
      <w:r w:rsidRPr="00391CB8">
        <w:rPr>
          <w:rFonts w:ascii="Times New Roman" w:hAnsi="Times New Roman" w:cs="Times New Roman"/>
          <w:bCs/>
        </w:rPr>
        <w:t xml:space="preserve"> the lower levels of delivery in the </w:t>
      </w:r>
      <w:r w:rsidR="00761742">
        <w:rPr>
          <w:rFonts w:ascii="Times New Roman" w:hAnsi="Times New Roman" w:cs="Times New Roman"/>
          <w:bCs/>
        </w:rPr>
        <w:t>following two</w:t>
      </w:r>
      <w:r w:rsidRPr="00391CB8">
        <w:rPr>
          <w:rFonts w:ascii="Times New Roman" w:hAnsi="Times New Roman" w:cs="Times New Roman"/>
          <w:bCs/>
        </w:rPr>
        <w:t xml:space="preserve"> years. If the housing delivery assumptions in the latest AMR are used the Council would have a </w:t>
      </w:r>
      <w:r w:rsidR="007234CC">
        <w:rPr>
          <w:rFonts w:ascii="Times New Roman" w:hAnsi="Times New Roman" w:cs="Times New Roman"/>
          <w:bCs/>
        </w:rPr>
        <w:t>delivered s</w:t>
      </w:r>
      <w:r w:rsidRPr="00391CB8">
        <w:rPr>
          <w:rFonts w:ascii="Times New Roman" w:hAnsi="Times New Roman" w:cs="Times New Roman"/>
          <w:bCs/>
        </w:rPr>
        <w:t>urplus</w:t>
      </w:r>
      <w:r w:rsidR="007234CC">
        <w:rPr>
          <w:rFonts w:ascii="Times New Roman" w:hAnsi="Times New Roman" w:cs="Times New Roman"/>
          <w:bCs/>
        </w:rPr>
        <w:t xml:space="preserve"> of 1,865 homes of housing</w:t>
      </w:r>
      <w:r w:rsidRPr="00391CB8">
        <w:rPr>
          <w:rFonts w:ascii="Times New Roman" w:hAnsi="Times New Roman" w:cs="Times New Roman"/>
          <w:bCs/>
        </w:rPr>
        <w:t xml:space="preserve"> </w:t>
      </w:r>
      <w:r w:rsidR="00DD4CAC">
        <w:rPr>
          <w:rFonts w:ascii="Times New Roman" w:hAnsi="Times New Roman" w:cs="Times New Roman"/>
          <w:bCs/>
        </w:rPr>
        <w:t xml:space="preserve">at the end of </w:t>
      </w:r>
      <w:r w:rsidRPr="00391CB8">
        <w:rPr>
          <w:rFonts w:ascii="Times New Roman" w:hAnsi="Times New Roman" w:cs="Times New Roman"/>
          <w:bCs/>
        </w:rPr>
        <w:t>202</w:t>
      </w:r>
      <w:r w:rsidR="00335BE2">
        <w:rPr>
          <w:rFonts w:ascii="Times New Roman" w:hAnsi="Times New Roman" w:cs="Times New Roman"/>
          <w:bCs/>
        </w:rPr>
        <w:t>7</w:t>
      </w:r>
      <w:r w:rsidRPr="00391CB8">
        <w:rPr>
          <w:rFonts w:ascii="Times New Roman" w:hAnsi="Times New Roman" w:cs="Times New Roman"/>
          <w:bCs/>
        </w:rPr>
        <w:t>/2</w:t>
      </w:r>
      <w:r w:rsidR="00335BE2">
        <w:rPr>
          <w:rFonts w:ascii="Times New Roman" w:hAnsi="Times New Roman" w:cs="Times New Roman"/>
          <w:bCs/>
        </w:rPr>
        <w:t>8</w:t>
      </w:r>
      <w:r w:rsidR="0040456B">
        <w:rPr>
          <w:rFonts w:ascii="Times New Roman" w:hAnsi="Times New Roman" w:cs="Times New Roman"/>
          <w:bCs/>
        </w:rPr>
        <w:t>, the year the plan is likely to be adopted</w:t>
      </w:r>
      <w:r w:rsidRPr="00391CB8">
        <w:rPr>
          <w:rFonts w:ascii="Times New Roman" w:hAnsi="Times New Roman" w:cs="Times New Roman"/>
          <w:bCs/>
        </w:rPr>
        <w:t xml:space="preserve">. If the Council were to adopt the approach HBF considers to be consistent with national policy, the Council would have a deficit of </w:t>
      </w:r>
      <w:r w:rsidR="008445F0">
        <w:rPr>
          <w:rFonts w:ascii="Times New Roman" w:hAnsi="Times New Roman" w:cs="Times New Roman"/>
          <w:bCs/>
        </w:rPr>
        <w:t>234</w:t>
      </w:r>
      <w:r w:rsidRPr="00391CB8">
        <w:rPr>
          <w:rFonts w:ascii="Times New Roman" w:hAnsi="Times New Roman" w:cs="Times New Roman"/>
          <w:bCs/>
        </w:rPr>
        <w:t xml:space="preserve"> homes by the end of </w:t>
      </w:r>
      <w:r w:rsidR="0040456B">
        <w:rPr>
          <w:rFonts w:ascii="Times New Roman" w:hAnsi="Times New Roman" w:cs="Times New Roman"/>
          <w:bCs/>
        </w:rPr>
        <w:t>the same year</w:t>
      </w:r>
      <w:r w:rsidR="00F90DCE">
        <w:rPr>
          <w:rFonts w:ascii="Times New Roman" w:hAnsi="Times New Roman" w:cs="Times New Roman"/>
          <w:bCs/>
        </w:rPr>
        <w:t>.</w:t>
      </w:r>
    </w:p>
    <w:p w14:paraId="6EA4FA3C" w14:textId="0F0DC962" w:rsidR="00EE5554" w:rsidRPr="00A924EF" w:rsidRDefault="003D4DE7"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While the impact of this </w:t>
      </w:r>
      <w:r w:rsidR="00EA089C">
        <w:rPr>
          <w:rFonts w:ascii="Times New Roman" w:hAnsi="Times New Roman" w:cs="Times New Roman"/>
          <w:bCs/>
        </w:rPr>
        <w:t xml:space="preserve">on the five year land supply on adoption is relatively small </w:t>
      </w:r>
      <w:r w:rsidR="003A572F">
        <w:rPr>
          <w:rFonts w:ascii="Times New Roman" w:hAnsi="Times New Roman" w:cs="Times New Roman"/>
          <w:bCs/>
        </w:rPr>
        <w:t xml:space="preserve">given </w:t>
      </w:r>
      <w:r w:rsidR="00B10F4A">
        <w:rPr>
          <w:rFonts w:ascii="Times New Roman" w:hAnsi="Times New Roman" w:cs="Times New Roman"/>
          <w:bCs/>
        </w:rPr>
        <w:t>housing</w:t>
      </w:r>
      <w:r w:rsidR="003A572F">
        <w:rPr>
          <w:rFonts w:ascii="Times New Roman" w:hAnsi="Times New Roman" w:cs="Times New Roman"/>
          <w:bCs/>
        </w:rPr>
        <w:t xml:space="preserve"> deliver</w:t>
      </w:r>
      <w:r w:rsidR="00B10F4A">
        <w:rPr>
          <w:rFonts w:ascii="Times New Roman" w:hAnsi="Times New Roman" w:cs="Times New Roman"/>
          <w:bCs/>
        </w:rPr>
        <w:t>y</w:t>
      </w:r>
      <w:r w:rsidR="003A572F">
        <w:rPr>
          <w:rFonts w:ascii="Times New Roman" w:hAnsi="Times New Roman" w:cs="Times New Roman"/>
          <w:bCs/>
        </w:rPr>
        <w:t xml:space="preserve"> </w:t>
      </w:r>
      <w:r w:rsidR="00B10F4A">
        <w:rPr>
          <w:rFonts w:ascii="Times New Roman" w:hAnsi="Times New Roman" w:cs="Times New Roman"/>
          <w:bCs/>
        </w:rPr>
        <w:t xml:space="preserve">is expected to </w:t>
      </w:r>
      <w:r w:rsidR="003A572F">
        <w:rPr>
          <w:rFonts w:ascii="Times New Roman" w:hAnsi="Times New Roman" w:cs="Times New Roman"/>
          <w:bCs/>
        </w:rPr>
        <w:t>increase in subsequent years t</w:t>
      </w:r>
      <w:r w:rsidR="00391CB8" w:rsidRPr="00391CB8">
        <w:rPr>
          <w:rFonts w:ascii="Times New Roman" w:hAnsi="Times New Roman" w:cs="Times New Roman"/>
          <w:bCs/>
        </w:rPr>
        <w:t xml:space="preserve">he Council should not be using past over delivery from </w:t>
      </w:r>
      <w:r w:rsidR="003A572F">
        <w:rPr>
          <w:rFonts w:ascii="Times New Roman" w:hAnsi="Times New Roman" w:cs="Times New Roman"/>
          <w:bCs/>
        </w:rPr>
        <w:t>the</w:t>
      </w:r>
      <w:r w:rsidR="00391CB8" w:rsidRPr="00391CB8">
        <w:rPr>
          <w:rFonts w:ascii="Times New Roman" w:hAnsi="Times New Roman" w:cs="Times New Roman"/>
          <w:bCs/>
        </w:rPr>
        <w:t xml:space="preserve"> </w:t>
      </w:r>
      <w:r w:rsidR="00683B75">
        <w:rPr>
          <w:rFonts w:ascii="Times New Roman" w:hAnsi="Times New Roman" w:cs="Times New Roman"/>
          <w:bCs/>
        </w:rPr>
        <w:t>four</w:t>
      </w:r>
      <w:r w:rsidR="00391CB8" w:rsidRPr="00391CB8">
        <w:rPr>
          <w:rFonts w:ascii="Times New Roman" w:hAnsi="Times New Roman" w:cs="Times New Roman"/>
          <w:bCs/>
        </w:rPr>
        <w:t xml:space="preserve"> years before the plan is submitted for examination</w:t>
      </w:r>
      <w:r w:rsidR="00683B75">
        <w:rPr>
          <w:rFonts w:ascii="Times New Roman" w:hAnsi="Times New Roman" w:cs="Times New Roman"/>
          <w:bCs/>
        </w:rPr>
        <w:t>.</w:t>
      </w:r>
      <w:r w:rsidR="00391CB8" w:rsidRPr="00391CB8">
        <w:rPr>
          <w:rFonts w:ascii="Times New Roman" w:hAnsi="Times New Roman" w:cs="Times New Roman"/>
          <w:bCs/>
        </w:rPr>
        <w:t xml:space="preserve"> The starting point for the housing requirement, and land supply to meet that requirement, should be 202</w:t>
      </w:r>
      <w:r w:rsidR="000258DB">
        <w:rPr>
          <w:rFonts w:ascii="Times New Roman" w:hAnsi="Times New Roman" w:cs="Times New Roman"/>
          <w:bCs/>
        </w:rPr>
        <w:t>5</w:t>
      </w:r>
      <w:r w:rsidR="00391CB8" w:rsidRPr="00391CB8">
        <w:rPr>
          <w:rFonts w:ascii="Times New Roman" w:hAnsi="Times New Roman" w:cs="Times New Roman"/>
          <w:bCs/>
        </w:rPr>
        <w:t>/2</w:t>
      </w:r>
      <w:r w:rsidR="000258DB">
        <w:rPr>
          <w:rFonts w:ascii="Times New Roman" w:hAnsi="Times New Roman" w:cs="Times New Roman"/>
          <w:bCs/>
        </w:rPr>
        <w:t>6</w:t>
      </w:r>
      <w:r w:rsidR="00391CB8" w:rsidRPr="00391CB8">
        <w:rPr>
          <w:rFonts w:ascii="Times New Roman" w:hAnsi="Times New Roman" w:cs="Times New Roman"/>
          <w:bCs/>
        </w:rPr>
        <w:t>. Based on the outcome of the current standard method of 1,</w:t>
      </w:r>
      <w:r w:rsidR="000258DB">
        <w:rPr>
          <w:rFonts w:ascii="Times New Roman" w:hAnsi="Times New Roman" w:cs="Times New Roman"/>
          <w:bCs/>
        </w:rPr>
        <w:t>799</w:t>
      </w:r>
      <w:r w:rsidR="00391CB8" w:rsidRPr="00391CB8">
        <w:rPr>
          <w:rFonts w:ascii="Times New Roman" w:hAnsi="Times New Roman" w:cs="Times New Roman"/>
          <w:bCs/>
        </w:rPr>
        <w:t xml:space="preserve"> dwelling per annum (dpa) this will require the Council to identify </w:t>
      </w:r>
      <w:r w:rsidR="00683B75">
        <w:rPr>
          <w:rFonts w:ascii="Times New Roman" w:hAnsi="Times New Roman" w:cs="Times New Roman"/>
          <w:bCs/>
        </w:rPr>
        <w:t xml:space="preserve">sufficient </w:t>
      </w:r>
      <w:r w:rsidR="00391CB8" w:rsidRPr="00391CB8">
        <w:rPr>
          <w:rFonts w:ascii="Times New Roman" w:hAnsi="Times New Roman" w:cs="Times New Roman"/>
          <w:bCs/>
        </w:rPr>
        <w:t xml:space="preserve">land to deliver a minimum of </w:t>
      </w:r>
      <w:r w:rsidR="00D3705E">
        <w:rPr>
          <w:rFonts w:ascii="Times New Roman" w:hAnsi="Times New Roman" w:cs="Times New Roman"/>
          <w:bCs/>
        </w:rPr>
        <w:t>4</w:t>
      </w:r>
      <w:r w:rsidR="00391CB8" w:rsidRPr="00391CB8">
        <w:rPr>
          <w:rFonts w:ascii="Times New Roman" w:hAnsi="Times New Roman" w:cs="Times New Roman"/>
          <w:bCs/>
        </w:rPr>
        <w:t>4,</w:t>
      </w:r>
      <w:r w:rsidR="00D3705E">
        <w:rPr>
          <w:rFonts w:ascii="Times New Roman" w:hAnsi="Times New Roman" w:cs="Times New Roman"/>
          <w:bCs/>
        </w:rPr>
        <w:t>975</w:t>
      </w:r>
      <w:r w:rsidR="00391CB8" w:rsidRPr="00391CB8">
        <w:rPr>
          <w:rFonts w:ascii="Times New Roman" w:hAnsi="Times New Roman" w:cs="Times New Roman"/>
          <w:bCs/>
        </w:rPr>
        <w:t xml:space="preserve"> homes by 2045/46</w:t>
      </w:r>
      <w:r w:rsidR="00683B75">
        <w:rPr>
          <w:rFonts w:ascii="Times New Roman" w:hAnsi="Times New Roman" w:cs="Times New Roman"/>
          <w:bCs/>
        </w:rPr>
        <w:t xml:space="preserve"> and GS2 should be amended acco</w:t>
      </w:r>
      <w:r w:rsidR="00EE5554">
        <w:rPr>
          <w:rFonts w:ascii="Times New Roman" w:hAnsi="Times New Roman" w:cs="Times New Roman"/>
          <w:bCs/>
        </w:rPr>
        <w:t>rdingly.</w:t>
      </w:r>
      <w:r w:rsidR="00A924EF">
        <w:rPr>
          <w:rFonts w:ascii="Times New Roman" w:hAnsi="Times New Roman" w:cs="Times New Roman"/>
          <w:bCs/>
        </w:rPr>
        <w:t xml:space="preserve"> </w:t>
      </w:r>
      <w:r w:rsidR="00EE5554" w:rsidRPr="00A924EF">
        <w:rPr>
          <w:rFonts w:ascii="Times New Roman" w:hAnsi="Times New Roman" w:cs="Times New Roman"/>
          <w:bCs/>
        </w:rPr>
        <w:t xml:space="preserve">In addition to amending the period over which housing needs are considered the </w:t>
      </w:r>
      <w:r w:rsidR="00A924EF" w:rsidRPr="00A924EF">
        <w:rPr>
          <w:rFonts w:ascii="Times New Roman" w:hAnsi="Times New Roman" w:cs="Times New Roman"/>
          <w:bCs/>
        </w:rPr>
        <w:t>Council</w:t>
      </w:r>
      <w:r w:rsidR="00EE5554" w:rsidRPr="00A924EF">
        <w:rPr>
          <w:rFonts w:ascii="Times New Roman" w:hAnsi="Times New Roman" w:cs="Times New Roman"/>
          <w:bCs/>
        </w:rPr>
        <w:t xml:space="preserve"> should also include the </w:t>
      </w:r>
      <w:r w:rsidR="00684391" w:rsidRPr="00A924EF">
        <w:rPr>
          <w:rFonts w:ascii="Times New Roman" w:hAnsi="Times New Roman" w:cs="Times New Roman"/>
          <w:bCs/>
        </w:rPr>
        <w:t xml:space="preserve">annual housing </w:t>
      </w:r>
      <w:r w:rsidR="005B3669" w:rsidRPr="00A924EF">
        <w:rPr>
          <w:rFonts w:ascii="Times New Roman" w:hAnsi="Times New Roman" w:cs="Times New Roman"/>
          <w:bCs/>
        </w:rPr>
        <w:t>requirement</w:t>
      </w:r>
      <w:r w:rsidR="00684391" w:rsidRPr="00A924EF">
        <w:rPr>
          <w:rFonts w:ascii="Times New Roman" w:hAnsi="Times New Roman" w:cs="Times New Roman"/>
          <w:bCs/>
        </w:rPr>
        <w:t xml:space="preserve"> of 1,799 dwe</w:t>
      </w:r>
      <w:r w:rsidR="005B3669" w:rsidRPr="00A924EF">
        <w:rPr>
          <w:rFonts w:ascii="Times New Roman" w:hAnsi="Times New Roman" w:cs="Times New Roman"/>
          <w:bCs/>
        </w:rPr>
        <w:t xml:space="preserve">llings per annum </w:t>
      </w:r>
      <w:r w:rsidR="00684391" w:rsidRPr="00A924EF">
        <w:rPr>
          <w:rFonts w:ascii="Times New Roman" w:hAnsi="Times New Roman" w:cs="Times New Roman"/>
          <w:bCs/>
        </w:rPr>
        <w:t xml:space="preserve">as well as the total </w:t>
      </w:r>
      <w:r w:rsidR="005B3669" w:rsidRPr="00A924EF">
        <w:rPr>
          <w:rFonts w:ascii="Times New Roman" w:hAnsi="Times New Roman" w:cs="Times New Roman"/>
          <w:bCs/>
        </w:rPr>
        <w:t>figure</w:t>
      </w:r>
      <w:r w:rsidR="00A924EF" w:rsidRPr="00A924EF">
        <w:rPr>
          <w:rFonts w:ascii="Times New Roman" w:hAnsi="Times New Roman" w:cs="Times New Roman"/>
          <w:bCs/>
        </w:rPr>
        <w:t xml:space="preserve"> over the whole plan period. </w:t>
      </w:r>
      <w:r w:rsidR="00684391" w:rsidRPr="00A924EF">
        <w:rPr>
          <w:rFonts w:ascii="Times New Roman" w:hAnsi="Times New Roman" w:cs="Times New Roman"/>
          <w:bCs/>
        </w:rPr>
        <w:t xml:space="preserve"> </w:t>
      </w:r>
    </w:p>
    <w:p w14:paraId="360B1A25" w14:textId="38E03FF5" w:rsidR="00E92EF8" w:rsidRPr="00E92EF8" w:rsidRDefault="00E92EF8" w:rsidP="00E92EF8">
      <w:pPr>
        <w:widowControl/>
        <w:suppressAutoHyphens w:val="0"/>
        <w:autoSpaceDE/>
        <w:spacing w:after="240" w:line="360" w:lineRule="auto"/>
        <w:jc w:val="both"/>
        <w:rPr>
          <w:rFonts w:ascii="Times New Roman" w:hAnsi="Times New Roman" w:cs="Times New Roman"/>
          <w:bCs/>
          <w:i/>
          <w:iCs/>
        </w:rPr>
      </w:pPr>
      <w:r w:rsidRPr="00E92EF8">
        <w:rPr>
          <w:rFonts w:ascii="Times New Roman" w:hAnsi="Times New Roman" w:cs="Times New Roman"/>
          <w:bCs/>
          <w:i/>
          <w:iCs/>
        </w:rPr>
        <w:t>Housing supply</w:t>
      </w:r>
      <w:r w:rsidR="006B52DE">
        <w:rPr>
          <w:rFonts w:ascii="Times New Roman" w:hAnsi="Times New Roman" w:cs="Times New Roman"/>
          <w:bCs/>
          <w:i/>
          <w:iCs/>
        </w:rPr>
        <w:t xml:space="preserve"> </w:t>
      </w:r>
      <w:r w:rsidR="00DB38EE">
        <w:rPr>
          <w:rFonts w:ascii="Times New Roman" w:hAnsi="Times New Roman" w:cs="Times New Roman"/>
          <w:bCs/>
          <w:i/>
          <w:iCs/>
        </w:rPr>
        <w:t>to 2050</w:t>
      </w:r>
    </w:p>
    <w:p w14:paraId="620AE82F" w14:textId="77777777" w:rsidR="009C6074" w:rsidRPr="009C6074" w:rsidRDefault="009C6074" w:rsidP="00D63EFB">
      <w:pPr>
        <w:widowControl/>
        <w:suppressAutoHyphens w:val="0"/>
        <w:autoSpaceDE/>
        <w:spacing w:after="240" w:line="360" w:lineRule="auto"/>
        <w:jc w:val="both"/>
        <w:rPr>
          <w:rFonts w:ascii="Times New Roman" w:hAnsi="Times New Roman" w:cs="Times New Roman"/>
          <w:bCs/>
        </w:rPr>
      </w:pPr>
      <w:r w:rsidRPr="009C6074">
        <w:rPr>
          <w:rFonts w:ascii="Times New Roman" w:hAnsi="Times New Roman" w:cs="Times New Roman"/>
          <w:bCs/>
        </w:rPr>
        <w:t xml:space="preserve">HBF does not comment on individual sites, other than to say the Plan should provide for a wide range of deliverable and developable sites across the area in order to provide competition and choice to ensure that housing needs are met in full. The soundness of strategic and non-strategic site allocations, whether brownfield or greenfield, will be tested in due course at the Local Plan Examination.  </w:t>
      </w:r>
    </w:p>
    <w:p w14:paraId="4CBC32C7" w14:textId="77777777" w:rsidR="00DB38EE" w:rsidRDefault="00984EEE"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Over the </w:t>
      </w:r>
      <w:r w:rsidR="00333C13">
        <w:rPr>
          <w:rFonts w:ascii="Times New Roman" w:hAnsi="Times New Roman" w:cs="Times New Roman"/>
          <w:bCs/>
        </w:rPr>
        <w:t xml:space="preserve">period 2022 to 2050 the Council </w:t>
      </w:r>
      <w:r w:rsidR="00015895">
        <w:rPr>
          <w:rFonts w:ascii="Times New Roman" w:hAnsi="Times New Roman" w:cs="Times New Roman"/>
          <w:bCs/>
        </w:rPr>
        <w:t>expects</w:t>
      </w:r>
      <w:r w:rsidR="00333C13">
        <w:rPr>
          <w:rFonts w:ascii="Times New Roman" w:hAnsi="Times New Roman" w:cs="Times New Roman"/>
          <w:bCs/>
        </w:rPr>
        <w:t xml:space="preserve"> to deliver </w:t>
      </w:r>
      <w:r w:rsidR="00206A7F">
        <w:rPr>
          <w:rFonts w:ascii="Times New Roman" w:hAnsi="Times New Roman" w:cs="Times New Roman"/>
          <w:bCs/>
        </w:rPr>
        <w:t>59,250 homes</w:t>
      </w:r>
      <w:r w:rsidR="00353E7A">
        <w:rPr>
          <w:rFonts w:ascii="Times New Roman" w:hAnsi="Times New Roman" w:cs="Times New Roman"/>
          <w:bCs/>
        </w:rPr>
        <w:t xml:space="preserve"> </w:t>
      </w:r>
      <w:r w:rsidR="00F706B9">
        <w:rPr>
          <w:rFonts w:ascii="Times New Roman" w:hAnsi="Times New Roman" w:cs="Times New Roman"/>
          <w:bCs/>
        </w:rPr>
        <w:t xml:space="preserve">– roughly 9,000 homes more than the requirement over that period. </w:t>
      </w:r>
      <w:r w:rsidR="00725B9B">
        <w:rPr>
          <w:rFonts w:ascii="Times New Roman" w:hAnsi="Times New Roman" w:cs="Times New Roman"/>
          <w:bCs/>
        </w:rPr>
        <w:t xml:space="preserve">However, as noted above, 7,161 of the proposed supply is in the period </w:t>
      </w:r>
      <w:r w:rsidR="00CF6868">
        <w:rPr>
          <w:rFonts w:ascii="Times New Roman" w:hAnsi="Times New Roman" w:cs="Times New Roman"/>
          <w:bCs/>
        </w:rPr>
        <w:t xml:space="preserve">2022/23 to </w:t>
      </w:r>
      <w:r w:rsidR="00CF6868">
        <w:rPr>
          <w:rFonts w:ascii="Times New Roman" w:hAnsi="Times New Roman" w:cs="Times New Roman"/>
          <w:bCs/>
        </w:rPr>
        <w:lastRenderedPageBreak/>
        <w:t xml:space="preserve">2024/25 and which should, in our opinion, not form part of the supply of homes for this plan. </w:t>
      </w:r>
      <w:r w:rsidR="00812AA3">
        <w:rPr>
          <w:rFonts w:ascii="Times New Roman" w:hAnsi="Times New Roman" w:cs="Times New Roman"/>
          <w:bCs/>
        </w:rPr>
        <w:t>Over what HBF consider to be a sound plan period</w:t>
      </w:r>
      <w:r w:rsidR="00D21EAB">
        <w:rPr>
          <w:rFonts w:ascii="Times New Roman" w:hAnsi="Times New Roman" w:cs="Times New Roman"/>
          <w:bCs/>
        </w:rPr>
        <w:t>, 2025 to 2050</w:t>
      </w:r>
      <w:r w:rsidR="00812AA3">
        <w:rPr>
          <w:rFonts w:ascii="Times New Roman" w:hAnsi="Times New Roman" w:cs="Times New Roman"/>
          <w:bCs/>
        </w:rPr>
        <w:t xml:space="preserve"> the </w:t>
      </w:r>
      <w:r w:rsidR="00F7532B">
        <w:rPr>
          <w:rFonts w:ascii="Times New Roman" w:hAnsi="Times New Roman" w:cs="Times New Roman"/>
          <w:bCs/>
        </w:rPr>
        <w:t xml:space="preserve">Council have </w:t>
      </w:r>
      <w:r w:rsidR="00072A2B">
        <w:rPr>
          <w:rFonts w:ascii="Times New Roman" w:hAnsi="Times New Roman" w:cs="Times New Roman"/>
          <w:bCs/>
        </w:rPr>
        <w:t>identified</w:t>
      </w:r>
      <w:r w:rsidR="00F7532B">
        <w:rPr>
          <w:rFonts w:ascii="Times New Roman" w:hAnsi="Times New Roman" w:cs="Times New Roman"/>
          <w:bCs/>
        </w:rPr>
        <w:t xml:space="preserve"> </w:t>
      </w:r>
      <w:r w:rsidR="00072A2B">
        <w:rPr>
          <w:rFonts w:ascii="Times New Roman" w:hAnsi="Times New Roman" w:cs="Times New Roman"/>
          <w:bCs/>
        </w:rPr>
        <w:t>land</w:t>
      </w:r>
      <w:r w:rsidR="00F7532B">
        <w:rPr>
          <w:rFonts w:ascii="Times New Roman" w:hAnsi="Times New Roman" w:cs="Times New Roman"/>
          <w:bCs/>
        </w:rPr>
        <w:t xml:space="preserve"> to </w:t>
      </w:r>
      <w:r w:rsidR="00072A2B">
        <w:rPr>
          <w:rFonts w:ascii="Times New Roman" w:hAnsi="Times New Roman" w:cs="Times New Roman"/>
          <w:bCs/>
        </w:rPr>
        <w:t>deliver</w:t>
      </w:r>
      <w:r w:rsidR="00F7532B">
        <w:rPr>
          <w:rFonts w:ascii="Times New Roman" w:hAnsi="Times New Roman" w:cs="Times New Roman"/>
          <w:bCs/>
        </w:rPr>
        <w:t xml:space="preserve"> </w:t>
      </w:r>
      <w:r w:rsidR="00072A2B">
        <w:rPr>
          <w:rFonts w:ascii="Times New Roman" w:hAnsi="Times New Roman" w:cs="Times New Roman"/>
          <w:bCs/>
        </w:rPr>
        <w:t>52,6</w:t>
      </w:r>
      <w:r w:rsidR="00CE5837">
        <w:rPr>
          <w:rFonts w:ascii="Times New Roman" w:hAnsi="Times New Roman" w:cs="Times New Roman"/>
          <w:bCs/>
        </w:rPr>
        <w:t xml:space="preserve">48 homes – around </w:t>
      </w:r>
      <w:r w:rsidR="00EE05EE">
        <w:rPr>
          <w:rFonts w:ascii="Times New Roman" w:hAnsi="Times New Roman" w:cs="Times New Roman"/>
          <w:bCs/>
        </w:rPr>
        <w:t xml:space="preserve">7,600 homes </w:t>
      </w:r>
      <w:r w:rsidR="00D21EAB">
        <w:rPr>
          <w:rFonts w:ascii="Times New Roman" w:hAnsi="Times New Roman" w:cs="Times New Roman"/>
          <w:bCs/>
        </w:rPr>
        <w:t>above the housing requirement over the period</w:t>
      </w:r>
      <w:r w:rsidR="00CA1E9F">
        <w:rPr>
          <w:rFonts w:ascii="Times New Roman" w:hAnsi="Times New Roman" w:cs="Times New Roman"/>
          <w:bCs/>
        </w:rPr>
        <w:t>. HBF welcomes th</w:t>
      </w:r>
      <w:r w:rsidR="00B17B46">
        <w:rPr>
          <w:rFonts w:ascii="Times New Roman" w:hAnsi="Times New Roman" w:cs="Times New Roman"/>
          <w:bCs/>
        </w:rPr>
        <w:t>is</w:t>
      </w:r>
      <w:r w:rsidR="00CA1E9F">
        <w:rPr>
          <w:rFonts w:ascii="Times New Roman" w:hAnsi="Times New Roman" w:cs="Times New Roman"/>
          <w:bCs/>
        </w:rPr>
        <w:t xml:space="preserve"> level of contingency </w:t>
      </w:r>
      <w:r w:rsidR="00B17B46">
        <w:rPr>
          <w:rFonts w:ascii="Times New Roman" w:hAnsi="Times New Roman" w:cs="Times New Roman"/>
          <w:bCs/>
        </w:rPr>
        <w:t xml:space="preserve">which </w:t>
      </w:r>
      <w:r w:rsidR="00AD440A">
        <w:rPr>
          <w:rFonts w:ascii="Times New Roman" w:hAnsi="Times New Roman" w:cs="Times New Roman"/>
          <w:bCs/>
        </w:rPr>
        <w:t xml:space="preserve">provides a degree of </w:t>
      </w:r>
      <w:r w:rsidR="00570C4F">
        <w:rPr>
          <w:rFonts w:ascii="Times New Roman" w:hAnsi="Times New Roman" w:cs="Times New Roman"/>
          <w:bCs/>
        </w:rPr>
        <w:t>confidence</w:t>
      </w:r>
      <w:r w:rsidR="00AD440A">
        <w:rPr>
          <w:rFonts w:ascii="Times New Roman" w:hAnsi="Times New Roman" w:cs="Times New Roman"/>
          <w:bCs/>
        </w:rPr>
        <w:t xml:space="preserve"> that housing needs will be met in full. It is especially important given</w:t>
      </w:r>
      <w:r w:rsidR="00570C4F">
        <w:rPr>
          <w:rFonts w:ascii="Times New Roman" w:hAnsi="Times New Roman" w:cs="Times New Roman"/>
          <w:bCs/>
        </w:rPr>
        <w:t xml:space="preserve"> </w:t>
      </w:r>
      <w:r w:rsidR="00AD440A">
        <w:rPr>
          <w:rFonts w:ascii="Times New Roman" w:hAnsi="Times New Roman" w:cs="Times New Roman"/>
          <w:bCs/>
        </w:rPr>
        <w:t xml:space="preserve">the reliance on </w:t>
      </w:r>
      <w:r w:rsidR="00570C4F">
        <w:rPr>
          <w:rFonts w:ascii="Times New Roman" w:hAnsi="Times New Roman" w:cs="Times New Roman"/>
          <w:bCs/>
        </w:rPr>
        <w:t>some very large strategic sites w</w:t>
      </w:r>
      <w:r w:rsidR="00E277CF">
        <w:rPr>
          <w:rFonts w:ascii="Times New Roman" w:hAnsi="Times New Roman" w:cs="Times New Roman"/>
          <w:bCs/>
        </w:rPr>
        <w:t xml:space="preserve">hich are complex </w:t>
      </w:r>
      <w:r w:rsidR="00501687">
        <w:rPr>
          <w:rFonts w:ascii="Times New Roman" w:hAnsi="Times New Roman" w:cs="Times New Roman"/>
          <w:bCs/>
        </w:rPr>
        <w:t>to deliver and where delays can impact significantly on th</w:t>
      </w:r>
      <w:r w:rsidR="006B52DE">
        <w:rPr>
          <w:rFonts w:ascii="Times New Roman" w:hAnsi="Times New Roman" w:cs="Times New Roman"/>
          <w:bCs/>
        </w:rPr>
        <w:t>e</w:t>
      </w:r>
      <w:r w:rsidR="00501687">
        <w:rPr>
          <w:rFonts w:ascii="Times New Roman" w:hAnsi="Times New Roman" w:cs="Times New Roman"/>
          <w:bCs/>
        </w:rPr>
        <w:t xml:space="preserve"> number of homes that are delivered within a plan period. </w:t>
      </w:r>
      <w:r w:rsidR="00E277CF">
        <w:rPr>
          <w:rFonts w:ascii="Times New Roman" w:hAnsi="Times New Roman" w:cs="Times New Roman"/>
          <w:bCs/>
        </w:rPr>
        <w:t xml:space="preserve"> </w:t>
      </w:r>
    </w:p>
    <w:p w14:paraId="0CD5B1A8" w14:textId="5675AA7B" w:rsidR="00DB38EE" w:rsidRDefault="002334E0"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Clarity is also needed with regard </w:t>
      </w:r>
      <w:r w:rsidR="00E72D6E">
        <w:rPr>
          <w:rFonts w:ascii="Times New Roman" w:hAnsi="Times New Roman" w:cs="Times New Roman"/>
          <w:bCs/>
        </w:rPr>
        <w:t>to</w:t>
      </w:r>
      <w:r>
        <w:rPr>
          <w:rFonts w:ascii="Times New Roman" w:hAnsi="Times New Roman" w:cs="Times New Roman"/>
          <w:bCs/>
        </w:rPr>
        <w:t xml:space="preserve"> the number of homes that will</w:t>
      </w:r>
      <w:r w:rsidR="00E72D6E">
        <w:rPr>
          <w:rFonts w:ascii="Times New Roman" w:hAnsi="Times New Roman" w:cs="Times New Roman"/>
          <w:bCs/>
        </w:rPr>
        <w:t xml:space="preserve"> be delivered in Central Milton Keynes and the completions </w:t>
      </w:r>
      <w:r w:rsidR="00A6277A">
        <w:rPr>
          <w:rFonts w:ascii="Times New Roman" w:hAnsi="Times New Roman" w:cs="Times New Roman"/>
          <w:bCs/>
        </w:rPr>
        <w:t xml:space="preserve">figure in Table 1 given that </w:t>
      </w:r>
      <w:r w:rsidR="009A3716">
        <w:rPr>
          <w:rFonts w:ascii="Times New Roman" w:hAnsi="Times New Roman" w:cs="Times New Roman"/>
          <w:bCs/>
        </w:rPr>
        <w:t xml:space="preserve">later in the plan </w:t>
      </w:r>
      <w:r w:rsidR="00753627">
        <w:rPr>
          <w:rFonts w:ascii="Times New Roman" w:hAnsi="Times New Roman" w:cs="Times New Roman"/>
          <w:bCs/>
        </w:rPr>
        <w:t>paragraph</w:t>
      </w:r>
      <w:r w:rsidR="00A50DFF">
        <w:rPr>
          <w:rFonts w:ascii="Times New Roman" w:hAnsi="Times New Roman" w:cs="Times New Roman"/>
          <w:bCs/>
        </w:rPr>
        <w:t xml:space="preserve"> 141 states that</w:t>
      </w:r>
      <w:r w:rsidR="009A3716">
        <w:rPr>
          <w:rFonts w:ascii="Times New Roman" w:hAnsi="Times New Roman" w:cs="Times New Roman"/>
          <w:bCs/>
        </w:rPr>
        <w:t xml:space="preserve"> the</w:t>
      </w:r>
      <w:r w:rsidR="00A50DFF">
        <w:rPr>
          <w:rFonts w:ascii="Times New Roman" w:hAnsi="Times New Roman" w:cs="Times New Roman"/>
          <w:bCs/>
        </w:rPr>
        <w:t xml:space="preserve"> 16,000 homes</w:t>
      </w:r>
      <w:r w:rsidR="009A3716">
        <w:rPr>
          <w:rFonts w:ascii="Times New Roman" w:hAnsi="Times New Roman" w:cs="Times New Roman"/>
          <w:bCs/>
        </w:rPr>
        <w:t xml:space="preserve"> expected to be delivered</w:t>
      </w:r>
      <w:r w:rsidR="00A50DFF">
        <w:rPr>
          <w:rFonts w:ascii="Times New Roman" w:hAnsi="Times New Roman" w:cs="Times New Roman"/>
          <w:bCs/>
        </w:rPr>
        <w:t xml:space="preserve"> in Central Milton Keynes </w:t>
      </w:r>
      <w:r w:rsidR="007041E0">
        <w:rPr>
          <w:rFonts w:ascii="Times New Roman" w:hAnsi="Times New Roman" w:cs="Times New Roman"/>
          <w:bCs/>
        </w:rPr>
        <w:t>include</w:t>
      </w:r>
      <w:r w:rsidR="009A3716">
        <w:rPr>
          <w:rFonts w:ascii="Times New Roman" w:hAnsi="Times New Roman" w:cs="Times New Roman"/>
          <w:bCs/>
        </w:rPr>
        <w:t>s</w:t>
      </w:r>
      <w:r w:rsidR="008D6379">
        <w:rPr>
          <w:rFonts w:ascii="Times New Roman" w:hAnsi="Times New Roman" w:cs="Times New Roman"/>
          <w:bCs/>
        </w:rPr>
        <w:t xml:space="preserve"> completion and commitments. </w:t>
      </w:r>
      <w:r w:rsidR="00753627">
        <w:rPr>
          <w:rFonts w:ascii="Times New Roman" w:hAnsi="Times New Roman" w:cs="Times New Roman"/>
          <w:bCs/>
        </w:rPr>
        <w:t xml:space="preserve">The Council will need to ensure that there is no double counting between these two figures.  </w:t>
      </w:r>
    </w:p>
    <w:p w14:paraId="7D7BF963" w14:textId="44696749" w:rsidR="00E92EF8" w:rsidRPr="00DB38EE" w:rsidRDefault="00DB38EE" w:rsidP="00DB38EE">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i/>
          <w:iCs/>
        </w:rPr>
        <w:t>F</w:t>
      </w:r>
      <w:r w:rsidRPr="00DB38EE">
        <w:rPr>
          <w:rFonts w:ascii="Times New Roman" w:hAnsi="Times New Roman" w:cs="Times New Roman"/>
          <w:bCs/>
          <w:i/>
          <w:iCs/>
        </w:rPr>
        <w:t>ive year housing land supply</w:t>
      </w:r>
    </w:p>
    <w:p w14:paraId="75439E75" w14:textId="126B4C31" w:rsidR="006B52DE" w:rsidRDefault="006B52DE"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Based on the trajectory in annex A it would appear that the Council will have a five year land supply on adoption if the </w:t>
      </w:r>
      <w:r w:rsidR="00FF43EA">
        <w:rPr>
          <w:rFonts w:ascii="Times New Roman" w:hAnsi="Times New Roman" w:cs="Times New Roman"/>
          <w:bCs/>
        </w:rPr>
        <w:t xml:space="preserve">plan period is amended to start from 2025/26. </w:t>
      </w:r>
      <w:r w:rsidR="00093C3B">
        <w:rPr>
          <w:rFonts w:ascii="Times New Roman" w:hAnsi="Times New Roman" w:cs="Times New Roman"/>
          <w:bCs/>
        </w:rPr>
        <w:t>If all sites co</w:t>
      </w:r>
      <w:r w:rsidR="00545808">
        <w:rPr>
          <w:rFonts w:ascii="Times New Roman" w:hAnsi="Times New Roman" w:cs="Times New Roman"/>
          <w:bCs/>
        </w:rPr>
        <w:t>m</w:t>
      </w:r>
      <w:r w:rsidR="00093C3B">
        <w:rPr>
          <w:rFonts w:ascii="Times New Roman" w:hAnsi="Times New Roman" w:cs="Times New Roman"/>
          <w:bCs/>
        </w:rPr>
        <w:t>e forward as expected the Council will have a land supp</w:t>
      </w:r>
      <w:r w:rsidR="00545808">
        <w:rPr>
          <w:rFonts w:ascii="Times New Roman" w:hAnsi="Times New Roman" w:cs="Times New Roman"/>
          <w:bCs/>
        </w:rPr>
        <w:t>ly in 2027/28 of 6.</w:t>
      </w:r>
      <w:r w:rsidR="001733C6">
        <w:rPr>
          <w:rFonts w:ascii="Times New Roman" w:hAnsi="Times New Roman" w:cs="Times New Roman"/>
          <w:bCs/>
        </w:rPr>
        <w:t>47 – slightly lower than the 6.</w:t>
      </w:r>
      <w:r w:rsidR="00415486">
        <w:rPr>
          <w:rFonts w:ascii="Times New Roman" w:hAnsi="Times New Roman" w:cs="Times New Roman"/>
          <w:bCs/>
        </w:rPr>
        <w:t xml:space="preserve">64 years of supply using a plan period starting in 2022. </w:t>
      </w:r>
    </w:p>
    <w:p w14:paraId="4AAA13FE" w14:textId="6700DE0B" w:rsidR="00415486" w:rsidRPr="00594514" w:rsidRDefault="00415486" w:rsidP="00415486">
      <w:pPr>
        <w:widowControl/>
        <w:suppressAutoHyphens w:val="0"/>
        <w:autoSpaceDE/>
        <w:spacing w:after="240" w:line="360" w:lineRule="auto"/>
        <w:jc w:val="both"/>
        <w:rPr>
          <w:rFonts w:ascii="Times New Roman" w:hAnsi="Times New Roman" w:cs="Times New Roman"/>
          <w:bCs/>
          <w:i/>
          <w:iCs/>
        </w:rPr>
      </w:pPr>
      <w:r w:rsidRPr="00594514">
        <w:rPr>
          <w:rFonts w:ascii="Times New Roman" w:hAnsi="Times New Roman" w:cs="Times New Roman"/>
          <w:bCs/>
          <w:i/>
          <w:iCs/>
        </w:rPr>
        <w:t>10% of supply on sites</w:t>
      </w:r>
      <w:r w:rsidR="00594514" w:rsidRPr="00594514">
        <w:rPr>
          <w:rFonts w:ascii="Times New Roman" w:hAnsi="Times New Roman" w:cs="Times New Roman"/>
          <w:bCs/>
          <w:i/>
          <w:iCs/>
        </w:rPr>
        <w:t xml:space="preserve"> </w:t>
      </w:r>
      <w:r w:rsidRPr="00594514">
        <w:rPr>
          <w:rFonts w:ascii="Times New Roman" w:hAnsi="Times New Roman" w:cs="Times New Roman"/>
          <w:bCs/>
          <w:i/>
          <w:iCs/>
        </w:rPr>
        <w:t>of less than one hectare.</w:t>
      </w:r>
    </w:p>
    <w:p w14:paraId="04AB53FF" w14:textId="18173B87" w:rsidR="00EC132C" w:rsidRPr="00EC132C" w:rsidRDefault="00EC132C"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HBF could not find </w:t>
      </w:r>
      <w:r w:rsidR="006A1748">
        <w:rPr>
          <w:rFonts w:ascii="Times New Roman" w:hAnsi="Times New Roman" w:cs="Times New Roman"/>
          <w:bCs/>
        </w:rPr>
        <w:t xml:space="preserve">any evidence as to whether the </w:t>
      </w:r>
      <w:r w:rsidRPr="00EC132C">
        <w:rPr>
          <w:rFonts w:ascii="Times New Roman" w:hAnsi="Times New Roman" w:cs="Times New Roman"/>
          <w:bCs/>
        </w:rPr>
        <w:t>Council meets the requirements in paragraph 73 of the NPPF that the at least 10% of it housing requirements are on sites of one hectare or less.</w:t>
      </w:r>
      <w:r w:rsidR="00447B13">
        <w:rPr>
          <w:rFonts w:ascii="Times New Roman" w:hAnsi="Times New Roman" w:cs="Times New Roman"/>
          <w:bCs/>
        </w:rPr>
        <w:t xml:space="preserve"> HBF </w:t>
      </w:r>
      <w:r w:rsidR="00001F61">
        <w:rPr>
          <w:rFonts w:ascii="Times New Roman" w:hAnsi="Times New Roman" w:cs="Times New Roman"/>
          <w:bCs/>
        </w:rPr>
        <w:t xml:space="preserve">considers </w:t>
      </w:r>
      <w:r w:rsidR="00214E20">
        <w:rPr>
          <w:rFonts w:ascii="Times New Roman" w:hAnsi="Times New Roman" w:cs="Times New Roman"/>
          <w:bCs/>
        </w:rPr>
        <w:t xml:space="preserve">it </w:t>
      </w:r>
      <w:r w:rsidR="00001F61">
        <w:rPr>
          <w:rFonts w:ascii="Times New Roman" w:hAnsi="Times New Roman" w:cs="Times New Roman"/>
          <w:bCs/>
        </w:rPr>
        <w:t xml:space="preserve">to be </w:t>
      </w:r>
      <w:r w:rsidR="00214E20">
        <w:rPr>
          <w:rFonts w:ascii="Times New Roman" w:hAnsi="Times New Roman" w:cs="Times New Roman"/>
          <w:bCs/>
        </w:rPr>
        <w:t>essential</w:t>
      </w:r>
      <w:r w:rsidR="00447B13">
        <w:rPr>
          <w:rFonts w:ascii="Times New Roman" w:hAnsi="Times New Roman" w:cs="Times New Roman"/>
          <w:bCs/>
        </w:rPr>
        <w:t xml:space="preserve"> that the Council</w:t>
      </w:r>
      <w:r w:rsidR="00214E20">
        <w:rPr>
          <w:rFonts w:ascii="Times New Roman" w:hAnsi="Times New Roman" w:cs="Times New Roman"/>
          <w:bCs/>
        </w:rPr>
        <w:t xml:space="preserve"> meets this requirement of national policy</w:t>
      </w:r>
      <w:r w:rsidR="00001F61">
        <w:rPr>
          <w:rFonts w:ascii="Times New Roman" w:hAnsi="Times New Roman" w:cs="Times New Roman"/>
          <w:bCs/>
        </w:rPr>
        <w:t>,</w:t>
      </w:r>
      <w:r w:rsidR="00214E20">
        <w:rPr>
          <w:rFonts w:ascii="Times New Roman" w:hAnsi="Times New Roman" w:cs="Times New Roman"/>
          <w:bCs/>
        </w:rPr>
        <w:t xml:space="preserve"> </w:t>
      </w:r>
      <w:r w:rsidR="00DB38EE">
        <w:rPr>
          <w:rFonts w:ascii="Times New Roman" w:hAnsi="Times New Roman" w:cs="Times New Roman"/>
          <w:bCs/>
        </w:rPr>
        <w:t xml:space="preserve">either </w:t>
      </w:r>
      <w:r w:rsidR="00214E20">
        <w:rPr>
          <w:rFonts w:ascii="Times New Roman" w:hAnsi="Times New Roman" w:cs="Times New Roman"/>
          <w:bCs/>
        </w:rPr>
        <w:t>through allocations in this local plan</w:t>
      </w:r>
      <w:r w:rsidRPr="00EC132C">
        <w:rPr>
          <w:rFonts w:ascii="Times New Roman" w:hAnsi="Times New Roman" w:cs="Times New Roman"/>
          <w:bCs/>
        </w:rPr>
        <w:t xml:space="preserve"> or as site</w:t>
      </w:r>
      <w:r w:rsidR="00DB38EE">
        <w:rPr>
          <w:rFonts w:ascii="Times New Roman" w:hAnsi="Times New Roman" w:cs="Times New Roman"/>
          <w:bCs/>
        </w:rPr>
        <w:t>s entered</w:t>
      </w:r>
      <w:r w:rsidRPr="00EC132C">
        <w:rPr>
          <w:rFonts w:ascii="Times New Roman" w:hAnsi="Times New Roman" w:cs="Times New Roman"/>
          <w:bCs/>
        </w:rPr>
        <w:t xml:space="preserve"> in the Council’s Brownfield Register. The Council must not rely on assumed levels of windfall delivery on small sites to meet this requirement. Such an approach would be inconsistent with the NPPF which defines windfall sites in its Glossary as “</w:t>
      </w:r>
      <w:r w:rsidRPr="00EC132C">
        <w:rPr>
          <w:rFonts w:ascii="Times New Roman" w:hAnsi="Times New Roman" w:cs="Times New Roman"/>
          <w:bCs/>
          <w:i/>
          <w:iCs/>
        </w:rPr>
        <w:t>Sites not specifically identified in the development plan</w:t>
      </w:r>
      <w:r w:rsidRPr="00EC132C">
        <w:rPr>
          <w:rFonts w:ascii="Times New Roman" w:hAnsi="Times New Roman" w:cs="Times New Roman"/>
          <w:bCs/>
        </w:rPr>
        <w:t xml:space="preserve">”. 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 </w:t>
      </w:r>
    </w:p>
    <w:p w14:paraId="3BC203DA" w14:textId="77777777" w:rsidR="00EC132C" w:rsidRDefault="00EC132C" w:rsidP="00D63EFB">
      <w:pPr>
        <w:widowControl/>
        <w:suppressAutoHyphens w:val="0"/>
        <w:autoSpaceDE/>
        <w:spacing w:after="240" w:line="360" w:lineRule="auto"/>
        <w:jc w:val="both"/>
        <w:rPr>
          <w:rFonts w:ascii="Times New Roman" w:hAnsi="Times New Roman" w:cs="Times New Roman"/>
          <w:bCs/>
        </w:rPr>
      </w:pPr>
      <w:r w:rsidRPr="00EC132C">
        <w:rPr>
          <w:rFonts w:ascii="Times New Roman" w:hAnsi="Times New Roman" w:cs="Times New Roman"/>
          <w:bCs/>
        </w:rPr>
        <w:t xml:space="preserve">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comprising of apprentices. A failure to allocate small sites will contribute to the continued decline in small and medium sized house builders. Recent research by the HBF 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more certainty that their scheme will be permitted, allowing them to secure the necessary finance that is often unavailable to SMEs until permission is granted. </w:t>
      </w:r>
    </w:p>
    <w:p w14:paraId="52FACB0C" w14:textId="112B4B94" w:rsidR="00D21F96" w:rsidRPr="0018596F" w:rsidRDefault="00D21F96" w:rsidP="00D21F96">
      <w:pPr>
        <w:widowControl/>
        <w:suppressAutoHyphens w:val="0"/>
        <w:autoSpaceDE/>
        <w:spacing w:after="240" w:line="360" w:lineRule="auto"/>
        <w:jc w:val="both"/>
        <w:rPr>
          <w:rFonts w:ascii="Times New Roman" w:hAnsi="Times New Roman" w:cs="Times New Roman"/>
          <w:b/>
        </w:rPr>
      </w:pPr>
      <w:r w:rsidRPr="0018596F">
        <w:rPr>
          <w:rFonts w:ascii="Times New Roman" w:hAnsi="Times New Roman" w:cs="Times New Roman"/>
          <w:b/>
        </w:rPr>
        <w:lastRenderedPageBreak/>
        <w:t xml:space="preserve">INF1 </w:t>
      </w:r>
      <w:r w:rsidR="001E7CBE">
        <w:rPr>
          <w:rFonts w:ascii="Times New Roman" w:hAnsi="Times New Roman" w:cs="Times New Roman"/>
          <w:b/>
        </w:rPr>
        <w:t>–</w:t>
      </w:r>
      <w:r w:rsidRPr="0018596F">
        <w:rPr>
          <w:rFonts w:ascii="Times New Roman" w:hAnsi="Times New Roman" w:cs="Times New Roman"/>
          <w:b/>
        </w:rPr>
        <w:t xml:space="preserve"> </w:t>
      </w:r>
      <w:r w:rsidR="001E7CBE">
        <w:rPr>
          <w:rFonts w:ascii="Times New Roman" w:hAnsi="Times New Roman" w:cs="Times New Roman"/>
          <w:b/>
        </w:rPr>
        <w:t>Infrastructure First Principles</w:t>
      </w:r>
    </w:p>
    <w:p w14:paraId="03A1B277" w14:textId="728406FB" w:rsidR="004C5FEC" w:rsidRDefault="006F38BB"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The first</w:t>
      </w:r>
      <w:r w:rsidR="004D1E19">
        <w:rPr>
          <w:rFonts w:ascii="Times New Roman" w:hAnsi="Times New Roman" w:cs="Times New Roman"/>
          <w:bCs/>
        </w:rPr>
        <w:t xml:space="preserve"> paragraph</w:t>
      </w:r>
      <w:r>
        <w:rPr>
          <w:rFonts w:ascii="Times New Roman" w:hAnsi="Times New Roman" w:cs="Times New Roman"/>
          <w:bCs/>
        </w:rPr>
        <w:t xml:space="preserve"> of this policy requires all development of 10 or more dwelling </w:t>
      </w:r>
      <w:r w:rsidR="004D1E19">
        <w:rPr>
          <w:rFonts w:ascii="Times New Roman" w:hAnsi="Times New Roman" w:cs="Times New Roman"/>
          <w:bCs/>
        </w:rPr>
        <w:t xml:space="preserve">and 1,000 sqm or more of employment space </w:t>
      </w:r>
      <w:r w:rsidR="00264729">
        <w:rPr>
          <w:rFonts w:ascii="Times New Roman" w:hAnsi="Times New Roman" w:cs="Times New Roman"/>
          <w:bCs/>
        </w:rPr>
        <w:t>will</w:t>
      </w:r>
      <w:r w:rsidR="004D1E19">
        <w:rPr>
          <w:rFonts w:ascii="Times New Roman" w:hAnsi="Times New Roman" w:cs="Times New Roman"/>
          <w:bCs/>
        </w:rPr>
        <w:t xml:space="preserve"> need to address the broad infrastructure requirements set out in Annex F. </w:t>
      </w:r>
      <w:r w:rsidR="00FD19B6">
        <w:rPr>
          <w:rFonts w:ascii="Times New Roman" w:hAnsi="Times New Roman" w:cs="Times New Roman"/>
          <w:bCs/>
        </w:rPr>
        <w:t>This annex sets out the various requirements for all infrastructure and services where an increase in population will impact on those s</w:t>
      </w:r>
      <w:r w:rsidR="007C19BE">
        <w:rPr>
          <w:rFonts w:ascii="Times New Roman" w:hAnsi="Times New Roman" w:cs="Times New Roman"/>
          <w:bCs/>
        </w:rPr>
        <w:t xml:space="preserve">ervices. </w:t>
      </w:r>
      <w:r w:rsidR="009E60E9">
        <w:rPr>
          <w:rFonts w:ascii="Times New Roman" w:hAnsi="Times New Roman" w:cs="Times New Roman"/>
          <w:bCs/>
        </w:rPr>
        <w:t>While</w:t>
      </w:r>
      <w:r w:rsidR="008C09DF">
        <w:rPr>
          <w:rFonts w:ascii="Times New Roman" w:hAnsi="Times New Roman" w:cs="Times New Roman"/>
          <w:bCs/>
        </w:rPr>
        <w:t xml:space="preserve"> </w:t>
      </w:r>
      <w:r w:rsidR="009E60E9">
        <w:rPr>
          <w:rFonts w:ascii="Times New Roman" w:hAnsi="Times New Roman" w:cs="Times New Roman"/>
          <w:bCs/>
        </w:rPr>
        <w:t>t</w:t>
      </w:r>
      <w:r w:rsidR="00953E50">
        <w:rPr>
          <w:rFonts w:ascii="Times New Roman" w:hAnsi="Times New Roman" w:cs="Times New Roman"/>
          <w:bCs/>
        </w:rPr>
        <w:t xml:space="preserve">he Council state later in part C of the policy that </w:t>
      </w:r>
      <w:r w:rsidR="001258E1">
        <w:rPr>
          <w:rFonts w:ascii="Times New Roman" w:hAnsi="Times New Roman" w:cs="Times New Roman"/>
          <w:bCs/>
        </w:rPr>
        <w:t xml:space="preserve">planning obligations will be </w:t>
      </w:r>
      <w:r w:rsidR="00BD5105">
        <w:rPr>
          <w:rFonts w:ascii="Times New Roman" w:hAnsi="Times New Roman" w:cs="Times New Roman"/>
          <w:bCs/>
        </w:rPr>
        <w:t>determined</w:t>
      </w:r>
      <w:r w:rsidR="001258E1">
        <w:rPr>
          <w:rFonts w:ascii="Times New Roman" w:hAnsi="Times New Roman" w:cs="Times New Roman"/>
          <w:bCs/>
        </w:rPr>
        <w:t xml:space="preserve"> on a </w:t>
      </w:r>
      <w:r w:rsidR="00BD5105">
        <w:rPr>
          <w:rFonts w:ascii="Times New Roman" w:hAnsi="Times New Roman" w:cs="Times New Roman"/>
          <w:bCs/>
        </w:rPr>
        <w:t>case</w:t>
      </w:r>
      <w:r w:rsidR="001258E1">
        <w:rPr>
          <w:rFonts w:ascii="Times New Roman" w:hAnsi="Times New Roman" w:cs="Times New Roman"/>
          <w:bCs/>
        </w:rPr>
        <w:t xml:space="preserve"> by case basis</w:t>
      </w:r>
      <w:r w:rsidR="004A7A9A">
        <w:rPr>
          <w:rFonts w:ascii="Times New Roman" w:hAnsi="Times New Roman" w:cs="Times New Roman"/>
          <w:bCs/>
        </w:rPr>
        <w:t>, however</w:t>
      </w:r>
      <w:r w:rsidR="001258E1">
        <w:rPr>
          <w:rFonts w:ascii="Times New Roman" w:hAnsi="Times New Roman" w:cs="Times New Roman"/>
          <w:bCs/>
        </w:rPr>
        <w:t xml:space="preserve"> the </w:t>
      </w:r>
      <w:r w:rsidR="008A71C4">
        <w:rPr>
          <w:rFonts w:ascii="Times New Roman" w:hAnsi="Times New Roman" w:cs="Times New Roman"/>
          <w:bCs/>
        </w:rPr>
        <w:t>it must be made clear in pa</w:t>
      </w:r>
      <w:r w:rsidR="006C6E73">
        <w:rPr>
          <w:rFonts w:ascii="Times New Roman" w:hAnsi="Times New Roman" w:cs="Times New Roman"/>
          <w:bCs/>
        </w:rPr>
        <w:t xml:space="preserve">rt A of this policy that </w:t>
      </w:r>
      <w:r w:rsidR="00A44292">
        <w:rPr>
          <w:rFonts w:ascii="Times New Roman" w:hAnsi="Times New Roman" w:cs="Times New Roman"/>
          <w:bCs/>
        </w:rPr>
        <w:t xml:space="preserve">any planning obligations must be directly related to the development, </w:t>
      </w:r>
      <w:r w:rsidR="00D9171E">
        <w:rPr>
          <w:rFonts w:ascii="Times New Roman" w:hAnsi="Times New Roman" w:cs="Times New Roman"/>
          <w:bCs/>
        </w:rPr>
        <w:t xml:space="preserve">necessary to make it acceptable in planning terms and fairly and reasonably related in scale and kind to that development. </w:t>
      </w:r>
      <w:r w:rsidR="00A84544">
        <w:rPr>
          <w:rFonts w:ascii="Times New Roman" w:hAnsi="Times New Roman" w:cs="Times New Roman"/>
          <w:bCs/>
        </w:rPr>
        <w:t xml:space="preserve">In stating that </w:t>
      </w:r>
      <w:r w:rsidR="00B76370">
        <w:rPr>
          <w:rFonts w:ascii="Times New Roman" w:hAnsi="Times New Roman" w:cs="Times New Roman"/>
          <w:bCs/>
        </w:rPr>
        <w:t xml:space="preserve">development must address the broad requirements set out in annex F the suggestion to decision makers is that all these are necessary – which will not be the case. </w:t>
      </w:r>
      <w:r w:rsidR="0014491A">
        <w:rPr>
          <w:rFonts w:ascii="Times New Roman" w:hAnsi="Times New Roman" w:cs="Times New Roman"/>
          <w:bCs/>
        </w:rPr>
        <w:t xml:space="preserve">To address this </w:t>
      </w:r>
      <w:r w:rsidR="007F3FDF">
        <w:rPr>
          <w:rFonts w:ascii="Times New Roman" w:hAnsi="Times New Roman" w:cs="Times New Roman"/>
          <w:bCs/>
        </w:rPr>
        <w:t>issues the Council could delete part A and replace with an amended part C which reads:</w:t>
      </w:r>
    </w:p>
    <w:p w14:paraId="5B4DED6F" w14:textId="30991A60" w:rsidR="007F3FDF" w:rsidRDefault="00077736" w:rsidP="009C6074">
      <w:pPr>
        <w:pStyle w:val="ListParagraph"/>
        <w:widowControl/>
        <w:suppressAutoHyphens w:val="0"/>
        <w:autoSpaceDE/>
        <w:spacing w:after="240" w:line="360" w:lineRule="auto"/>
        <w:ind w:left="851" w:right="571"/>
        <w:jc w:val="both"/>
        <w:rPr>
          <w:rFonts w:ascii="Times New Roman" w:hAnsi="Times New Roman" w:cs="Times New Roman"/>
          <w:bCs/>
        </w:rPr>
      </w:pPr>
      <w:r>
        <w:rPr>
          <w:rFonts w:ascii="Times New Roman" w:hAnsi="Times New Roman" w:cs="Times New Roman"/>
          <w:bCs/>
        </w:rPr>
        <w:t>“</w:t>
      </w:r>
      <w:r w:rsidR="007F3FDF" w:rsidRPr="00077736">
        <w:rPr>
          <w:rFonts w:ascii="Times New Roman" w:hAnsi="Times New Roman" w:cs="Times New Roman"/>
          <w:bCs/>
          <w:i/>
          <w:iCs/>
        </w:rPr>
        <w:t xml:space="preserve">Planning obligations for funding and delivering infrastructure will be determined on a case-by-case </w:t>
      </w:r>
      <w:r w:rsidR="00573B8E" w:rsidRPr="00077736">
        <w:rPr>
          <w:rFonts w:ascii="Times New Roman" w:hAnsi="Times New Roman" w:cs="Times New Roman"/>
          <w:bCs/>
          <w:i/>
          <w:iCs/>
        </w:rPr>
        <w:t>basis,</w:t>
      </w:r>
      <w:r w:rsidR="007F3FDF" w:rsidRPr="00077736">
        <w:rPr>
          <w:rFonts w:ascii="Times New Roman" w:hAnsi="Times New Roman" w:cs="Times New Roman"/>
          <w:bCs/>
          <w:i/>
          <w:iCs/>
        </w:rPr>
        <w:t xml:space="preserve"> </w:t>
      </w:r>
      <w:r w:rsidR="00395F17" w:rsidRPr="00077736">
        <w:rPr>
          <w:rFonts w:ascii="Times New Roman" w:hAnsi="Times New Roman" w:cs="Times New Roman"/>
          <w:bCs/>
          <w:i/>
          <w:iCs/>
        </w:rPr>
        <w:t>having regard to national pol</w:t>
      </w:r>
      <w:r w:rsidR="00FF1BCC" w:rsidRPr="00077736">
        <w:rPr>
          <w:rFonts w:ascii="Times New Roman" w:hAnsi="Times New Roman" w:cs="Times New Roman"/>
          <w:bCs/>
          <w:i/>
          <w:iCs/>
        </w:rPr>
        <w:t>icy.</w:t>
      </w:r>
      <w:r w:rsidR="00AF699E" w:rsidRPr="00077736">
        <w:rPr>
          <w:rFonts w:ascii="Times New Roman" w:hAnsi="Times New Roman" w:cs="Times New Roman"/>
          <w:bCs/>
          <w:i/>
          <w:iCs/>
        </w:rPr>
        <w:t xml:space="preserve"> Where </w:t>
      </w:r>
      <w:r w:rsidR="00573B8E" w:rsidRPr="00077736">
        <w:rPr>
          <w:rFonts w:ascii="Times New Roman" w:hAnsi="Times New Roman" w:cs="Times New Roman"/>
          <w:bCs/>
          <w:i/>
          <w:iCs/>
        </w:rPr>
        <w:t xml:space="preserve">planning </w:t>
      </w:r>
      <w:r w:rsidRPr="00077736">
        <w:rPr>
          <w:rFonts w:ascii="Times New Roman" w:hAnsi="Times New Roman" w:cs="Times New Roman"/>
          <w:bCs/>
          <w:i/>
          <w:iCs/>
        </w:rPr>
        <w:t xml:space="preserve">obligations </w:t>
      </w:r>
      <w:r w:rsidR="00AF699E" w:rsidRPr="00077736">
        <w:rPr>
          <w:rFonts w:ascii="Times New Roman" w:hAnsi="Times New Roman" w:cs="Times New Roman"/>
          <w:bCs/>
          <w:i/>
          <w:iCs/>
        </w:rPr>
        <w:t xml:space="preserve">are considered to be necessary </w:t>
      </w:r>
      <w:r w:rsidR="000C1B78" w:rsidRPr="00077736">
        <w:rPr>
          <w:rFonts w:ascii="Times New Roman" w:hAnsi="Times New Roman" w:cs="Times New Roman"/>
          <w:bCs/>
          <w:i/>
          <w:iCs/>
        </w:rPr>
        <w:t xml:space="preserve">and directly related to the development and </w:t>
      </w:r>
      <w:r w:rsidR="00FE24CD" w:rsidRPr="00077736">
        <w:rPr>
          <w:rFonts w:ascii="Times New Roman" w:hAnsi="Times New Roman" w:cs="Times New Roman"/>
          <w:bCs/>
          <w:i/>
          <w:iCs/>
        </w:rPr>
        <w:t>proportionate</w:t>
      </w:r>
      <w:r w:rsidR="000C1B78" w:rsidRPr="00077736">
        <w:rPr>
          <w:rFonts w:ascii="Times New Roman" w:hAnsi="Times New Roman" w:cs="Times New Roman"/>
          <w:bCs/>
          <w:i/>
          <w:iCs/>
        </w:rPr>
        <w:t xml:space="preserve"> to the scal</w:t>
      </w:r>
      <w:r w:rsidR="00FE24CD" w:rsidRPr="00077736">
        <w:rPr>
          <w:rFonts w:ascii="Times New Roman" w:hAnsi="Times New Roman" w:cs="Times New Roman"/>
          <w:bCs/>
          <w:i/>
          <w:iCs/>
        </w:rPr>
        <w:t>e of</w:t>
      </w:r>
      <w:r w:rsidR="000C1B78" w:rsidRPr="00077736">
        <w:rPr>
          <w:rFonts w:ascii="Times New Roman" w:hAnsi="Times New Roman" w:cs="Times New Roman"/>
          <w:bCs/>
          <w:i/>
          <w:iCs/>
        </w:rPr>
        <w:t xml:space="preserve"> that development </w:t>
      </w:r>
      <w:r w:rsidR="00FE24CD" w:rsidRPr="00077736">
        <w:rPr>
          <w:rFonts w:ascii="Times New Roman" w:hAnsi="Times New Roman" w:cs="Times New Roman"/>
          <w:bCs/>
          <w:i/>
          <w:iCs/>
        </w:rPr>
        <w:t>the Council will use the metric in Annex F as the starting</w:t>
      </w:r>
      <w:r w:rsidR="00573B8E" w:rsidRPr="00077736">
        <w:rPr>
          <w:rFonts w:ascii="Times New Roman" w:hAnsi="Times New Roman" w:cs="Times New Roman"/>
          <w:bCs/>
          <w:i/>
          <w:iCs/>
        </w:rPr>
        <w:t xml:space="preserve"> point </w:t>
      </w:r>
      <w:r w:rsidR="001662C7">
        <w:rPr>
          <w:rFonts w:ascii="Times New Roman" w:hAnsi="Times New Roman" w:cs="Times New Roman"/>
          <w:bCs/>
          <w:i/>
          <w:iCs/>
        </w:rPr>
        <w:t xml:space="preserve">as well as taking </w:t>
      </w:r>
      <w:r w:rsidR="007F3FDF" w:rsidRPr="00077736">
        <w:rPr>
          <w:rFonts w:ascii="Times New Roman" w:hAnsi="Times New Roman" w:cs="Times New Roman"/>
          <w:bCs/>
          <w:i/>
          <w:iCs/>
        </w:rPr>
        <w:t xml:space="preserve">into account the latest infrastructure planning information, including to the Infrastructure Delivery Plan, and the infrastructure </w:t>
      </w:r>
      <w:r w:rsidR="00573B8E" w:rsidRPr="00077736">
        <w:rPr>
          <w:rFonts w:ascii="Times New Roman" w:hAnsi="Times New Roman" w:cs="Times New Roman"/>
          <w:bCs/>
          <w:i/>
          <w:iCs/>
        </w:rPr>
        <w:t>prioritisation</w:t>
      </w:r>
      <w:r w:rsidR="007F3FDF" w:rsidRPr="00077736">
        <w:rPr>
          <w:rFonts w:ascii="Times New Roman" w:hAnsi="Times New Roman" w:cs="Times New Roman"/>
          <w:bCs/>
          <w:i/>
          <w:iCs/>
        </w:rPr>
        <w:t xml:space="preserve"> framework in Annex E.</w:t>
      </w:r>
      <w:r>
        <w:rPr>
          <w:rFonts w:ascii="Times New Roman" w:hAnsi="Times New Roman" w:cs="Times New Roman"/>
          <w:bCs/>
        </w:rPr>
        <w:t>”</w:t>
      </w:r>
    </w:p>
    <w:p w14:paraId="3070F87E" w14:textId="0C7B73A9" w:rsidR="00D21F96" w:rsidRPr="00077736" w:rsidRDefault="00B120CF"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HBF notes </w:t>
      </w:r>
      <w:r w:rsidR="00A51009">
        <w:rPr>
          <w:rFonts w:ascii="Times New Roman" w:hAnsi="Times New Roman" w:cs="Times New Roman"/>
          <w:bCs/>
        </w:rPr>
        <w:t>that</w:t>
      </w:r>
      <w:r>
        <w:rPr>
          <w:rFonts w:ascii="Times New Roman" w:hAnsi="Times New Roman" w:cs="Times New Roman"/>
          <w:bCs/>
        </w:rPr>
        <w:t xml:space="preserve"> the Council have </w:t>
      </w:r>
      <w:r w:rsidR="00A51009">
        <w:rPr>
          <w:rFonts w:ascii="Times New Roman" w:hAnsi="Times New Roman" w:cs="Times New Roman"/>
          <w:bCs/>
        </w:rPr>
        <w:t>included</w:t>
      </w:r>
      <w:r>
        <w:rPr>
          <w:rFonts w:ascii="Times New Roman" w:hAnsi="Times New Roman" w:cs="Times New Roman"/>
          <w:bCs/>
        </w:rPr>
        <w:t xml:space="preserve"> a cost of £25,000 per unit to cover </w:t>
      </w:r>
      <w:r w:rsidR="00A51009">
        <w:rPr>
          <w:rFonts w:ascii="Times New Roman" w:hAnsi="Times New Roman" w:cs="Times New Roman"/>
          <w:bCs/>
        </w:rPr>
        <w:t>infrastructure</w:t>
      </w:r>
      <w:r>
        <w:rPr>
          <w:rFonts w:ascii="Times New Roman" w:hAnsi="Times New Roman" w:cs="Times New Roman"/>
          <w:bCs/>
        </w:rPr>
        <w:t xml:space="preserve"> costs but </w:t>
      </w:r>
      <w:r w:rsidR="000A1B9E">
        <w:rPr>
          <w:rFonts w:ascii="Times New Roman" w:hAnsi="Times New Roman" w:cs="Times New Roman"/>
          <w:bCs/>
        </w:rPr>
        <w:t xml:space="preserve">that there remains some uncertainty as to </w:t>
      </w:r>
      <w:r w:rsidR="00A51009">
        <w:rPr>
          <w:rFonts w:ascii="Times New Roman" w:hAnsi="Times New Roman" w:cs="Times New Roman"/>
          <w:bCs/>
        </w:rPr>
        <w:t>overall</w:t>
      </w:r>
      <w:r w:rsidR="000A1B9E">
        <w:rPr>
          <w:rFonts w:ascii="Times New Roman" w:hAnsi="Times New Roman" w:cs="Times New Roman"/>
          <w:bCs/>
        </w:rPr>
        <w:t xml:space="preserve"> costs of strategic </w:t>
      </w:r>
      <w:r w:rsidR="00A51009">
        <w:rPr>
          <w:rFonts w:ascii="Times New Roman" w:hAnsi="Times New Roman" w:cs="Times New Roman"/>
          <w:bCs/>
        </w:rPr>
        <w:t xml:space="preserve">infrastructure and mitigation. </w:t>
      </w:r>
      <w:r w:rsidR="00B33011">
        <w:rPr>
          <w:rFonts w:ascii="Times New Roman" w:hAnsi="Times New Roman" w:cs="Times New Roman"/>
          <w:bCs/>
        </w:rPr>
        <w:t>The Council have undertaken some sensitivity analysis w</w:t>
      </w:r>
      <w:r w:rsidR="00D97522">
        <w:rPr>
          <w:rFonts w:ascii="Times New Roman" w:hAnsi="Times New Roman" w:cs="Times New Roman"/>
          <w:bCs/>
        </w:rPr>
        <w:t>ith table 8-1</w:t>
      </w:r>
      <w:r w:rsidR="00B33011">
        <w:rPr>
          <w:rFonts w:ascii="Times New Roman" w:hAnsi="Times New Roman" w:cs="Times New Roman"/>
          <w:bCs/>
        </w:rPr>
        <w:t xml:space="preserve"> show</w:t>
      </w:r>
      <w:r w:rsidR="00D97522">
        <w:rPr>
          <w:rFonts w:ascii="Times New Roman" w:hAnsi="Times New Roman" w:cs="Times New Roman"/>
          <w:bCs/>
        </w:rPr>
        <w:t>ing</w:t>
      </w:r>
      <w:r w:rsidR="00B33011">
        <w:rPr>
          <w:rFonts w:ascii="Times New Roman" w:hAnsi="Times New Roman" w:cs="Times New Roman"/>
          <w:bCs/>
        </w:rPr>
        <w:t xml:space="preserve"> that </w:t>
      </w:r>
      <w:r w:rsidR="00DC65C4">
        <w:rPr>
          <w:rFonts w:ascii="Times New Roman" w:hAnsi="Times New Roman" w:cs="Times New Roman"/>
          <w:bCs/>
        </w:rPr>
        <w:t>at 4</w:t>
      </w:r>
      <w:r w:rsidR="00D97522">
        <w:rPr>
          <w:rFonts w:ascii="Times New Roman" w:hAnsi="Times New Roman" w:cs="Times New Roman"/>
          <w:bCs/>
        </w:rPr>
        <w:t>0</w:t>
      </w:r>
      <w:r w:rsidR="00DC65C4">
        <w:rPr>
          <w:rFonts w:ascii="Times New Roman" w:hAnsi="Times New Roman" w:cs="Times New Roman"/>
          <w:bCs/>
        </w:rPr>
        <w:t xml:space="preserve">% </w:t>
      </w:r>
      <w:r w:rsidR="00D97522">
        <w:rPr>
          <w:rFonts w:ascii="Times New Roman" w:hAnsi="Times New Roman" w:cs="Times New Roman"/>
          <w:bCs/>
        </w:rPr>
        <w:t>affordable</w:t>
      </w:r>
      <w:r w:rsidR="00DC65C4">
        <w:rPr>
          <w:rFonts w:ascii="Times New Roman" w:hAnsi="Times New Roman" w:cs="Times New Roman"/>
          <w:bCs/>
        </w:rPr>
        <w:t xml:space="preserve"> </w:t>
      </w:r>
      <w:r w:rsidR="00D97522">
        <w:rPr>
          <w:rFonts w:ascii="Times New Roman" w:hAnsi="Times New Roman" w:cs="Times New Roman"/>
          <w:bCs/>
        </w:rPr>
        <w:t>housing</w:t>
      </w:r>
      <w:r w:rsidR="00DC65C4">
        <w:rPr>
          <w:rFonts w:ascii="Times New Roman" w:hAnsi="Times New Roman" w:cs="Times New Roman"/>
          <w:bCs/>
        </w:rPr>
        <w:t xml:space="preserve"> the maximum </w:t>
      </w:r>
      <w:r w:rsidR="00D97522">
        <w:rPr>
          <w:rFonts w:ascii="Times New Roman" w:hAnsi="Times New Roman" w:cs="Times New Roman"/>
          <w:bCs/>
        </w:rPr>
        <w:t>green</w:t>
      </w:r>
      <w:r w:rsidR="00DC65C4">
        <w:rPr>
          <w:rFonts w:ascii="Times New Roman" w:hAnsi="Times New Roman" w:cs="Times New Roman"/>
          <w:bCs/>
        </w:rPr>
        <w:t xml:space="preserve"> field </w:t>
      </w:r>
      <w:r w:rsidR="00D97522">
        <w:rPr>
          <w:rFonts w:ascii="Times New Roman" w:hAnsi="Times New Roman" w:cs="Times New Roman"/>
          <w:bCs/>
        </w:rPr>
        <w:t>contributions</w:t>
      </w:r>
      <w:r w:rsidR="00DC65C4">
        <w:rPr>
          <w:rFonts w:ascii="Times New Roman" w:hAnsi="Times New Roman" w:cs="Times New Roman"/>
          <w:bCs/>
        </w:rPr>
        <w:t xml:space="preserve"> is £20,000 per unit for </w:t>
      </w:r>
      <w:r w:rsidR="00952D5E">
        <w:rPr>
          <w:rFonts w:ascii="Times New Roman" w:hAnsi="Times New Roman" w:cs="Times New Roman"/>
          <w:bCs/>
        </w:rPr>
        <w:t>g</w:t>
      </w:r>
      <w:r w:rsidR="00D97522">
        <w:rPr>
          <w:rFonts w:ascii="Times New Roman" w:hAnsi="Times New Roman" w:cs="Times New Roman"/>
          <w:bCs/>
        </w:rPr>
        <w:t>reenfield</w:t>
      </w:r>
      <w:r w:rsidR="00DC65C4">
        <w:rPr>
          <w:rFonts w:ascii="Times New Roman" w:hAnsi="Times New Roman" w:cs="Times New Roman"/>
          <w:bCs/>
        </w:rPr>
        <w:t xml:space="preserve"> housing development and</w:t>
      </w:r>
      <w:r w:rsidR="00D97522">
        <w:rPr>
          <w:rFonts w:ascii="Times New Roman" w:hAnsi="Times New Roman" w:cs="Times New Roman"/>
          <w:bCs/>
        </w:rPr>
        <w:t xml:space="preserve"> would make greenfield flatted development unviable</w:t>
      </w:r>
      <w:r w:rsidR="00AE7D61">
        <w:rPr>
          <w:rFonts w:ascii="Times New Roman" w:hAnsi="Times New Roman" w:cs="Times New Roman"/>
          <w:bCs/>
        </w:rPr>
        <w:t xml:space="preserve"> across the area</w:t>
      </w:r>
      <w:r w:rsidR="00D97522">
        <w:rPr>
          <w:rFonts w:ascii="Times New Roman" w:hAnsi="Times New Roman" w:cs="Times New Roman"/>
          <w:bCs/>
        </w:rPr>
        <w:t>.</w:t>
      </w:r>
      <w:r w:rsidR="007A1727">
        <w:rPr>
          <w:rFonts w:ascii="Times New Roman" w:hAnsi="Times New Roman" w:cs="Times New Roman"/>
          <w:bCs/>
        </w:rPr>
        <w:t xml:space="preserve"> This would suggest that any significant increases in </w:t>
      </w:r>
      <w:r w:rsidR="00952D5E">
        <w:rPr>
          <w:rFonts w:ascii="Times New Roman" w:hAnsi="Times New Roman" w:cs="Times New Roman"/>
          <w:bCs/>
        </w:rPr>
        <w:t>planning obligations could impact on the deliverability of the local plan.</w:t>
      </w:r>
    </w:p>
    <w:p w14:paraId="7B114ED6" w14:textId="3668E440" w:rsidR="00F231E9" w:rsidRPr="00A1021A" w:rsidRDefault="00D21F96" w:rsidP="00D21F96">
      <w:pPr>
        <w:widowControl/>
        <w:suppressAutoHyphens w:val="0"/>
        <w:autoSpaceDE/>
        <w:spacing w:after="240" w:line="360" w:lineRule="auto"/>
        <w:jc w:val="both"/>
        <w:rPr>
          <w:rFonts w:ascii="Times New Roman" w:hAnsi="Times New Roman" w:cs="Times New Roman"/>
          <w:b/>
        </w:rPr>
      </w:pPr>
      <w:r w:rsidRPr="00A1021A">
        <w:rPr>
          <w:rFonts w:ascii="Times New Roman" w:hAnsi="Times New Roman" w:cs="Times New Roman"/>
          <w:b/>
        </w:rPr>
        <w:t>HQH1</w:t>
      </w:r>
      <w:r w:rsidR="00C8221C" w:rsidRPr="00A1021A">
        <w:rPr>
          <w:rFonts w:ascii="Times New Roman" w:hAnsi="Times New Roman" w:cs="Times New Roman"/>
          <w:b/>
        </w:rPr>
        <w:t xml:space="preserve"> Healthy Homes</w:t>
      </w:r>
    </w:p>
    <w:p w14:paraId="2B7449CF" w14:textId="7759A52C" w:rsidR="00C8221C" w:rsidRPr="00A1021A" w:rsidRDefault="00A1021A" w:rsidP="00D21F96">
      <w:pPr>
        <w:widowControl/>
        <w:suppressAutoHyphens w:val="0"/>
        <w:autoSpaceDE/>
        <w:spacing w:after="240" w:line="360" w:lineRule="auto"/>
        <w:jc w:val="both"/>
        <w:rPr>
          <w:rFonts w:ascii="Times New Roman" w:hAnsi="Times New Roman" w:cs="Times New Roman"/>
          <w:bCs/>
          <w:u w:val="single"/>
        </w:rPr>
      </w:pPr>
      <w:r>
        <w:rPr>
          <w:rFonts w:ascii="Times New Roman" w:hAnsi="Times New Roman" w:cs="Times New Roman"/>
          <w:bCs/>
          <w:u w:val="single"/>
        </w:rPr>
        <w:t>The p</w:t>
      </w:r>
      <w:r w:rsidR="009B71DD" w:rsidRPr="00A1021A">
        <w:rPr>
          <w:rFonts w:ascii="Times New Roman" w:hAnsi="Times New Roman" w:cs="Times New Roman"/>
          <w:bCs/>
          <w:u w:val="single"/>
        </w:rPr>
        <w:t>olicy</w:t>
      </w:r>
      <w:r w:rsidR="00C8221C" w:rsidRPr="00A1021A">
        <w:rPr>
          <w:rFonts w:ascii="Times New Roman" w:hAnsi="Times New Roman" w:cs="Times New Roman"/>
          <w:bCs/>
          <w:u w:val="single"/>
        </w:rPr>
        <w:t xml:space="preserve"> </w:t>
      </w:r>
      <w:r>
        <w:rPr>
          <w:rFonts w:ascii="Times New Roman" w:hAnsi="Times New Roman" w:cs="Times New Roman"/>
          <w:bCs/>
          <w:u w:val="single"/>
        </w:rPr>
        <w:t>is un</w:t>
      </w:r>
      <w:r w:rsidR="009B71DD" w:rsidRPr="00A1021A">
        <w:rPr>
          <w:rFonts w:ascii="Times New Roman" w:hAnsi="Times New Roman" w:cs="Times New Roman"/>
          <w:bCs/>
          <w:u w:val="single"/>
        </w:rPr>
        <w:t>sound</w:t>
      </w:r>
      <w:r w:rsidR="00C8221C" w:rsidRPr="00A1021A">
        <w:rPr>
          <w:rFonts w:ascii="Times New Roman" w:hAnsi="Times New Roman" w:cs="Times New Roman"/>
          <w:bCs/>
          <w:u w:val="single"/>
        </w:rPr>
        <w:t xml:space="preserve"> as it i</w:t>
      </w:r>
      <w:r w:rsidR="009B71DD" w:rsidRPr="00A1021A">
        <w:rPr>
          <w:rFonts w:ascii="Times New Roman" w:hAnsi="Times New Roman" w:cs="Times New Roman"/>
          <w:bCs/>
          <w:u w:val="single"/>
        </w:rPr>
        <w:t xml:space="preserve">s not effective or justified </w:t>
      </w:r>
    </w:p>
    <w:p w14:paraId="6CE0B8D1" w14:textId="7B681879" w:rsidR="001F3DC7" w:rsidRPr="001F3DC7" w:rsidRDefault="001F3DC7" w:rsidP="00D21F96">
      <w:pPr>
        <w:widowControl/>
        <w:suppressAutoHyphens w:val="0"/>
        <w:autoSpaceDE/>
        <w:spacing w:after="240" w:line="360" w:lineRule="auto"/>
        <w:jc w:val="both"/>
        <w:rPr>
          <w:rFonts w:ascii="Times New Roman" w:hAnsi="Times New Roman" w:cs="Times New Roman"/>
          <w:bCs/>
          <w:i/>
          <w:iCs/>
        </w:rPr>
      </w:pPr>
      <w:r w:rsidRPr="001F3DC7">
        <w:rPr>
          <w:rFonts w:ascii="Times New Roman" w:hAnsi="Times New Roman" w:cs="Times New Roman"/>
          <w:bCs/>
          <w:i/>
          <w:iCs/>
        </w:rPr>
        <w:t>Mix of homes</w:t>
      </w:r>
    </w:p>
    <w:p w14:paraId="5E479E84" w14:textId="3225BD6C" w:rsidR="00AD2571" w:rsidRDefault="008A33FA" w:rsidP="00D63EFB">
      <w:pPr>
        <w:widowControl/>
        <w:suppressAutoHyphens w:val="0"/>
        <w:autoSpaceDE/>
        <w:spacing w:after="240" w:line="360" w:lineRule="auto"/>
        <w:jc w:val="both"/>
        <w:rPr>
          <w:rFonts w:ascii="Times New Roman" w:hAnsi="Times New Roman" w:cs="Times New Roman"/>
          <w:bCs/>
        </w:rPr>
      </w:pPr>
      <w:r w:rsidRPr="008A33FA">
        <w:rPr>
          <w:rFonts w:ascii="Times New Roman" w:hAnsi="Times New Roman" w:cs="Times New Roman"/>
          <w:bCs/>
        </w:rPr>
        <w:t xml:space="preserve">The policy states that </w:t>
      </w:r>
      <w:r w:rsidR="00126D38">
        <w:rPr>
          <w:rFonts w:ascii="Times New Roman" w:hAnsi="Times New Roman" w:cs="Times New Roman"/>
          <w:bCs/>
        </w:rPr>
        <w:t xml:space="preserve">on housing sites of 10 or more homes </w:t>
      </w:r>
      <w:r w:rsidRPr="008A33FA">
        <w:rPr>
          <w:rFonts w:ascii="Times New Roman" w:hAnsi="Times New Roman" w:cs="Times New Roman"/>
          <w:bCs/>
        </w:rPr>
        <w:t xml:space="preserve">the mix of housing types and size must </w:t>
      </w:r>
      <w:r>
        <w:rPr>
          <w:rFonts w:ascii="Times New Roman" w:hAnsi="Times New Roman" w:cs="Times New Roman"/>
          <w:bCs/>
        </w:rPr>
        <w:t>reflect</w:t>
      </w:r>
      <w:r w:rsidRPr="008A33FA">
        <w:rPr>
          <w:rFonts w:ascii="Times New Roman" w:hAnsi="Times New Roman" w:cs="Times New Roman"/>
          <w:bCs/>
        </w:rPr>
        <w:t xml:space="preserve"> with the </w:t>
      </w:r>
      <w:r w:rsidR="006E24B8">
        <w:rPr>
          <w:rFonts w:ascii="Times New Roman" w:hAnsi="Times New Roman" w:cs="Times New Roman"/>
          <w:bCs/>
        </w:rPr>
        <w:t>Council’s latest assessment of housing</w:t>
      </w:r>
      <w:r w:rsidRPr="008A33FA">
        <w:rPr>
          <w:rFonts w:ascii="Times New Roman" w:hAnsi="Times New Roman" w:cs="Times New Roman"/>
          <w:bCs/>
        </w:rPr>
        <w:t xml:space="preserve">. </w:t>
      </w:r>
      <w:r w:rsidR="00126D38">
        <w:rPr>
          <w:rFonts w:ascii="Times New Roman" w:hAnsi="Times New Roman" w:cs="Times New Roman"/>
          <w:bCs/>
        </w:rPr>
        <w:t xml:space="preserve">This lacks the necessary </w:t>
      </w:r>
      <w:r w:rsidR="00D84517">
        <w:rPr>
          <w:rFonts w:ascii="Times New Roman" w:hAnsi="Times New Roman" w:cs="Times New Roman"/>
          <w:bCs/>
        </w:rPr>
        <w:t>flexibility</w:t>
      </w:r>
      <w:r w:rsidR="00126D38">
        <w:rPr>
          <w:rFonts w:ascii="Times New Roman" w:hAnsi="Times New Roman" w:cs="Times New Roman"/>
          <w:bCs/>
        </w:rPr>
        <w:t xml:space="preserve"> to ta</w:t>
      </w:r>
      <w:r w:rsidR="00D84517">
        <w:rPr>
          <w:rFonts w:ascii="Times New Roman" w:hAnsi="Times New Roman" w:cs="Times New Roman"/>
          <w:bCs/>
        </w:rPr>
        <w:t xml:space="preserve">ke account of other evidence that may suggest more appropriate mix would better meet the need for homes in </w:t>
      </w:r>
      <w:r w:rsidR="009E41E9">
        <w:rPr>
          <w:rFonts w:ascii="Times New Roman" w:hAnsi="Times New Roman" w:cs="Times New Roman"/>
          <w:bCs/>
        </w:rPr>
        <w:t xml:space="preserve">the specific area the site is being developed. </w:t>
      </w:r>
      <w:r w:rsidR="00D84517">
        <w:rPr>
          <w:rFonts w:ascii="Times New Roman" w:hAnsi="Times New Roman" w:cs="Times New Roman"/>
          <w:bCs/>
        </w:rPr>
        <w:t xml:space="preserve"> </w:t>
      </w:r>
      <w:r w:rsidRPr="008A33FA">
        <w:rPr>
          <w:rFonts w:ascii="Times New Roman" w:hAnsi="Times New Roman" w:cs="Times New Roman"/>
          <w:bCs/>
        </w:rPr>
        <w:t>The policy should</w:t>
      </w:r>
      <w:r w:rsidR="009E41E9">
        <w:rPr>
          <w:rFonts w:ascii="Times New Roman" w:hAnsi="Times New Roman" w:cs="Times New Roman"/>
          <w:bCs/>
        </w:rPr>
        <w:t xml:space="preserve"> therefore</w:t>
      </w:r>
      <w:r w:rsidRPr="008A33FA">
        <w:rPr>
          <w:rFonts w:ascii="Times New Roman" w:hAnsi="Times New Roman" w:cs="Times New Roman"/>
          <w:bCs/>
        </w:rPr>
        <w:t xml:space="preserve"> state that in setting the housing mix development should have </w:t>
      </w:r>
      <w:r w:rsidR="009E41E9">
        <w:rPr>
          <w:rFonts w:ascii="Times New Roman" w:hAnsi="Times New Roman" w:cs="Times New Roman"/>
          <w:bCs/>
        </w:rPr>
        <w:t xml:space="preserve">regard </w:t>
      </w:r>
      <w:r w:rsidR="00292EE5">
        <w:rPr>
          <w:rFonts w:ascii="Times New Roman" w:hAnsi="Times New Roman" w:cs="Times New Roman"/>
          <w:bCs/>
        </w:rPr>
        <w:t xml:space="preserve">not only </w:t>
      </w:r>
      <w:r w:rsidR="009E41E9">
        <w:rPr>
          <w:rFonts w:ascii="Times New Roman" w:hAnsi="Times New Roman" w:cs="Times New Roman"/>
          <w:bCs/>
        </w:rPr>
        <w:t xml:space="preserve">to </w:t>
      </w:r>
      <w:r w:rsidR="00830113">
        <w:rPr>
          <w:rFonts w:ascii="Times New Roman" w:hAnsi="Times New Roman" w:cs="Times New Roman"/>
          <w:bCs/>
        </w:rPr>
        <w:t xml:space="preserve">the latest </w:t>
      </w:r>
      <w:r w:rsidR="00292EE5">
        <w:rPr>
          <w:rFonts w:ascii="Times New Roman" w:hAnsi="Times New Roman" w:cs="Times New Roman"/>
          <w:bCs/>
        </w:rPr>
        <w:t>assessment</w:t>
      </w:r>
      <w:r w:rsidR="00830113">
        <w:rPr>
          <w:rFonts w:ascii="Times New Roman" w:hAnsi="Times New Roman" w:cs="Times New Roman"/>
          <w:bCs/>
        </w:rPr>
        <w:t xml:space="preserve"> of housing need but as well as other </w:t>
      </w:r>
      <w:r w:rsidR="009D2076">
        <w:rPr>
          <w:rFonts w:ascii="Times New Roman" w:hAnsi="Times New Roman" w:cs="Times New Roman"/>
          <w:bCs/>
        </w:rPr>
        <w:t>evidence</w:t>
      </w:r>
      <w:r w:rsidRPr="008A33FA">
        <w:rPr>
          <w:rFonts w:ascii="Times New Roman" w:hAnsi="Times New Roman" w:cs="Times New Roman"/>
          <w:bCs/>
        </w:rPr>
        <w:t xml:space="preserve">. </w:t>
      </w:r>
      <w:r w:rsidR="00CF6A2A">
        <w:rPr>
          <w:rFonts w:ascii="Times New Roman" w:hAnsi="Times New Roman" w:cs="Times New Roman"/>
          <w:bCs/>
        </w:rPr>
        <w:t xml:space="preserve">This will allow decision makers to take into account ai </w:t>
      </w:r>
      <w:r w:rsidR="00613249">
        <w:rPr>
          <w:rFonts w:ascii="Times New Roman" w:hAnsi="Times New Roman" w:cs="Times New Roman"/>
          <w:bCs/>
        </w:rPr>
        <w:t>wider</w:t>
      </w:r>
      <w:r w:rsidR="00CF6A2A">
        <w:rPr>
          <w:rFonts w:ascii="Times New Roman" w:hAnsi="Times New Roman" w:cs="Times New Roman"/>
          <w:bCs/>
        </w:rPr>
        <w:t xml:space="preserve"> </w:t>
      </w:r>
      <w:r w:rsidR="00613249">
        <w:rPr>
          <w:rFonts w:ascii="Times New Roman" w:hAnsi="Times New Roman" w:cs="Times New Roman"/>
          <w:bCs/>
        </w:rPr>
        <w:t>range</w:t>
      </w:r>
      <w:r w:rsidR="00CF6A2A">
        <w:rPr>
          <w:rFonts w:ascii="Times New Roman" w:hAnsi="Times New Roman" w:cs="Times New Roman"/>
          <w:bCs/>
        </w:rPr>
        <w:t xml:space="preserve"> of evidence </w:t>
      </w:r>
      <w:r w:rsidR="00613249">
        <w:rPr>
          <w:rFonts w:ascii="Times New Roman" w:hAnsi="Times New Roman" w:cs="Times New Roman"/>
          <w:bCs/>
        </w:rPr>
        <w:t>recognising</w:t>
      </w:r>
      <w:r w:rsidR="00CF6A2A">
        <w:rPr>
          <w:rFonts w:ascii="Times New Roman" w:hAnsi="Times New Roman" w:cs="Times New Roman"/>
          <w:bCs/>
        </w:rPr>
        <w:t xml:space="preserve"> that the </w:t>
      </w:r>
      <w:r w:rsidR="00613249">
        <w:rPr>
          <w:rFonts w:ascii="Times New Roman" w:hAnsi="Times New Roman" w:cs="Times New Roman"/>
          <w:bCs/>
        </w:rPr>
        <w:t>council’s</w:t>
      </w:r>
      <w:r w:rsidR="00CF6A2A">
        <w:rPr>
          <w:rFonts w:ascii="Times New Roman" w:hAnsi="Times New Roman" w:cs="Times New Roman"/>
          <w:bCs/>
        </w:rPr>
        <w:t xml:space="preserve"> assessment of housing need is a snap shot in time and that there may be </w:t>
      </w:r>
      <w:r w:rsidR="00613249">
        <w:rPr>
          <w:rFonts w:ascii="Times New Roman" w:hAnsi="Times New Roman" w:cs="Times New Roman"/>
          <w:bCs/>
        </w:rPr>
        <w:t xml:space="preserve">changes in need between its publication and any subsequent updates. </w:t>
      </w:r>
    </w:p>
    <w:p w14:paraId="3B31A505" w14:textId="25A4F4BC" w:rsidR="001F3DC7" w:rsidRPr="00E54401" w:rsidRDefault="00E54401" w:rsidP="00D21F96">
      <w:pPr>
        <w:widowControl/>
        <w:suppressAutoHyphens w:val="0"/>
        <w:autoSpaceDE/>
        <w:spacing w:after="240" w:line="360" w:lineRule="auto"/>
        <w:jc w:val="both"/>
        <w:rPr>
          <w:rFonts w:ascii="Times New Roman" w:hAnsi="Times New Roman" w:cs="Times New Roman"/>
          <w:bCs/>
          <w:i/>
          <w:iCs/>
        </w:rPr>
      </w:pPr>
      <w:r w:rsidRPr="00E54401">
        <w:rPr>
          <w:rFonts w:ascii="Times New Roman" w:hAnsi="Times New Roman" w:cs="Times New Roman"/>
          <w:bCs/>
          <w:i/>
          <w:iCs/>
        </w:rPr>
        <w:t>Self-build</w:t>
      </w:r>
      <w:r w:rsidR="001F3DC7" w:rsidRPr="00E54401">
        <w:rPr>
          <w:rFonts w:ascii="Times New Roman" w:hAnsi="Times New Roman" w:cs="Times New Roman"/>
          <w:bCs/>
          <w:i/>
          <w:iCs/>
        </w:rPr>
        <w:t xml:space="preserve"> </w:t>
      </w:r>
      <w:r w:rsidRPr="00E54401">
        <w:rPr>
          <w:rFonts w:ascii="Times New Roman" w:hAnsi="Times New Roman" w:cs="Times New Roman"/>
          <w:bCs/>
          <w:i/>
          <w:iCs/>
        </w:rPr>
        <w:t>and custom homes</w:t>
      </w:r>
    </w:p>
    <w:p w14:paraId="3766ECAA" w14:textId="0A82C11D" w:rsidR="00082011" w:rsidRDefault="002876C8"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lastRenderedPageBreak/>
        <w:t xml:space="preserve">The </w:t>
      </w:r>
      <w:r w:rsidR="00F216A9">
        <w:rPr>
          <w:rFonts w:ascii="Times New Roman" w:hAnsi="Times New Roman" w:cs="Times New Roman"/>
          <w:bCs/>
        </w:rPr>
        <w:t>Council</w:t>
      </w:r>
      <w:r>
        <w:rPr>
          <w:rFonts w:ascii="Times New Roman" w:hAnsi="Times New Roman" w:cs="Times New Roman"/>
          <w:bCs/>
        </w:rPr>
        <w:t xml:space="preserve"> are proposing that </w:t>
      </w:r>
      <w:r w:rsidR="00FD4388">
        <w:rPr>
          <w:rFonts w:ascii="Times New Roman" w:hAnsi="Times New Roman" w:cs="Times New Roman"/>
          <w:bCs/>
        </w:rPr>
        <w:t xml:space="preserve">proposals </w:t>
      </w:r>
      <w:r w:rsidR="00F216A9">
        <w:rPr>
          <w:rFonts w:ascii="Times New Roman" w:hAnsi="Times New Roman" w:cs="Times New Roman"/>
          <w:bCs/>
        </w:rPr>
        <w:t xml:space="preserve">involving 100 or more homes (excluding flatted development) must provide at least </w:t>
      </w:r>
      <w:r w:rsidR="00D21F96" w:rsidRPr="00D21F96">
        <w:rPr>
          <w:rFonts w:ascii="Times New Roman" w:hAnsi="Times New Roman" w:cs="Times New Roman"/>
          <w:bCs/>
        </w:rPr>
        <w:t xml:space="preserve">5% </w:t>
      </w:r>
      <w:r w:rsidR="00F216A9">
        <w:rPr>
          <w:rFonts w:ascii="Times New Roman" w:hAnsi="Times New Roman" w:cs="Times New Roman"/>
          <w:bCs/>
        </w:rPr>
        <w:t xml:space="preserve">of total dwelling plots as </w:t>
      </w:r>
      <w:r w:rsidR="006D6E2C" w:rsidRPr="00D21F96">
        <w:rPr>
          <w:rFonts w:ascii="Times New Roman" w:hAnsi="Times New Roman" w:cs="Times New Roman"/>
          <w:bCs/>
        </w:rPr>
        <w:t>self-build</w:t>
      </w:r>
      <w:r w:rsidR="00F216A9">
        <w:rPr>
          <w:rFonts w:ascii="Times New Roman" w:hAnsi="Times New Roman" w:cs="Times New Roman"/>
          <w:bCs/>
        </w:rPr>
        <w:t xml:space="preserve">. </w:t>
      </w:r>
      <w:r w:rsidR="00F312C0">
        <w:rPr>
          <w:rFonts w:ascii="Times New Roman" w:hAnsi="Times New Roman" w:cs="Times New Roman"/>
          <w:bCs/>
        </w:rPr>
        <w:t xml:space="preserve">The evidence supporting this approach is set out in the </w:t>
      </w:r>
      <w:r w:rsidR="003D7646">
        <w:rPr>
          <w:rFonts w:ascii="Times New Roman" w:hAnsi="Times New Roman" w:cs="Times New Roman"/>
          <w:bCs/>
        </w:rPr>
        <w:t>H</w:t>
      </w:r>
      <w:r w:rsidR="00F312C0">
        <w:rPr>
          <w:rFonts w:ascii="Times New Roman" w:hAnsi="Times New Roman" w:cs="Times New Roman"/>
          <w:bCs/>
        </w:rPr>
        <w:t xml:space="preserve">ousing </w:t>
      </w:r>
      <w:r w:rsidR="003D7646">
        <w:rPr>
          <w:rFonts w:ascii="Times New Roman" w:hAnsi="Times New Roman" w:cs="Times New Roman"/>
          <w:bCs/>
        </w:rPr>
        <w:t>T</w:t>
      </w:r>
      <w:r w:rsidR="00F312C0">
        <w:rPr>
          <w:rFonts w:ascii="Times New Roman" w:hAnsi="Times New Roman" w:cs="Times New Roman"/>
          <w:bCs/>
        </w:rPr>
        <w:t xml:space="preserve">opic Paper </w:t>
      </w:r>
      <w:r w:rsidR="003D7646">
        <w:rPr>
          <w:rFonts w:ascii="Times New Roman" w:hAnsi="Times New Roman" w:cs="Times New Roman"/>
          <w:bCs/>
        </w:rPr>
        <w:t>and would appear to</w:t>
      </w:r>
      <w:r w:rsidR="00F46A4E">
        <w:rPr>
          <w:rFonts w:ascii="Times New Roman" w:hAnsi="Times New Roman" w:cs="Times New Roman"/>
          <w:bCs/>
        </w:rPr>
        <w:t xml:space="preserve"> based solely on the number of people registered on the self-build register </w:t>
      </w:r>
      <w:r w:rsidR="00F312C0">
        <w:rPr>
          <w:rFonts w:ascii="Times New Roman" w:hAnsi="Times New Roman" w:cs="Times New Roman"/>
          <w:bCs/>
        </w:rPr>
        <w:t xml:space="preserve">over the last five </w:t>
      </w:r>
      <w:r w:rsidR="003D7646">
        <w:rPr>
          <w:rFonts w:ascii="Times New Roman" w:hAnsi="Times New Roman" w:cs="Times New Roman"/>
          <w:bCs/>
        </w:rPr>
        <w:t xml:space="preserve">year. While the </w:t>
      </w:r>
      <w:r w:rsidR="000A68D9">
        <w:rPr>
          <w:rFonts w:ascii="Times New Roman" w:hAnsi="Times New Roman" w:cs="Times New Roman"/>
          <w:bCs/>
        </w:rPr>
        <w:t>self-</w:t>
      </w:r>
      <w:r w:rsidR="003D7646">
        <w:rPr>
          <w:rFonts w:ascii="Times New Roman" w:hAnsi="Times New Roman" w:cs="Times New Roman"/>
          <w:bCs/>
        </w:rPr>
        <w:t xml:space="preserve">build register can provide a guide </w:t>
      </w:r>
      <w:r w:rsidR="00867C39">
        <w:rPr>
          <w:rFonts w:ascii="Times New Roman" w:hAnsi="Times New Roman" w:cs="Times New Roman"/>
          <w:bCs/>
        </w:rPr>
        <w:t xml:space="preserve">as to demand for </w:t>
      </w:r>
      <w:r w:rsidR="000A68D9">
        <w:rPr>
          <w:rFonts w:ascii="Times New Roman" w:hAnsi="Times New Roman" w:cs="Times New Roman"/>
          <w:bCs/>
        </w:rPr>
        <w:t>self-build</w:t>
      </w:r>
      <w:r w:rsidR="00867C39">
        <w:rPr>
          <w:rFonts w:ascii="Times New Roman" w:hAnsi="Times New Roman" w:cs="Times New Roman"/>
          <w:bCs/>
        </w:rPr>
        <w:t xml:space="preserve"> </w:t>
      </w:r>
      <w:r w:rsidR="000A68D9">
        <w:rPr>
          <w:rFonts w:ascii="Times New Roman" w:hAnsi="Times New Roman" w:cs="Times New Roman"/>
          <w:bCs/>
        </w:rPr>
        <w:t>unless</w:t>
      </w:r>
      <w:r w:rsidR="00867C39">
        <w:rPr>
          <w:rFonts w:ascii="Times New Roman" w:hAnsi="Times New Roman" w:cs="Times New Roman"/>
          <w:bCs/>
        </w:rPr>
        <w:t xml:space="preserve"> it is regularly </w:t>
      </w:r>
      <w:r w:rsidR="000A68D9">
        <w:rPr>
          <w:rFonts w:ascii="Times New Roman" w:hAnsi="Times New Roman" w:cs="Times New Roman"/>
          <w:bCs/>
        </w:rPr>
        <w:t>updated</w:t>
      </w:r>
      <w:r w:rsidR="00867C39">
        <w:rPr>
          <w:rFonts w:ascii="Times New Roman" w:hAnsi="Times New Roman" w:cs="Times New Roman"/>
          <w:bCs/>
        </w:rPr>
        <w:t xml:space="preserve"> to find out if those who are on the register</w:t>
      </w:r>
      <w:r w:rsidR="00347BDD">
        <w:rPr>
          <w:rFonts w:ascii="Times New Roman" w:hAnsi="Times New Roman" w:cs="Times New Roman"/>
          <w:bCs/>
        </w:rPr>
        <w:t xml:space="preserve"> are still looking for a </w:t>
      </w:r>
      <w:r w:rsidR="000A68D9">
        <w:rPr>
          <w:rFonts w:ascii="Times New Roman" w:hAnsi="Times New Roman" w:cs="Times New Roman"/>
          <w:bCs/>
        </w:rPr>
        <w:t xml:space="preserve">self-build </w:t>
      </w:r>
      <w:r w:rsidR="00CE60A2">
        <w:rPr>
          <w:rFonts w:ascii="Times New Roman" w:hAnsi="Times New Roman" w:cs="Times New Roman"/>
          <w:bCs/>
        </w:rPr>
        <w:t>plot and</w:t>
      </w:r>
      <w:r w:rsidR="00347BDD">
        <w:rPr>
          <w:rFonts w:ascii="Times New Roman" w:hAnsi="Times New Roman" w:cs="Times New Roman"/>
          <w:bCs/>
        </w:rPr>
        <w:t xml:space="preserve"> </w:t>
      </w:r>
      <w:r w:rsidR="000A68D9">
        <w:rPr>
          <w:rFonts w:ascii="Times New Roman" w:hAnsi="Times New Roman" w:cs="Times New Roman"/>
          <w:bCs/>
        </w:rPr>
        <w:t>are still able to afford to build their own home</w:t>
      </w:r>
      <w:r w:rsidR="00763AB2">
        <w:rPr>
          <w:rFonts w:ascii="Times New Roman" w:hAnsi="Times New Roman" w:cs="Times New Roman"/>
          <w:bCs/>
        </w:rPr>
        <w:t>,</w:t>
      </w:r>
      <w:r w:rsidR="00E52F40">
        <w:rPr>
          <w:rFonts w:ascii="Times New Roman" w:hAnsi="Times New Roman" w:cs="Times New Roman"/>
          <w:bCs/>
        </w:rPr>
        <w:t xml:space="preserve"> </w:t>
      </w:r>
      <w:r w:rsidR="000A68D9">
        <w:rPr>
          <w:rFonts w:ascii="Times New Roman" w:hAnsi="Times New Roman" w:cs="Times New Roman"/>
          <w:bCs/>
        </w:rPr>
        <w:t xml:space="preserve">it does not provide a particularly robust evidence base. </w:t>
      </w:r>
      <w:r w:rsidR="00DF298A">
        <w:rPr>
          <w:rFonts w:ascii="Times New Roman" w:hAnsi="Times New Roman" w:cs="Times New Roman"/>
          <w:bCs/>
        </w:rPr>
        <w:t xml:space="preserve">The </w:t>
      </w:r>
      <w:r w:rsidR="00AC5316">
        <w:rPr>
          <w:rFonts w:ascii="Times New Roman" w:hAnsi="Times New Roman" w:cs="Times New Roman"/>
          <w:bCs/>
        </w:rPr>
        <w:t>Council</w:t>
      </w:r>
      <w:r w:rsidR="00DF298A">
        <w:rPr>
          <w:rFonts w:ascii="Times New Roman" w:hAnsi="Times New Roman" w:cs="Times New Roman"/>
          <w:bCs/>
        </w:rPr>
        <w:t xml:space="preserve"> </w:t>
      </w:r>
      <w:r w:rsidR="00082011">
        <w:rPr>
          <w:rFonts w:ascii="Times New Roman" w:hAnsi="Times New Roman" w:cs="Times New Roman"/>
          <w:bCs/>
        </w:rPr>
        <w:t>needs</w:t>
      </w:r>
      <w:r w:rsidR="00DF298A">
        <w:rPr>
          <w:rFonts w:ascii="Times New Roman" w:hAnsi="Times New Roman" w:cs="Times New Roman"/>
          <w:bCs/>
        </w:rPr>
        <w:t xml:space="preserve"> to provide more detail as to when the register was last reviewed to confirm the information </w:t>
      </w:r>
      <w:r w:rsidR="00AC5316">
        <w:rPr>
          <w:rFonts w:ascii="Times New Roman" w:hAnsi="Times New Roman" w:cs="Times New Roman"/>
          <w:bCs/>
        </w:rPr>
        <w:t>individuals</w:t>
      </w:r>
      <w:r w:rsidR="00DF298A">
        <w:rPr>
          <w:rFonts w:ascii="Times New Roman" w:hAnsi="Times New Roman" w:cs="Times New Roman"/>
          <w:bCs/>
        </w:rPr>
        <w:t xml:space="preserve"> have placed on it </w:t>
      </w:r>
      <w:r w:rsidR="00AC5316">
        <w:rPr>
          <w:rFonts w:ascii="Times New Roman" w:hAnsi="Times New Roman" w:cs="Times New Roman"/>
          <w:bCs/>
        </w:rPr>
        <w:t>remains</w:t>
      </w:r>
      <w:r w:rsidR="00DF298A">
        <w:rPr>
          <w:rFonts w:ascii="Times New Roman" w:hAnsi="Times New Roman" w:cs="Times New Roman"/>
          <w:bCs/>
        </w:rPr>
        <w:t xml:space="preserve"> up to date and whether the</w:t>
      </w:r>
      <w:r w:rsidR="00E52F40">
        <w:rPr>
          <w:rFonts w:ascii="Times New Roman" w:hAnsi="Times New Roman" w:cs="Times New Roman"/>
          <w:bCs/>
        </w:rPr>
        <w:t>y</w:t>
      </w:r>
      <w:r w:rsidR="00DF298A">
        <w:rPr>
          <w:rFonts w:ascii="Times New Roman" w:hAnsi="Times New Roman" w:cs="Times New Roman"/>
          <w:bCs/>
        </w:rPr>
        <w:t xml:space="preserve"> wish to remain on the list is needed.</w:t>
      </w:r>
      <w:r w:rsidR="00E52F40">
        <w:rPr>
          <w:rFonts w:ascii="Times New Roman" w:hAnsi="Times New Roman" w:cs="Times New Roman"/>
          <w:bCs/>
        </w:rPr>
        <w:t xml:space="preserve"> The </w:t>
      </w:r>
      <w:r w:rsidR="002E1BAE">
        <w:rPr>
          <w:rFonts w:ascii="Times New Roman" w:hAnsi="Times New Roman" w:cs="Times New Roman"/>
          <w:bCs/>
        </w:rPr>
        <w:t>Council</w:t>
      </w:r>
      <w:r w:rsidR="00E52F40">
        <w:rPr>
          <w:rFonts w:ascii="Times New Roman" w:hAnsi="Times New Roman" w:cs="Times New Roman"/>
          <w:bCs/>
        </w:rPr>
        <w:t xml:space="preserve"> </w:t>
      </w:r>
      <w:r w:rsidR="002E1BAE">
        <w:rPr>
          <w:rFonts w:ascii="Times New Roman" w:hAnsi="Times New Roman" w:cs="Times New Roman"/>
          <w:bCs/>
        </w:rPr>
        <w:t>should</w:t>
      </w:r>
      <w:r w:rsidR="00E52F40">
        <w:rPr>
          <w:rFonts w:ascii="Times New Roman" w:hAnsi="Times New Roman" w:cs="Times New Roman"/>
          <w:bCs/>
        </w:rPr>
        <w:t xml:space="preserve"> </w:t>
      </w:r>
      <w:r w:rsidR="002E1BAE">
        <w:rPr>
          <w:rFonts w:ascii="Times New Roman" w:hAnsi="Times New Roman" w:cs="Times New Roman"/>
          <w:bCs/>
        </w:rPr>
        <w:t>also</w:t>
      </w:r>
      <w:r w:rsidR="00E52F40">
        <w:rPr>
          <w:rFonts w:ascii="Times New Roman" w:hAnsi="Times New Roman" w:cs="Times New Roman"/>
          <w:bCs/>
        </w:rPr>
        <w:t xml:space="preserve"> publish e</w:t>
      </w:r>
      <w:r w:rsidR="002E1BAE">
        <w:rPr>
          <w:rFonts w:ascii="Times New Roman" w:hAnsi="Times New Roman" w:cs="Times New Roman"/>
          <w:bCs/>
        </w:rPr>
        <w:t>vidence</w:t>
      </w:r>
      <w:r w:rsidR="00E52F40">
        <w:rPr>
          <w:rFonts w:ascii="Times New Roman" w:hAnsi="Times New Roman" w:cs="Times New Roman"/>
          <w:bCs/>
        </w:rPr>
        <w:t xml:space="preserve"> on the type of site </w:t>
      </w:r>
      <w:r w:rsidR="002E1BAE">
        <w:rPr>
          <w:rFonts w:ascii="Times New Roman" w:hAnsi="Times New Roman" w:cs="Times New Roman"/>
          <w:bCs/>
        </w:rPr>
        <w:t>individuals</w:t>
      </w:r>
      <w:r w:rsidR="00E52F40">
        <w:rPr>
          <w:rFonts w:ascii="Times New Roman" w:hAnsi="Times New Roman" w:cs="Times New Roman"/>
          <w:bCs/>
        </w:rPr>
        <w:t xml:space="preserve"> are looking for an</w:t>
      </w:r>
      <w:r w:rsidR="002E1BAE">
        <w:rPr>
          <w:rFonts w:ascii="Times New Roman" w:hAnsi="Times New Roman" w:cs="Times New Roman"/>
          <w:bCs/>
        </w:rPr>
        <w:t xml:space="preserve">d whether this </w:t>
      </w:r>
      <w:r w:rsidR="00BB57D4">
        <w:rPr>
          <w:rFonts w:ascii="Times New Roman" w:hAnsi="Times New Roman" w:cs="Times New Roman"/>
          <w:bCs/>
        </w:rPr>
        <w:t>reflects</w:t>
      </w:r>
      <w:r w:rsidR="002E1BAE">
        <w:rPr>
          <w:rFonts w:ascii="Times New Roman" w:hAnsi="Times New Roman" w:cs="Times New Roman"/>
          <w:bCs/>
        </w:rPr>
        <w:t xml:space="preserve"> the Council’s policy.</w:t>
      </w:r>
      <w:r w:rsidR="00DF298A">
        <w:rPr>
          <w:rFonts w:ascii="Times New Roman" w:hAnsi="Times New Roman" w:cs="Times New Roman"/>
          <w:bCs/>
        </w:rPr>
        <w:t xml:space="preserve"> </w:t>
      </w:r>
      <w:r w:rsidR="002E1BAE">
        <w:rPr>
          <w:rFonts w:ascii="Times New Roman" w:hAnsi="Times New Roman" w:cs="Times New Roman"/>
          <w:bCs/>
        </w:rPr>
        <w:t>Alongside this t</w:t>
      </w:r>
      <w:r w:rsidR="005B1A84">
        <w:rPr>
          <w:rFonts w:ascii="Times New Roman" w:hAnsi="Times New Roman" w:cs="Times New Roman"/>
          <w:bCs/>
        </w:rPr>
        <w:t xml:space="preserve">he Council </w:t>
      </w:r>
      <w:r w:rsidR="00AE7178">
        <w:rPr>
          <w:rFonts w:ascii="Times New Roman" w:hAnsi="Times New Roman" w:cs="Times New Roman"/>
          <w:bCs/>
        </w:rPr>
        <w:t>must</w:t>
      </w:r>
      <w:r w:rsidR="005B1A84">
        <w:rPr>
          <w:rFonts w:ascii="Times New Roman" w:hAnsi="Times New Roman" w:cs="Times New Roman"/>
          <w:bCs/>
        </w:rPr>
        <w:t xml:space="preserve"> also provide a detail assessment of how many homes the policy is likely to deliver </w:t>
      </w:r>
      <w:r w:rsidR="00AE7178">
        <w:rPr>
          <w:rFonts w:ascii="Times New Roman" w:hAnsi="Times New Roman" w:cs="Times New Roman"/>
          <w:bCs/>
        </w:rPr>
        <w:t xml:space="preserve">over the plan period </w:t>
      </w:r>
      <w:r w:rsidR="005B1A84">
        <w:rPr>
          <w:rFonts w:ascii="Times New Roman" w:hAnsi="Times New Roman" w:cs="Times New Roman"/>
          <w:bCs/>
        </w:rPr>
        <w:t>on th</w:t>
      </w:r>
      <w:r w:rsidR="00AE7178">
        <w:rPr>
          <w:rFonts w:ascii="Times New Roman" w:hAnsi="Times New Roman" w:cs="Times New Roman"/>
          <w:bCs/>
        </w:rPr>
        <w:t>ose</w:t>
      </w:r>
      <w:r w:rsidR="005B1A84">
        <w:rPr>
          <w:rFonts w:ascii="Times New Roman" w:hAnsi="Times New Roman" w:cs="Times New Roman"/>
          <w:bCs/>
        </w:rPr>
        <w:t xml:space="preserve"> sites that would be required to provide such homes. </w:t>
      </w:r>
    </w:p>
    <w:p w14:paraId="4B61E2B3" w14:textId="00A98F59" w:rsidR="00082011" w:rsidRDefault="002E1BAE"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I</w:t>
      </w:r>
      <w:r w:rsidR="00BB57D4">
        <w:rPr>
          <w:rFonts w:ascii="Times New Roman" w:hAnsi="Times New Roman" w:cs="Times New Roman"/>
          <w:bCs/>
        </w:rPr>
        <w:t>n</w:t>
      </w:r>
      <w:r>
        <w:rPr>
          <w:rFonts w:ascii="Times New Roman" w:hAnsi="Times New Roman" w:cs="Times New Roman"/>
          <w:bCs/>
        </w:rPr>
        <w:t xml:space="preserve"> addition to the a</w:t>
      </w:r>
      <w:r w:rsidR="00BB57D4">
        <w:rPr>
          <w:rFonts w:ascii="Times New Roman" w:hAnsi="Times New Roman" w:cs="Times New Roman"/>
          <w:bCs/>
        </w:rPr>
        <w:t>bove evidence on needs and supply t</w:t>
      </w:r>
      <w:r w:rsidR="00082011">
        <w:rPr>
          <w:rFonts w:ascii="Times New Roman" w:hAnsi="Times New Roman" w:cs="Times New Roman"/>
          <w:bCs/>
        </w:rPr>
        <w:t xml:space="preserve">he Council also needs to </w:t>
      </w:r>
      <w:r w:rsidR="00A80264">
        <w:rPr>
          <w:rFonts w:ascii="Times New Roman" w:hAnsi="Times New Roman" w:cs="Times New Roman"/>
          <w:bCs/>
        </w:rPr>
        <w:t>set out what</w:t>
      </w:r>
      <w:r w:rsidR="00082011">
        <w:rPr>
          <w:rFonts w:ascii="Times New Roman" w:hAnsi="Times New Roman" w:cs="Times New Roman"/>
          <w:bCs/>
        </w:rPr>
        <w:t xml:space="preserve"> alternative options for providing self-build plots it has considered before placing the burden of meeting these needs on house builders. </w:t>
      </w:r>
      <w:r w:rsidR="00AE7178">
        <w:rPr>
          <w:rFonts w:ascii="Times New Roman" w:hAnsi="Times New Roman" w:cs="Times New Roman"/>
          <w:bCs/>
        </w:rPr>
        <w:t xml:space="preserve">PPG </w:t>
      </w:r>
      <w:r w:rsidR="00645D48">
        <w:rPr>
          <w:rFonts w:ascii="Times New Roman" w:hAnsi="Times New Roman" w:cs="Times New Roman"/>
          <w:bCs/>
        </w:rPr>
        <w:t>sets</w:t>
      </w:r>
      <w:r w:rsidR="00F66734">
        <w:rPr>
          <w:rFonts w:ascii="Times New Roman" w:hAnsi="Times New Roman" w:cs="Times New Roman"/>
          <w:bCs/>
        </w:rPr>
        <w:t xml:space="preserve"> in paragraph 57-025 </w:t>
      </w:r>
      <w:r w:rsidR="0099171F">
        <w:rPr>
          <w:rFonts w:ascii="Times New Roman" w:hAnsi="Times New Roman" w:cs="Times New Roman"/>
          <w:bCs/>
        </w:rPr>
        <w:t xml:space="preserve">that planning </w:t>
      </w:r>
      <w:r w:rsidR="00103DA6">
        <w:rPr>
          <w:rFonts w:ascii="Times New Roman" w:hAnsi="Times New Roman" w:cs="Times New Roman"/>
          <w:bCs/>
        </w:rPr>
        <w:t>authorities</w:t>
      </w:r>
      <w:r w:rsidR="0099171F">
        <w:rPr>
          <w:rFonts w:ascii="Times New Roman" w:hAnsi="Times New Roman" w:cs="Times New Roman"/>
          <w:bCs/>
        </w:rPr>
        <w:t xml:space="preserve"> should not only use planning pol</w:t>
      </w:r>
      <w:r w:rsidR="00103DA6">
        <w:rPr>
          <w:rFonts w:ascii="Times New Roman" w:hAnsi="Times New Roman" w:cs="Times New Roman"/>
          <w:bCs/>
        </w:rPr>
        <w:t xml:space="preserve">icies to meet needs but also whether they could </w:t>
      </w:r>
      <w:r w:rsidR="00807F2C">
        <w:rPr>
          <w:rFonts w:ascii="Times New Roman" w:hAnsi="Times New Roman" w:cs="Times New Roman"/>
          <w:bCs/>
        </w:rPr>
        <w:t xml:space="preserve">use </w:t>
      </w:r>
      <w:r w:rsidR="00103DA6">
        <w:rPr>
          <w:rFonts w:ascii="Times New Roman" w:hAnsi="Times New Roman" w:cs="Times New Roman"/>
          <w:bCs/>
        </w:rPr>
        <w:t xml:space="preserve">their own land to meet those </w:t>
      </w:r>
      <w:r w:rsidR="00C11EBE">
        <w:rPr>
          <w:rFonts w:ascii="Times New Roman" w:hAnsi="Times New Roman" w:cs="Times New Roman"/>
          <w:bCs/>
        </w:rPr>
        <w:t xml:space="preserve">needs, </w:t>
      </w:r>
      <w:r w:rsidR="00807F2C">
        <w:rPr>
          <w:rFonts w:ascii="Times New Roman" w:hAnsi="Times New Roman" w:cs="Times New Roman"/>
          <w:bCs/>
        </w:rPr>
        <w:t>how have they engaged</w:t>
      </w:r>
      <w:r w:rsidR="00301D38">
        <w:rPr>
          <w:rFonts w:ascii="Times New Roman" w:hAnsi="Times New Roman" w:cs="Times New Roman"/>
          <w:bCs/>
        </w:rPr>
        <w:t xml:space="preserve"> directly with landowners</w:t>
      </w:r>
      <w:r w:rsidR="007D4015">
        <w:rPr>
          <w:rFonts w:ascii="Times New Roman" w:hAnsi="Times New Roman" w:cs="Times New Roman"/>
          <w:bCs/>
        </w:rPr>
        <w:t xml:space="preserve"> to try and bring forward specific sites for self-build. </w:t>
      </w:r>
      <w:r w:rsidR="00545C1B">
        <w:rPr>
          <w:rFonts w:ascii="Times New Roman" w:hAnsi="Times New Roman" w:cs="Times New Roman"/>
          <w:bCs/>
        </w:rPr>
        <w:t>It is esse</w:t>
      </w:r>
      <w:r w:rsidR="008D77C1">
        <w:rPr>
          <w:rFonts w:ascii="Times New Roman" w:hAnsi="Times New Roman" w:cs="Times New Roman"/>
          <w:bCs/>
        </w:rPr>
        <w:t xml:space="preserve">ntial that these mechanism are considered prior to setting requirements in local plans for plot delivery on larger sites. </w:t>
      </w:r>
    </w:p>
    <w:p w14:paraId="6921BC34" w14:textId="55607AC8" w:rsidR="00041DCD" w:rsidRPr="00041DCD" w:rsidRDefault="00041DCD" w:rsidP="00D21F96">
      <w:pPr>
        <w:widowControl/>
        <w:suppressAutoHyphens w:val="0"/>
        <w:autoSpaceDE/>
        <w:spacing w:after="240" w:line="360" w:lineRule="auto"/>
        <w:jc w:val="both"/>
        <w:rPr>
          <w:rFonts w:ascii="Times New Roman" w:hAnsi="Times New Roman" w:cs="Times New Roman"/>
          <w:bCs/>
          <w:i/>
          <w:iCs/>
        </w:rPr>
      </w:pPr>
      <w:r w:rsidRPr="00041DCD">
        <w:rPr>
          <w:rFonts w:ascii="Times New Roman" w:hAnsi="Times New Roman" w:cs="Times New Roman"/>
          <w:bCs/>
          <w:i/>
          <w:iCs/>
        </w:rPr>
        <w:t>Accessible homes</w:t>
      </w:r>
    </w:p>
    <w:p w14:paraId="7024DB10" w14:textId="732C2DD0" w:rsidR="00D21F96" w:rsidRDefault="00D21F96" w:rsidP="00D63EFB">
      <w:pPr>
        <w:widowControl/>
        <w:suppressAutoHyphens w:val="0"/>
        <w:autoSpaceDE/>
        <w:spacing w:after="240" w:line="360" w:lineRule="auto"/>
        <w:jc w:val="both"/>
        <w:rPr>
          <w:rFonts w:ascii="Times New Roman" w:hAnsi="Times New Roman" w:cs="Times New Roman"/>
          <w:bCs/>
        </w:rPr>
      </w:pPr>
      <w:r w:rsidRPr="00D21F96">
        <w:rPr>
          <w:rFonts w:ascii="Times New Roman" w:hAnsi="Times New Roman" w:cs="Times New Roman"/>
          <w:bCs/>
        </w:rPr>
        <w:t xml:space="preserve"> </w:t>
      </w:r>
      <w:r w:rsidR="00305611">
        <w:rPr>
          <w:rFonts w:ascii="Times New Roman" w:hAnsi="Times New Roman" w:cs="Times New Roman"/>
          <w:bCs/>
        </w:rPr>
        <w:t xml:space="preserve">The Council are proposing that </w:t>
      </w:r>
      <w:r w:rsidRPr="00D21F96">
        <w:rPr>
          <w:rFonts w:ascii="Times New Roman" w:hAnsi="Times New Roman" w:cs="Times New Roman"/>
          <w:bCs/>
        </w:rPr>
        <w:t xml:space="preserve">75% </w:t>
      </w:r>
      <w:r w:rsidR="007D488F">
        <w:rPr>
          <w:rFonts w:ascii="Times New Roman" w:hAnsi="Times New Roman" w:cs="Times New Roman"/>
          <w:bCs/>
        </w:rPr>
        <w:t xml:space="preserve">of </w:t>
      </w:r>
      <w:r w:rsidR="00A476BB">
        <w:rPr>
          <w:rFonts w:ascii="Times New Roman" w:hAnsi="Times New Roman" w:cs="Times New Roman"/>
          <w:bCs/>
        </w:rPr>
        <w:t xml:space="preserve">all </w:t>
      </w:r>
      <w:r w:rsidR="007D488F">
        <w:rPr>
          <w:rFonts w:ascii="Times New Roman" w:hAnsi="Times New Roman" w:cs="Times New Roman"/>
          <w:bCs/>
        </w:rPr>
        <w:t xml:space="preserve">homes are built to part </w:t>
      </w:r>
      <w:r w:rsidRPr="00D21F96">
        <w:rPr>
          <w:rFonts w:ascii="Times New Roman" w:hAnsi="Times New Roman" w:cs="Times New Roman"/>
          <w:bCs/>
        </w:rPr>
        <w:t>M4(2)</w:t>
      </w:r>
      <w:r w:rsidR="007D488F">
        <w:rPr>
          <w:rFonts w:ascii="Times New Roman" w:hAnsi="Times New Roman" w:cs="Times New Roman"/>
          <w:bCs/>
        </w:rPr>
        <w:t xml:space="preserve"> of the </w:t>
      </w:r>
      <w:r w:rsidR="006D38F1">
        <w:rPr>
          <w:rFonts w:ascii="Times New Roman" w:hAnsi="Times New Roman" w:cs="Times New Roman"/>
          <w:bCs/>
        </w:rPr>
        <w:t>building</w:t>
      </w:r>
      <w:r w:rsidR="00A476BB">
        <w:rPr>
          <w:rFonts w:ascii="Times New Roman" w:hAnsi="Times New Roman" w:cs="Times New Roman"/>
          <w:bCs/>
        </w:rPr>
        <w:t xml:space="preserve"> regulations with </w:t>
      </w:r>
      <w:r w:rsidRPr="00D21F96">
        <w:rPr>
          <w:rFonts w:ascii="Times New Roman" w:hAnsi="Times New Roman" w:cs="Times New Roman"/>
          <w:bCs/>
        </w:rPr>
        <w:t xml:space="preserve">5% </w:t>
      </w:r>
      <w:r w:rsidR="004A17F9">
        <w:rPr>
          <w:rFonts w:ascii="Times New Roman" w:hAnsi="Times New Roman" w:cs="Times New Roman"/>
          <w:bCs/>
        </w:rPr>
        <w:t>market homes and</w:t>
      </w:r>
      <w:r w:rsidRPr="00D21F96">
        <w:rPr>
          <w:rFonts w:ascii="Times New Roman" w:hAnsi="Times New Roman" w:cs="Times New Roman"/>
          <w:bCs/>
        </w:rPr>
        <w:t xml:space="preserve"> 10% of affordable </w:t>
      </w:r>
      <w:r w:rsidR="004A17F9" w:rsidRPr="00D21F96">
        <w:rPr>
          <w:rFonts w:ascii="Times New Roman" w:hAnsi="Times New Roman" w:cs="Times New Roman"/>
          <w:bCs/>
        </w:rPr>
        <w:t>h</w:t>
      </w:r>
      <w:r w:rsidR="004A17F9">
        <w:rPr>
          <w:rFonts w:ascii="Times New Roman" w:hAnsi="Times New Roman" w:cs="Times New Roman"/>
          <w:bCs/>
        </w:rPr>
        <w:t>omes being built t</w:t>
      </w:r>
      <w:r w:rsidRPr="00D21F96">
        <w:rPr>
          <w:rFonts w:ascii="Times New Roman" w:hAnsi="Times New Roman" w:cs="Times New Roman"/>
          <w:bCs/>
        </w:rPr>
        <w:t>o</w:t>
      </w:r>
      <w:r w:rsidR="004A17F9">
        <w:rPr>
          <w:rFonts w:ascii="Times New Roman" w:hAnsi="Times New Roman" w:cs="Times New Roman"/>
          <w:bCs/>
        </w:rPr>
        <w:t xml:space="preserve"> part</w:t>
      </w:r>
      <w:r w:rsidRPr="00D21F96">
        <w:rPr>
          <w:rFonts w:ascii="Times New Roman" w:hAnsi="Times New Roman" w:cs="Times New Roman"/>
          <w:bCs/>
        </w:rPr>
        <w:t xml:space="preserve"> M4(3)</w:t>
      </w:r>
      <w:r w:rsidR="00326B3F">
        <w:rPr>
          <w:rFonts w:ascii="Times New Roman" w:hAnsi="Times New Roman" w:cs="Times New Roman"/>
          <w:bCs/>
        </w:rPr>
        <w:t xml:space="preserve"> wheelchair accessible </w:t>
      </w:r>
      <w:r w:rsidR="006D38F1">
        <w:rPr>
          <w:rFonts w:ascii="Times New Roman" w:hAnsi="Times New Roman" w:cs="Times New Roman"/>
          <w:bCs/>
        </w:rPr>
        <w:t>standard. Fir</w:t>
      </w:r>
      <w:r w:rsidR="00304550">
        <w:rPr>
          <w:rFonts w:ascii="Times New Roman" w:hAnsi="Times New Roman" w:cs="Times New Roman"/>
          <w:bCs/>
        </w:rPr>
        <w:t xml:space="preserve">stly, PPG notes in paragraph 56-009 that the Council can only require part M4(3) for wheelchair accessible homes for those houses were they have nomination rates. </w:t>
      </w:r>
      <w:r w:rsidR="00E627A2">
        <w:rPr>
          <w:rFonts w:ascii="Times New Roman" w:hAnsi="Times New Roman" w:cs="Times New Roman"/>
          <w:bCs/>
        </w:rPr>
        <w:t xml:space="preserve">For market housing they can only require through planning </w:t>
      </w:r>
      <w:r w:rsidR="002C1DEB">
        <w:rPr>
          <w:rFonts w:ascii="Times New Roman" w:hAnsi="Times New Roman" w:cs="Times New Roman"/>
          <w:bCs/>
        </w:rPr>
        <w:t>policy</w:t>
      </w:r>
      <w:r w:rsidR="00E627A2">
        <w:rPr>
          <w:rFonts w:ascii="Times New Roman" w:hAnsi="Times New Roman" w:cs="Times New Roman"/>
          <w:bCs/>
        </w:rPr>
        <w:t xml:space="preserve"> </w:t>
      </w:r>
      <w:r w:rsidR="002C1DEB">
        <w:rPr>
          <w:rFonts w:ascii="Times New Roman" w:hAnsi="Times New Roman" w:cs="Times New Roman"/>
          <w:bCs/>
        </w:rPr>
        <w:t>wheelchair adaptable homes. This must be made clear in the policy.</w:t>
      </w:r>
    </w:p>
    <w:p w14:paraId="367C9E2A" w14:textId="6636B285" w:rsidR="002C1DEB" w:rsidRPr="00D21F96" w:rsidRDefault="002C1DEB"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With regard to </w:t>
      </w:r>
      <w:r w:rsidR="00A63E82">
        <w:rPr>
          <w:rFonts w:ascii="Times New Roman" w:hAnsi="Times New Roman" w:cs="Times New Roman"/>
          <w:bCs/>
        </w:rPr>
        <w:t xml:space="preserve">the need for such homes the evidence in the latest HEDNA does not appear to take into account the fact that some of those in need </w:t>
      </w:r>
      <w:r w:rsidR="009D275A">
        <w:rPr>
          <w:rFonts w:ascii="Times New Roman" w:hAnsi="Times New Roman" w:cs="Times New Roman"/>
          <w:bCs/>
        </w:rPr>
        <w:t xml:space="preserve">of wheel chair accessible home may already live within a home that meets their needs. </w:t>
      </w:r>
      <w:r w:rsidR="000548ED" w:rsidRPr="000548ED">
        <w:rPr>
          <w:rFonts w:ascii="Times New Roman" w:hAnsi="Times New Roman" w:cs="Times New Roman"/>
          <w:bCs/>
        </w:rPr>
        <w:t>Data from the E</w:t>
      </w:r>
      <w:r w:rsidR="000548ED">
        <w:rPr>
          <w:rFonts w:ascii="Times New Roman" w:hAnsi="Times New Roman" w:cs="Times New Roman"/>
          <w:bCs/>
        </w:rPr>
        <w:t xml:space="preserve">nglish </w:t>
      </w:r>
      <w:r w:rsidR="000548ED" w:rsidRPr="000548ED">
        <w:rPr>
          <w:rFonts w:ascii="Times New Roman" w:hAnsi="Times New Roman" w:cs="Times New Roman"/>
          <w:bCs/>
        </w:rPr>
        <w:t>H</w:t>
      </w:r>
      <w:r w:rsidR="000548ED">
        <w:rPr>
          <w:rFonts w:ascii="Times New Roman" w:hAnsi="Times New Roman" w:cs="Times New Roman"/>
          <w:bCs/>
        </w:rPr>
        <w:t xml:space="preserve">ousing </w:t>
      </w:r>
      <w:r w:rsidR="000548ED" w:rsidRPr="000548ED">
        <w:rPr>
          <w:rFonts w:ascii="Times New Roman" w:hAnsi="Times New Roman" w:cs="Times New Roman"/>
          <w:bCs/>
        </w:rPr>
        <w:t>S</w:t>
      </w:r>
      <w:r w:rsidR="000548ED">
        <w:rPr>
          <w:rFonts w:ascii="Times New Roman" w:hAnsi="Times New Roman" w:cs="Times New Roman"/>
          <w:bCs/>
        </w:rPr>
        <w:t>urvey</w:t>
      </w:r>
      <w:r w:rsidR="000548ED" w:rsidRPr="000548ED">
        <w:rPr>
          <w:rFonts w:ascii="Times New Roman" w:hAnsi="Times New Roman" w:cs="Times New Roman"/>
          <w:bCs/>
        </w:rPr>
        <w:t xml:space="preserve"> (2014-15) shows that of the 814,000 wheelchair user households, some 200,000 live in a home that would either be problematic or not feasible to make fully ‘visitable’ – this is around 25% of wheelchair user households.</w:t>
      </w:r>
      <w:r w:rsidR="00CD0991">
        <w:rPr>
          <w:rFonts w:ascii="Times New Roman" w:hAnsi="Times New Roman" w:cs="Times New Roman"/>
          <w:bCs/>
        </w:rPr>
        <w:t xml:space="preserve"> This would suggest that there </w:t>
      </w:r>
      <w:r w:rsidR="00E06A4F">
        <w:rPr>
          <w:rFonts w:ascii="Times New Roman" w:hAnsi="Times New Roman" w:cs="Times New Roman"/>
          <w:bCs/>
        </w:rPr>
        <w:t>will be households with a wheelchair user (either now or in future) whose needs can be met in their current home</w:t>
      </w:r>
      <w:r w:rsidR="00BB5E60">
        <w:rPr>
          <w:rFonts w:ascii="Times New Roman" w:hAnsi="Times New Roman" w:cs="Times New Roman"/>
          <w:bCs/>
        </w:rPr>
        <w:t>. This is an important consideration as many of those who become wheelchair users over the plan period are households already resident in Milton Keynes – they are not moving to the area</w:t>
      </w:r>
      <w:r w:rsidR="00DC237A">
        <w:rPr>
          <w:rFonts w:ascii="Times New Roman" w:hAnsi="Times New Roman" w:cs="Times New Roman"/>
          <w:bCs/>
        </w:rPr>
        <w:t xml:space="preserve"> – and is likely to mean that needs are lower than that suggested by the Council.</w:t>
      </w:r>
      <w:r w:rsidR="00D539BD">
        <w:rPr>
          <w:rFonts w:ascii="Times New Roman" w:hAnsi="Times New Roman" w:cs="Times New Roman"/>
          <w:bCs/>
        </w:rPr>
        <w:t xml:space="preserve"> HBF </w:t>
      </w:r>
      <w:r w:rsidR="00631DED">
        <w:rPr>
          <w:rFonts w:ascii="Times New Roman" w:hAnsi="Times New Roman" w:cs="Times New Roman"/>
          <w:bCs/>
        </w:rPr>
        <w:t>considers</w:t>
      </w:r>
      <w:r w:rsidR="00D65206">
        <w:rPr>
          <w:rFonts w:ascii="Times New Roman" w:hAnsi="Times New Roman" w:cs="Times New Roman"/>
          <w:bCs/>
        </w:rPr>
        <w:t xml:space="preserve"> more work is required to justify the level of wheelchair user housing being proposed in this policy. </w:t>
      </w:r>
    </w:p>
    <w:p w14:paraId="0B8A995B" w14:textId="21453693" w:rsidR="00FC0261" w:rsidRDefault="00D21F96" w:rsidP="00D21F96">
      <w:pPr>
        <w:widowControl/>
        <w:suppressAutoHyphens w:val="0"/>
        <w:autoSpaceDE/>
        <w:spacing w:after="240" w:line="360" w:lineRule="auto"/>
        <w:jc w:val="both"/>
        <w:rPr>
          <w:rFonts w:ascii="Times New Roman" w:hAnsi="Times New Roman" w:cs="Times New Roman"/>
          <w:b/>
        </w:rPr>
      </w:pPr>
      <w:r w:rsidRPr="00624C3D">
        <w:rPr>
          <w:rFonts w:ascii="Times New Roman" w:hAnsi="Times New Roman" w:cs="Times New Roman"/>
          <w:b/>
        </w:rPr>
        <w:t xml:space="preserve">HQH2 </w:t>
      </w:r>
      <w:r w:rsidR="00FC0261" w:rsidRPr="00624C3D">
        <w:rPr>
          <w:rFonts w:ascii="Times New Roman" w:hAnsi="Times New Roman" w:cs="Times New Roman"/>
          <w:b/>
        </w:rPr>
        <w:t>–</w:t>
      </w:r>
      <w:r w:rsidRPr="00624C3D">
        <w:rPr>
          <w:rFonts w:ascii="Times New Roman" w:hAnsi="Times New Roman" w:cs="Times New Roman"/>
          <w:b/>
        </w:rPr>
        <w:t xml:space="preserve"> </w:t>
      </w:r>
      <w:r w:rsidR="00624C3D" w:rsidRPr="00624C3D">
        <w:rPr>
          <w:rFonts w:ascii="Times New Roman" w:hAnsi="Times New Roman" w:cs="Times New Roman"/>
          <w:b/>
        </w:rPr>
        <w:t>Affordable homes</w:t>
      </w:r>
    </w:p>
    <w:p w14:paraId="34F1D37C" w14:textId="22626BD2" w:rsidR="00E15045" w:rsidRPr="00510ECF" w:rsidRDefault="00510ECF" w:rsidP="00D21F96">
      <w:pPr>
        <w:widowControl/>
        <w:suppressAutoHyphens w:val="0"/>
        <w:autoSpaceDE/>
        <w:spacing w:after="240" w:line="360" w:lineRule="auto"/>
        <w:jc w:val="both"/>
        <w:rPr>
          <w:rFonts w:ascii="Times New Roman" w:hAnsi="Times New Roman" w:cs="Times New Roman"/>
          <w:bCs/>
          <w:u w:val="single"/>
        </w:rPr>
      </w:pPr>
      <w:r w:rsidRPr="00510ECF">
        <w:rPr>
          <w:rFonts w:ascii="Times New Roman" w:hAnsi="Times New Roman" w:cs="Times New Roman"/>
          <w:bCs/>
          <w:u w:val="single"/>
        </w:rPr>
        <w:t>Policy</w:t>
      </w:r>
      <w:r w:rsidR="00E15045" w:rsidRPr="00510ECF">
        <w:rPr>
          <w:rFonts w:ascii="Times New Roman" w:hAnsi="Times New Roman" w:cs="Times New Roman"/>
          <w:bCs/>
          <w:u w:val="single"/>
        </w:rPr>
        <w:t xml:space="preserve"> is unsound </w:t>
      </w:r>
      <w:r w:rsidRPr="00510ECF">
        <w:rPr>
          <w:rFonts w:ascii="Times New Roman" w:hAnsi="Times New Roman" w:cs="Times New Roman"/>
          <w:bCs/>
          <w:u w:val="single"/>
        </w:rPr>
        <w:t>as it is unjustified.</w:t>
      </w:r>
    </w:p>
    <w:p w14:paraId="50F4DFA9" w14:textId="437A0E79" w:rsidR="00D21F96" w:rsidRPr="00D21F96" w:rsidRDefault="001509A8"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lastRenderedPageBreak/>
        <w:t xml:space="preserve">HBF </w:t>
      </w:r>
      <w:r w:rsidR="00E33628">
        <w:rPr>
          <w:rFonts w:ascii="Times New Roman" w:hAnsi="Times New Roman" w:cs="Times New Roman"/>
          <w:bCs/>
        </w:rPr>
        <w:t>welcome</w:t>
      </w:r>
      <w:r>
        <w:rPr>
          <w:rFonts w:ascii="Times New Roman" w:hAnsi="Times New Roman" w:cs="Times New Roman"/>
          <w:bCs/>
        </w:rPr>
        <w:t xml:space="preserve"> the </w:t>
      </w:r>
      <w:r w:rsidR="00E33628">
        <w:rPr>
          <w:rFonts w:ascii="Times New Roman" w:hAnsi="Times New Roman" w:cs="Times New Roman"/>
          <w:bCs/>
        </w:rPr>
        <w:t xml:space="preserve">use of adjusted rate of affordable housing provision based on different value areas. </w:t>
      </w:r>
      <w:r w:rsidR="00720BAD">
        <w:rPr>
          <w:rFonts w:ascii="Times New Roman" w:hAnsi="Times New Roman" w:cs="Times New Roman"/>
          <w:bCs/>
        </w:rPr>
        <w:t>However, H</w:t>
      </w:r>
      <w:r w:rsidR="00AB7064">
        <w:rPr>
          <w:rFonts w:ascii="Times New Roman" w:hAnsi="Times New Roman" w:cs="Times New Roman"/>
          <w:bCs/>
        </w:rPr>
        <w:t>B</w:t>
      </w:r>
      <w:r w:rsidR="00720BAD">
        <w:rPr>
          <w:rFonts w:ascii="Times New Roman" w:hAnsi="Times New Roman" w:cs="Times New Roman"/>
          <w:bCs/>
        </w:rPr>
        <w:t xml:space="preserve">F note </w:t>
      </w:r>
      <w:r w:rsidR="00AB7064">
        <w:rPr>
          <w:rFonts w:ascii="Times New Roman" w:hAnsi="Times New Roman" w:cs="Times New Roman"/>
          <w:bCs/>
        </w:rPr>
        <w:t xml:space="preserve">in paragraph 8.15 the VSR states </w:t>
      </w:r>
      <w:r w:rsidR="00720BAD">
        <w:rPr>
          <w:rFonts w:ascii="Times New Roman" w:hAnsi="Times New Roman" w:cs="Times New Roman"/>
          <w:bCs/>
        </w:rPr>
        <w:t xml:space="preserve">that </w:t>
      </w:r>
      <w:r w:rsidR="00AB7064">
        <w:rPr>
          <w:rFonts w:ascii="Times New Roman" w:hAnsi="Times New Roman" w:cs="Times New Roman"/>
          <w:bCs/>
        </w:rPr>
        <w:t xml:space="preserve">for rural, high value and flank sites in </w:t>
      </w:r>
      <w:r w:rsidR="00AB7064" w:rsidRPr="00AB7064">
        <w:rPr>
          <w:rFonts w:ascii="Times New Roman" w:hAnsi="Times New Roman" w:cs="Times New Roman"/>
          <w:bCs/>
        </w:rPr>
        <w:t xml:space="preserve">in area 1 </w:t>
      </w:r>
      <w:r w:rsidR="00E1392C">
        <w:rPr>
          <w:rFonts w:ascii="Times New Roman" w:hAnsi="Times New Roman" w:cs="Times New Roman"/>
          <w:bCs/>
        </w:rPr>
        <w:t xml:space="preserve">it is recommended </w:t>
      </w:r>
      <w:r w:rsidR="00A839FC">
        <w:rPr>
          <w:rFonts w:ascii="Times New Roman" w:hAnsi="Times New Roman" w:cs="Times New Roman"/>
          <w:bCs/>
        </w:rPr>
        <w:t xml:space="preserve">  </w:t>
      </w:r>
      <w:r w:rsidR="00E1392C">
        <w:rPr>
          <w:rFonts w:ascii="Times New Roman" w:hAnsi="Times New Roman" w:cs="Times New Roman"/>
          <w:bCs/>
        </w:rPr>
        <w:t>that</w:t>
      </w:r>
      <w:r w:rsidR="00A839FC">
        <w:rPr>
          <w:rFonts w:ascii="Times New Roman" w:hAnsi="Times New Roman" w:cs="Times New Roman"/>
          <w:bCs/>
        </w:rPr>
        <w:t xml:space="preserve"> </w:t>
      </w:r>
      <w:r w:rsidR="00A12F98">
        <w:rPr>
          <w:rFonts w:ascii="Times New Roman" w:hAnsi="Times New Roman" w:cs="Times New Roman"/>
          <w:bCs/>
        </w:rPr>
        <w:t xml:space="preserve">30% </w:t>
      </w:r>
      <w:r w:rsidR="00E1392C">
        <w:rPr>
          <w:rFonts w:ascii="Times New Roman" w:hAnsi="Times New Roman" w:cs="Times New Roman"/>
          <w:bCs/>
        </w:rPr>
        <w:t>affordable housing would be appropriate</w:t>
      </w:r>
      <w:r w:rsidR="00342C93">
        <w:rPr>
          <w:rFonts w:ascii="Times New Roman" w:hAnsi="Times New Roman" w:cs="Times New Roman"/>
          <w:bCs/>
        </w:rPr>
        <w:t xml:space="preserve"> with 40% only being recommended </w:t>
      </w:r>
      <w:r w:rsidR="00223455">
        <w:rPr>
          <w:rFonts w:ascii="Times New Roman" w:hAnsi="Times New Roman" w:cs="Times New Roman"/>
          <w:bCs/>
        </w:rPr>
        <w:t xml:space="preserve">on strategic sites. </w:t>
      </w:r>
      <w:r w:rsidR="00FB3271">
        <w:rPr>
          <w:rFonts w:ascii="Times New Roman" w:hAnsi="Times New Roman" w:cs="Times New Roman"/>
          <w:bCs/>
        </w:rPr>
        <w:t xml:space="preserve">On the basis of </w:t>
      </w:r>
      <w:r w:rsidR="00226794">
        <w:rPr>
          <w:rFonts w:ascii="Times New Roman" w:hAnsi="Times New Roman" w:cs="Times New Roman"/>
          <w:bCs/>
        </w:rPr>
        <w:t xml:space="preserve">Table 8-1 this </w:t>
      </w:r>
      <w:r w:rsidR="00631DED">
        <w:rPr>
          <w:rFonts w:ascii="Times New Roman" w:hAnsi="Times New Roman" w:cs="Times New Roman"/>
          <w:bCs/>
        </w:rPr>
        <w:t>would</w:t>
      </w:r>
      <w:r w:rsidR="00226794">
        <w:rPr>
          <w:rFonts w:ascii="Times New Roman" w:hAnsi="Times New Roman" w:cs="Times New Roman"/>
          <w:bCs/>
        </w:rPr>
        <w:t xml:space="preserve"> appear to be to ensure that there is </w:t>
      </w:r>
      <w:r w:rsidR="00631DED">
        <w:rPr>
          <w:rFonts w:ascii="Times New Roman" w:hAnsi="Times New Roman" w:cs="Times New Roman"/>
          <w:bCs/>
        </w:rPr>
        <w:t>sufficient</w:t>
      </w:r>
      <w:r w:rsidR="00226794">
        <w:rPr>
          <w:rFonts w:ascii="Times New Roman" w:hAnsi="Times New Roman" w:cs="Times New Roman"/>
          <w:bCs/>
        </w:rPr>
        <w:t xml:space="preserve"> scope for securing</w:t>
      </w:r>
      <w:r w:rsidR="00CF3071">
        <w:rPr>
          <w:rFonts w:ascii="Times New Roman" w:hAnsi="Times New Roman" w:cs="Times New Roman"/>
          <w:bCs/>
        </w:rPr>
        <w:t xml:space="preserve"> the expected level of</w:t>
      </w:r>
      <w:r w:rsidR="00226794">
        <w:rPr>
          <w:rFonts w:ascii="Times New Roman" w:hAnsi="Times New Roman" w:cs="Times New Roman"/>
          <w:bCs/>
        </w:rPr>
        <w:t xml:space="preserve"> developer </w:t>
      </w:r>
      <w:r w:rsidR="00CF3071">
        <w:rPr>
          <w:rFonts w:ascii="Times New Roman" w:hAnsi="Times New Roman" w:cs="Times New Roman"/>
          <w:bCs/>
        </w:rPr>
        <w:t>contributions</w:t>
      </w:r>
      <w:r w:rsidR="00226794">
        <w:rPr>
          <w:rFonts w:ascii="Times New Roman" w:hAnsi="Times New Roman" w:cs="Times New Roman"/>
          <w:bCs/>
        </w:rPr>
        <w:t xml:space="preserve"> </w:t>
      </w:r>
      <w:r w:rsidR="00CF3071">
        <w:rPr>
          <w:rFonts w:ascii="Times New Roman" w:hAnsi="Times New Roman" w:cs="Times New Roman"/>
          <w:bCs/>
        </w:rPr>
        <w:t xml:space="preserve">with development in excess of 30% affordable housing not being able to </w:t>
      </w:r>
      <w:r w:rsidR="00631DED">
        <w:rPr>
          <w:rFonts w:ascii="Times New Roman" w:hAnsi="Times New Roman" w:cs="Times New Roman"/>
          <w:bCs/>
        </w:rPr>
        <w:t>meet the S106 contribution of £25,000 anticipated by the Council as necessary to make the development acceptable.</w:t>
      </w:r>
      <w:r w:rsidR="0081768F">
        <w:rPr>
          <w:rFonts w:ascii="Times New Roman" w:hAnsi="Times New Roman" w:cs="Times New Roman"/>
          <w:bCs/>
        </w:rPr>
        <w:t xml:space="preserve"> </w:t>
      </w:r>
      <w:r w:rsidR="007E19DE">
        <w:rPr>
          <w:rFonts w:ascii="Times New Roman" w:hAnsi="Times New Roman" w:cs="Times New Roman"/>
          <w:bCs/>
        </w:rPr>
        <w:t xml:space="preserve">As set out </w:t>
      </w:r>
      <w:r w:rsidR="00FD3329">
        <w:rPr>
          <w:rFonts w:ascii="Times New Roman" w:hAnsi="Times New Roman" w:cs="Times New Roman"/>
          <w:bCs/>
        </w:rPr>
        <w:t>in</w:t>
      </w:r>
      <w:r w:rsidR="007E19DE">
        <w:rPr>
          <w:rFonts w:ascii="Times New Roman" w:hAnsi="Times New Roman" w:cs="Times New Roman"/>
          <w:bCs/>
        </w:rPr>
        <w:t xml:space="preserve"> our comments on </w:t>
      </w:r>
      <w:r w:rsidR="00FD3329">
        <w:rPr>
          <w:rFonts w:ascii="Times New Roman" w:hAnsi="Times New Roman" w:cs="Times New Roman"/>
          <w:bCs/>
        </w:rPr>
        <w:t>INF1,</w:t>
      </w:r>
      <w:r w:rsidR="007E19DE">
        <w:rPr>
          <w:rFonts w:ascii="Times New Roman" w:hAnsi="Times New Roman" w:cs="Times New Roman"/>
          <w:bCs/>
        </w:rPr>
        <w:t xml:space="preserve"> if the S106 costs increase as a result of further assessment work on infrastructure then the Council will need to revisit this policy to assess whether they remain justified. </w:t>
      </w:r>
    </w:p>
    <w:p w14:paraId="5D353122" w14:textId="77777777" w:rsidR="00D21F96" w:rsidRDefault="00D21F96" w:rsidP="00D21F96">
      <w:pPr>
        <w:widowControl/>
        <w:suppressAutoHyphens w:val="0"/>
        <w:autoSpaceDE/>
        <w:spacing w:after="240" w:line="360" w:lineRule="auto"/>
        <w:jc w:val="both"/>
        <w:rPr>
          <w:rFonts w:ascii="Times New Roman" w:hAnsi="Times New Roman" w:cs="Times New Roman"/>
          <w:b/>
        </w:rPr>
      </w:pPr>
      <w:r w:rsidRPr="00D34A4B">
        <w:rPr>
          <w:rFonts w:ascii="Times New Roman" w:hAnsi="Times New Roman" w:cs="Times New Roman"/>
          <w:b/>
        </w:rPr>
        <w:t>HQH3 - specialist housing</w:t>
      </w:r>
    </w:p>
    <w:p w14:paraId="2B0FEBE0" w14:textId="4F17FC4B" w:rsidR="00F35DA5" w:rsidRPr="0062762D" w:rsidRDefault="0062762D" w:rsidP="00D21F96">
      <w:pPr>
        <w:widowControl/>
        <w:suppressAutoHyphens w:val="0"/>
        <w:autoSpaceDE/>
        <w:spacing w:after="240" w:line="360" w:lineRule="auto"/>
        <w:jc w:val="both"/>
        <w:rPr>
          <w:rFonts w:ascii="Times New Roman" w:hAnsi="Times New Roman" w:cs="Times New Roman"/>
          <w:bCs/>
          <w:u w:val="single"/>
        </w:rPr>
      </w:pPr>
      <w:r w:rsidRPr="0062762D">
        <w:rPr>
          <w:rFonts w:ascii="Times New Roman" w:hAnsi="Times New Roman" w:cs="Times New Roman"/>
          <w:bCs/>
          <w:u w:val="single"/>
        </w:rPr>
        <w:t xml:space="preserve">This policy is unsound as it is not justified. </w:t>
      </w:r>
    </w:p>
    <w:p w14:paraId="10B4D73A" w14:textId="142D72D5" w:rsidR="006F31E0" w:rsidRPr="00D21F96" w:rsidRDefault="00E41CCC"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Part B of this </w:t>
      </w:r>
      <w:r w:rsidR="00F35DA5">
        <w:rPr>
          <w:rFonts w:ascii="Times New Roman" w:hAnsi="Times New Roman" w:cs="Times New Roman"/>
          <w:bCs/>
        </w:rPr>
        <w:t>policy requires</w:t>
      </w:r>
      <w:r>
        <w:rPr>
          <w:rFonts w:ascii="Times New Roman" w:hAnsi="Times New Roman" w:cs="Times New Roman"/>
          <w:bCs/>
        </w:rPr>
        <w:t xml:space="preserve"> supported and specialist </w:t>
      </w:r>
      <w:r w:rsidR="004138C6">
        <w:rPr>
          <w:rFonts w:ascii="Times New Roman" w:hAnsi="Times New Roman" w:cs="Times New Roman"/>
          <w:bCs/>
        </w:rPr>
        <w:t>homes to be included as an i</w:t>
      </w:r>
      <w:r w:rsidR="006F31E0">
        <w:rPr>
          <w:rFonts w:ascii="Times New Roman" w:hAnsi="Times New Roman" w:cs="Times New Roman"/>
          <w:bCs/>
        </w:rPr>
        <w:t xml:space="preserve">ntegral part </w:t>
      </w:r>
      <w:r w:rsidR="00133E76">
        <w:rPr>
          <w:rFonts w:ascii="Times New Roman" w:hAnsi="Times New Roman" w:cs="Times New Roman"/>
          <w:bCs/>
        </w:rPr>
        <w:t>of</w:t>
      </w:r>
      <w:r w:rsidR="006F31E0">
        <w:rPr>
          <w:rFonts w:ascii="Times New Roman" w:hAnsi="Times New Roman" w:cs="Times New Roman"/>
          <w:bCs/>
        </w:rPr>
        <w:t xml:space="preserve"> the housing </w:t>
      </w:r>
      <w:r w:rsidR="00133E76">
        <w:rPr>
          <w:rFonts w:ascii="Times New Roman" w:hAnsi="Times New Roman" w:cs="Times New Roman"/>
          <w:bCs/>
        </w:rPr>
        <w:t>allocations</w:t>
      </w:r>
      <w:r w:rsidR="004138C6">
        <w:rPr>
          <w:rFonts w:ascii="Times New Roman" w:hAnsi="Times New Roman" w:cs="Times New Roman"/>
          <w:bCs/>
        </w:rPr>
        <w:t xml:space="preserve"> in </w:t>
      </w:r>
      <w:r w:rsidR="00117141">
        <w:rPr>
          <w:rFonts w:ascii="Times New Roman" w:hAnsi="Times New Roman" w:cs="Times New Roman"/>
          <w:bCs/>
        </w:rPr>
        <w:t>policies</w:t>
      </w:r>
      <w:r w:rsidR="004138C6">
        <w:rPr>
          <w:rFonts w:ascii="Times New Roman" w:hAnsi="Times New Roman" w:cs="Times New Roman"/>
          <w:bCs/>
        </w:rPr>
        <w:t xml:space="preserve"> GS</w:t>
      </w:r>
      <w:r w:rsidR="00117141">
        <w:rPr>
          <w:rFonts w:ascii="Times New Roman" w:hAnsi="Times New Roman" w:cs="Times New Roman"/>
          <w:bCs/>
        </w:rPr>
        <w:t>2 and GS14-19</w:t>
      </w:r>
      <w:r w:rsidR="002F2942">
        <w:rPr>
          <w:rFonts w:ascii="Times New Roman" w:hAnsi="Times New Roman" w:cs="Times New Roman"/>
          <w:bCs/>
        </w:rPr>
        <w:t xml:space="preserve">. HBF would suggest that the primary focus should be on ensuring </w:t>
      </w:r>
      <w:r w:rsidR="00133E76">
        <w:rPr>
          <w:rFonts w:ascii="Times New Roman" w:hAnsi="Times New Roman" w:cs="Times New Roman"/>
          <w:bCs/>
        </w:rPr>
        <w:t>stand-alone</w:t>
      </w:r>
      <w:r w:rsidR="002F2942">
        <w:rPr>
          <w:rFonts w:ascii="Times New Roman" w:hAnsi="Times New Roman" w:cs="Times New Roman"/>
          <w:bCs/>
        </w:rPr>
        <w:t xml:space="preserve"> </w:t>
      </w:r>
      <w:r w:rsidR="00133E76">
        <w:rPr>
          <w:rFonts w:ascii="Times New Roman" w:hAnsi="Times New Roman" w:cs="Times New Roman"/>
          <w:bCs/>
        </w:rPr>
        <w:t>delivery</w:t>
      </w:r>
      <w:r w:rsidR="002F2942">
        <w:rPr>
          <w:rFonts w:ascii="Times New Roman" w:hAnsi="Times New Roman" w:cs="Times New Roman"/>
          <w:bCs/>
        </w:rPr>
        <w:t xml:space="preserve"> of housing development </w:t>
      </w:r>
      <w:r w:rsidR="00133E76">
        <w:rPr>
          <w:rFonts w:ascii="Times New Roman" w:hAnsi="Times New Roman" w:cs="Times New Roman"/>
          <w:bCs/>
        </w:rPr>
        <w:t>rather</w:t>
      </w:r>
      <w:r w:rsidR="002F2942">
        <w:rPr>
          <w:rFonts w:ascii="Times New Roman" w:hAnsi="Times New Roman" w:cs="Times New Roman"/>
          <w:bCs/>
        </w:rPr>
        <w:t xml:space="preserve"> </w:t>
      </w:r>
      <w:r w:rsidR="00133E76">
        <w:rPr>
          <w:rFonts w:ascii="Times New Roman" w:hAnsi="Times New Roman" w:cs="Times New Roman"/>
          <w:bCs/>
        </w:rPr>
        <w:t>than</w:t>
      </w:r>
      <w:r w:rsidR="002F2942">
        <w:rPr>
          <w:rFonts w:ascii="Times New Roman" w:hAnsi="Times New Roman" w:cs="Times New Roman"/>
          <w:bCs/>
        </w:rPr>
        <w:t xml:space="preserve"> seeking</w:t>
      </w:r>
      <w:r w:rsidR="00117141">
        <w:rPr>
          <w:rFonts w:ascii="Times New Roman" w:hAnsi="Times New Roman" w:cs="Times New Roman"/>
          <w:bCs/>
        </w:rPr>
        <w:t xml:space="preserve"> delivery</w:t>
      </w:r>
      <w:r w:rsidR="002F2942">
        <w:rPr>
          <w:rFonts w:ascii="Times New Roman" w:hAnsi="Times New Roman" w:cs="Times New Roman"/>
          <w:bCs/>
        </w:rPr>
        <w:t xml:space="preserve"> on </w:t>
      </w:r>
      <w:r w:rsidR="00133E76">
        <w:rPr>
          <w:rFonts w:ascii="Times New Roman" w:hAnsi="Times New Roman" w:cs="Times New Roman"/>
          <w:bCs/>
        </w:rPr>
        <w:t xml:space="preserve">strategic </w:t>
      </w:r>
      <w:r w:rsidR="00117141">
        <w:rPr>
          <w:rFonts w:ascii="Times New Roman" w:hAnsi="Times New Roman" w:cs="Times New Roman"/>
          <w:bCs/>
        </w:rPr>
        <w:t xml:space="preserve">housing </w:t>
      </w:r>
      <w:r w:rsidR="00A3788B">
        <w:rPr>
          <w:rFonts w:ascii="Times New Roman" w:hAnsi="Times New Roman" w:cs="Times New Roman"/>
          <w:bCs/>
        </w:rPr>
        <w:t>allocations</w:t>
      </w:r>
      <w:r w:rsidR="00133E76">
        <w:rPr>
          <w:rFonts w:ascii="Times New Roman" w:hAnsi="Times New Roman" w:cs="Times New Roman"/>
          <w:bCs/>
        </w:rPr>
        <w:t xml:space="preserve">. </w:t>
      </w:r>
      <w:r w:rsidR="00A3788B">
        <w:rPr>
          <w:rFonts w:ascii="Times New Roman" w:hAnsi="Times New Roman" w:cs="Times New Roman"/>
          <w:bCs/>
        </w:rPr>
        <w:t>It is also unclear as to why a</w:t>
      </w:r>
      <w:r w:rsidR="00B46986">
        <w:rPr>
          <w:rFonts w:ascii="Times New Roman" w:hAnsi="Times New Roman" w:cs="Times New Roman"/>
          <w:bCs/>
        </w:rPr>
        <w:t xml:space="preserve"> financial </w:t>
      </w:r>
      <w:r w:rsidR="004F36C6">
        <w:rPr>
          <w:rFonts w:ascii="Times New Roman" w:hAnsi="Times New Roman" w:cs="Times New Roman"/>
          <w:bCs/>
        </w:rPr>
        <w:t>contribution</w:t>
      </w:r>
      <w:r w:rsidR="00A3788B">
        <w:rPr>
          <w:rFonts w:ascii="Times New Roman" w:hAnsi="Times New Roman" w:cs="Times New Roman"/>
          <w:bCs/>
        </w:rPr>
        <w:t xml:space="preserve"> is required</w:t>
      </w:r>
      <w:r w:rsidR="00B46986">
        <w:rPr>
          <w:rFonts w:ascii="Times New Roman" w:hAnsi="Times New Roman" w:cs="Times New Roman"/>
          <w:bCs/>
        </w:rPr>
        <w:t xml:space="preserve"> to support their delivery </w:t>
      </w:r>
      <w:r w:rsidR="004F36C6">
        <w:rPr>
          <w:rFonts w:ascii="Times New Roman" w:hAnsi="Times New Roman" w:cs="Times New Roman"/>
          <w:bCs/>
        </w:rPr>
        <w:t>given</w:t>
      </w:r>
      <w:r w:rsidR="00B46986">
        <w:rPr>
          <w:rFonts w:ascii="Times New Roman" w:hAnsi="Times New Roman" w:cs="Times New Roman"/>
          <w:bCs/>
        </w:rPr>
        <w:t xml:space="preserve"> </w:t>
      </w:r>
      <w:r w:rsidR="00A3788B">
        <w:rPr>
          <w:rFonts w:ascii="Times New Roman" w:hAnsi="Times New Roman" w:cs="Times New Roman"/>
          <w:bCs/>
        </w:rPr>
        <w:t xml:space="preserve">that </w:t>
      </w:r>
      <w:r w:rsidR="00A31A3F">
        <w:rPr>
          <w:rFonts w:ascii="Times New Roman" w:hAnsi="Times New Roman" w:cs="Times New Roman"/>
          <w:bCs/>
        </w:rPr>
        <w:t>the delivery of many specialist housing types is</w:t>
      </w:r>
      <w:r w:rsidR="00B46986">
        <w:rPr>
          <w:rFonts w:ascii="Times New Roman" w:hAnsi="Times New Roman" w:cs="Times New Roman"/>
          <w:bCs/>
        </w:rPr>
        <w:t xml:space="preserve"> privately delivered through the market. </w:t>
      </w:r>
      <w:r w:rsidR="00A31A3F">
        <w:rPr>
          <w:rFonts w:ascii="Times New Roman" w:hAnsi="Times New Roman" w:cs="Times New Roman"/>
          <w:bCs/>
        </w:rPr>
        <w:t xml:space="preserve">Even if the accommodation </w:t>
      </w:r>
      <w:r w:rsidR="00B149BB">
        <w:rPr>
          <w:rFonts w:ascii="Times New Roman" w:hAnsi="Times New Roman" w:cs="Times New Roman"/>
          <w:bCs/>
        </w:rPr>
        <w:t>required</w:t>
      </w:r>
      <w:r w:rsidR="00A31A3F">
        <w:rPr>
          <w:rFonts w:ascii="Times New Roman" w:hAnsi="Times New Roman" w:cs="Times New Roman"/>
          <w:bCs/>
        </w:rPr>
        <w:t xml:space="preserve"> is</w:t>
      </w:r>
      <w:r w:rsidR="008E7A96">
        <w:rPr>
          <w:rFonts w:ascii="Times New Roman" w:hAnsi="Times New Roman" w:cs="Times New Roman"/>
          <w:bCs/>
        </w:rPr>
        <w:t xml:space="preserve"> </w:t>
      </w:r>
      <w:r w:rsidR="00EA383A">
        <w:rPr>
          <w:rFonts w:ascii="Times New Roman" w:hAnsi="Times New Roman" w:cs="Times New Roman"/>
          <w:bCs/>
        </w:rPr>
        <w:t xml:space="preserve">not privately delivered, such </w:t>
      </w:r>
      <w:r w:rsidR="008E7A96">
        <w:rPr>
          <w:rFonts w:ascii="Times New Roman" w:hAnsi="Times New Roman" w:cs="Times New Roman"/>
          <w:bCs/>
        </w:rPr>
        <w:t>temporary accommodation</w:t>
      </w:r>
      <w:r w:rsidR="00EA383A">
        <w:rPr>
          <w:rFonts w:ascii="Times New Roman" w:hAnsi="Times New Roman" w:cs="Times New Roman"/>
          <w:bCs/>
        </w:rPr>
        <w:t xml:space="preserve"> for homeless households,</w:t>
      </w:r>
      <w:r w:rsidR="008E7A96">
        <w:rPr>
          <w:rFonts w:ascii="Times New Roman" w:hAnsi="Times New Roman" w:cs="Times New Roman"/>
          <w:bCs/>
        </w:rPr>
        <w:t xml:space="preserve"> </w:t>
      </w:r>
      <w:r w:rsidR="00B149BB">
        <w:rPr>
          <w:rFonts w:ascii="Times New Roman" w:hAnsi="Times New Roman" w:cs="Times New Roman"/>
          <w:bCs/>
        </w:rPr>
        <w:t xml:space="preserve">it is for the Council and other providers to determine how this is delivered as part of any affordable housing provision not as an additional contribution from the developer. </w:t>
      </w:r>
    </w:p>
    <w:p w14:paraId="591D0FBA" w14:textId="3E686818" w:rsidR="00AD72EA" w:rsidRDefault="00D21F96" w:rsidP="00D21F96">
      <w:pPr>
        <w:widowControl/>
        <w:suppressAutoHyphens w:val="0"/>
        <w:autoSpaceDE/>
        <w:spacing w:after="240" w:line="360" w:lineRule="auto"/>
        <w:jc w:val="both"/>
        <w:rPr>
          <w:rFonts w:ascii="Times New Roman" w:hAnsi="Times New Roman" w:cs="Times New Roman"/>
          <w:b/>
        </w:rPr>
      </w:pPr>
      <w:r w:rsidRPr="00F70C26">
        <w:rPr>
          <w:rFonts w:ascii="Times New Roman" w:hAnsi="Times New Roman" w:cs="Times New Roman"/>
          <w:b/>
        </w:rPr>
        <w:t xml:space="preserve">CEA1 - </w:t>
      </w:r>
      <w:r w:rsidR="00AD72EA" w:rsidRPr="00F70C26">
        <w:rPr>
          <w:rFonts w:ascii="Times New Roman" w:hAnsi="Times New Roman" w:cs="Times New Roman"/>
          <w:b/>
        </w:rPr>
        <w:t>S</w:t>
      </w:r>
      <w:r w:rsidRPr="00F70C26">
        <w:rPr>
          <w:rFonts w:ascii="Times New Roman" w:hAnsi="Times New Roman" w:cs="Times New Roman"/>
          <w:b/>
        </w:rPr>
        <w:t xml:space="preserve">ustainable </w:t>
      </w:r>
      <w:r w:rsidR="00AD72EA" w:rsidRPr="00F70C26">
        <w:rPr>
          <w:rFonts w:ascii="Times New Roman" w:hAnsi="Times New Roman" w:cs="Times New Roman"/>
          <w:b/>
        </w:rPr>
        <w:t>Buildings</w:t>
      </w:r>
      <w:r w:rsidRPr="00F70C26">
        <w:rPr>
          <w:rFonts w:ascii="Times New Roman" w:hAnsi="Times New Roman" w:cs="Times New Roman"/>
          <w:b/>
        </w:rPr>
        <w:t xml:space="preserve"> </w:t>
      </w:r>
    </w:p>
    <w:p w14:paraId="0A335708" w14:textId="3D5BDE33" w:rsidR="0054045F" w:rsidRPr="00BE3373" w:rsidRDefault="00BE3373" w:rsidP="00D21F96">
      <w:pPr>
        <w:widowControl/>
        <w:suppressAutoHyphens w:val="0"/>
        <w:autoSpaceDE/>
        <w:spacing w:after="240" w:line="360" w:lineRule="auto"/>
        <w:jc w:val="both"/>
        <w:rPr>
          <w:rFonts w:ascii="Times New Roman" w:hAnsi="Times New Roman" w:cs="Times New Roman"/>
          <w:bCs/>
          <w:u w:val="single"/>
        </w:rPr>
      </w:pPr>
      <w:r w:rsidRPr="00BE3373">
        <w:rPr>
          <w:rFonts w:ascii="Times New Roman" w:hAnsi="Times New Roman" w:cs="Times New Roman"/>
          <w:bCs/>
          <w:u w:val="single"/>
        </w:rPr>
        <w:t>Policy</w:t>
      </w:r>
      <w:r w:rsidR="0054045F" w:rsidRPr="00BE3373">
        <w:rPr>
          <w:rFonts w:ascii="Times New Roman" w:hAnsi="Times New Roman" w:cs="Times New Roman"/>
          <w:bCs/>
          <w:u w:val="single"/>
        </w:rPr>
        <w:t xml:space="preserve"> is unsound as it is not </w:t>
      </w:r>
      <w:r w:rsidRPr="00BE3373">
        <w:rPr>
          <w:rFonts w:ascii="Times New Roman" w:hAnsi="Times New Roman" w:cs="Times New Roman"/>
          <w:bCs/>
          <w:u w:val="single"/>
        </w:rPr>
        <w:t>justified</w:t>
      </w:r>
      <w:r w:rsidR="0054045F" w:rsidRPr="00BE3373">
        <w:rPr>
          <w:rFonts w:ascii="Times New Roman" w:hAnsi="Times New Roman" w:cs="Times New Roman"/>
          <w:bCs/>
          <w:u w:val="single"/>
        </w:rPr>
        <w:t xml:space="preserve"> or </w:t>
      </w:r>
      <w:r w:rsidRPr="00BE3373">
        <w:rPr>
          <w:rFonts w:ascii="Times New Roman" w:hAnsi="Times New Roman" w:cs="Times New Roman"/>
          <w:bCs/>
          <w:u w:val="single"/>
        </w:rPr>
        <w:t>effective</w:t>
      </w:r>
    </w:p>
    <w:p w14:paraId="448D66FA" w14:textId="7F43B301" w:rsidR="0059668F" w:rsidRDefault="00943D70"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HBF </w:t>
      </w:r>
      <w:r w:rsidR="0019719C">
        <w:rPr>
          <w:rFonts w:ascii="Times New Roman" w:hAnsi="Times New Roman" w:cs="Times New Roman"/>
          <w:bCs/>
        </w:rPr>
        <w:t>considers</w:t>
      </w:r>
      <w:r>
        <w:rPr>
          <w:rFonts w:ascii="Times New Roman" w:hAnsi="Times New Roman" w:cs="Times New Roman"/>
          <w:bCs/>
        </w:rPr>
        <w:t xml:space="preserve"> the most effective approach to reducing the carbon emission from new </w:t>
      </w:r>
      <w:r w:rsidR="00BD2F7F">
        <w:rPr>
          <w:rFonts w:ascii="Times New Roman" w:hAnsi="Times New Roman" w:cs="Times New Roman"/>
          <w:bCs/>
        </w:rPr>
        <w:t>homes</w:t>
      </w:r>
      <w:r>
        <w:rPr>
          <w:rFonts w:ascii="Times New Roman" w:hAnsi="Times New Roman" w:cs="Times New Roman"/>
          <w:bCs/>
        </w:rPr>
        <w:t xml:space="preserve"> through building regulations. </w:t>
      </w:r>
      <w:r w:rsidR="0019719C">
        <w:rPr>
          <w:rFonts w:ascii="Times New Roman" w:hAnsi="Times New Roman" w:cs="Times New Roman"/>
          <w:bCs/>
        </w:rPr>
        <w:t xml:space="preserve">A consistent </w:t>
      </w:r>
      <w:r>
        <w:rPr>
          <w:rFonts w:ascii="Times New Roman" w:hAnsi="Times New Roman" w:cs="Times New Roman"/>
          <w:bCs/>
        </w:rPr>
        <w:t xml:space="preserve">standard allows developers and </w:t>
      </w:r>
      <w:r w:rsidR="00381400">
        <w:rPr>
          <w:rFonts w:ascii="Times New Roman" w:hAnsi="Times New Roman" w:cs="Times New Roman"/>
          <w:bCs/>
        </w:rPr>
        <w:t>their</w:t>
      </w:r>
      <w:r w:rsidR="00EC0607">
        <w:rPr>
          <w:rFonts w:ascii="Times New Roman" w:hAnsi="Times New Roman" w:cs="Times New Roman"/>
          <w:bCs/>
        </w:rPr>
        <w:t xml:space="preserve"> supply chains to work </w:t>
      </w:r>
      <w:r w:rsidR="0019719C">
        <w:rPr>
          <w:rFonts w:ascii="Times New Roman" w:hAnsi="Times New Roman" w:cs="Times New Roman"/>
          <w:bCs/>
        </w:rPr>
        <w:t>effectively</w:t>
      </w:r>
      <w:r w:rsidR="00EC0607">
        <w:rPr>
          <w:rFonts w:ascii="Times New Roman" w:hAnsi="Times New Roman" w:cs="Times New Roman"/>
          <w:bCs/>
        </w:rPr>
        <w:t xml:space="preserve"> </w:t>
      </w:r>
      <w:r w:rsidR="0019719C">
        <w:rPr>
          <w:rFonts w:ascii="Times New Roman" w:hAnsi="Times New Roman" w:cs="Times New Roman"/>
          <w:bCs/>
        </w:rPr>
        <w:t xml:space="preserve">together </w:t>
      </w:r>
      <w:r w:rsidR="00EC0607">
        <w:rPr>
          <w:rFonts w:ascii="Times New Roman" w:hAnsi="Times New Roman" w:cs="Times New Roman"/>
          <w:bCs/>
        </w:rPr>
        <w:t xml:space="preserve">to ensure that there are the </w:t>
      </w:r>
      <w:r w:rsidR="0019719C">
        <w:rPr>
          <w:rFonts w:ascii="Times New Roman" w:hAnsi="Times New Roman" w:cs="Times New Roman"/>
          <w:bCs/>
        </w:rPr>
        <w:t xml:space="preserve">products and skills to meet </w:t>
      </w:r>
      <w:r w:rsidR="00A1502F">
        <w:rPr>
          <w:rFonts w:ascii="Times New Roman" w:hAnsi="Times New Roman" w:cs="Times New Roman"/>
          <w:bCs/>
        </w:rPr>
        <w:t xml:space="preserve">the required standard. Standards that go beyond those set out in building regulations or use different assessment methodologies </w:t>
      </w:r>
      <w:r w:rsidR="00BD2F7F">
        <w:rPr>
          <w:rFonts w:ascii="Times New Roman" w:hAnsi="Times New Roman" w:cs="Times New Roman"/>
          <w:bCs/>
        </w:rPr>
        <w:t xml:space="preserve">lead to uncertainty that can delay the delivery of new homes. </w:t>
      </w:r>
      <w:r w:rsidR="00381400">
        <w:rPr>
          <w:rFonts w:ascii="Times New Roman" w:hAnsi="Times New Roman" w:cs="Times New Roman"/>
          <w:bCs/>
        </w:rPr>
        <w:t>As such</w:t>
      </w:r>
      <w:r w:rsidR="00CA411A">
        <w:rPr>
          <w:rFonts w:ascii="Times New Roman" w:hAnsi="Times New Roman" w:cs="Times New Roman"/>
          <w:bCs/>
        </w:rPr>
        <w:t xml:space="preserve"> HBF considers this policy to be unnecessary as the introduction of the Future Homes Standard will ensure that all homes are zero carbon ready. However, HBF</w:t>
      </w:r>
      <w:r w:rsidR="00C26A6B">
        <w:rPr>
          <w:rFonts w:ascii="Times New Roman" w:hAnsi="Times New Roman" w:cs="Times New Roman"/>
          <w:bCs/>
        </w:rPr>
        <w:t xml:space="preserve"> </w:t>
      </w:r>
      <w:r w:rsidR="0084258A">
        <w:rPr>
          <w:rFonts w:ascii="Times New Roman" w:hAnsi="Times New Roman" w:cs="Times New Roman"/>
          <w:bCs/>
        </w:rPr>
        <w:t>recognises</w:t>
      </w:r>
      <w:r w:rsidR="00C26A6B">
        <w:rPr>
          <w:rFonts w:ascii="Times New Roman" w:hAnsi="Times New Roman" w:cs="Times New Roman"/>
          <w:bCs/>
        </w:rPr>
        <w:t xml:space="preserve"> that the Planning and Energy Act 2008 allows </w:t>
      </w:r>
      <w:r w:rsidR="0084258A">
        <w:rPr>
          <w:rFonts w:ascii="Times New Roman" w:hAnsi="Times New Roman" w:cs="Times New Roman"/>
          <w:bCs/>
        </w:rPr>
        <w:t>Councils</w:t>
      </w:r>
      <w:r w:rsidR="00C26A6B">
        <w:rPr>
          <w:rFonts w:ascii="Times New Roman" w:hAnsi="Times New Roman" w:cs="Times New Roman"/>
          <w:bCs/>
        </w:rPr>
        <w:t xml:space="preserve"> to set standards beyond building regulations </w:t>
      </w:r>
      <w:r w:rsidR="0084258A">
        <w:rPr>
          <w:rFonts w:ascii="Times New Roman" w:hAnsi="Times New Roman" w:cs="Times New Roman"/>
          <w:bCs/>
        </w:rPr>
        <w:t>with the Written Ministerial Statement</w:t>
      </w:r>
      <w:r w:rsidR="00287BE4">
        <w:rPr>
          <w:rFonts w:ascii="Times New Roman" w:hAnsi="Times New Roman" w:cs="Times New Roman"/>
          <w:bCs/>
        </w:rPr>
        <w:t xml:space="preserve"> (WMS)</w:t>
      </w:r>
      <w:r w:rsidR="0084258A">
        <w:rPr>
          <w:rFonts w:ascii="Times New Roman" w:hAnsi="Times New Roman" w:cs="Times New Roman"/>
          <w:bCs/>
        </w:rPr>
        <w:t xml:space="preserve"> </w:t>
      </w:r>
      <w:r w:rsidR="00287BE4">
        <w:rPr>
          <w:rFonts w:ascii="Times New Roman" w:hAnsi="Times New Roman" w:cs="Times New Roman"/>
          <w:bCs/>
        </w:rPr>
        <w:t xml:space="preserve">on energy efficiency (December 2023) </w:t>
      </w:r>
      <w:r w:rsidR="0059668F">
        <w:rPr>
          <w:rFonts w:ascii="Times New Roman" w:hAnsi="Times New Roman" w:cs="Times New Roman"/>
          <w:bCs/>
        </w:rPr>
        <w:t>stating that:</w:t>
      </w:r>
    </w:p>
    <w:p w14:paraId="5CB875E9" w14:textId="77777777" w:rsidR="0059668F" w:rsidRPr="0059668F" w:rsidRDefault="0059668F" w:rsidP="0059668F">
      <w:pPr>
        <w:pStyle w:val="ListParagraph"/>
        <w:widowControl/>
        <w:suppressAutoHyphens w:val="0"/>
        <w:autoSpaceDE/>
        <w:spacing w:line="360" w:lineRule="auto"/>
        <w:ind w:left="426"/>
        <w:jc w:val="both"/>
        <w:rPr>
          <w:rFonts w:ascii="Times New Roman" w:hAnsi="Times New Roman" w:cs="Times New Roman"/>
          <w:bCs/>
          <w:i/>
          <w:iCs/>
        </w:rPr>
      </w:pPr>
      <w:r>
        <w:rPr>
          <w:rFonts w:ascii="Times New Roman" w:hAnsi="Times New Roman" w:cs="Times New Roman"/>
          <w:bCs/>
        </w:rPr>
        <w:t>“</w:t>
      </w:r>
      <w:r w:rsidRPr="0059668F">
        <w:rPr>
          <w:rFonts w:ascii="Times New Roman" w:hAnsi="Times New Roman" w:cs="Times New Roman"/>
          <w:bCs/>
          <w:i/>
          <w:iCs/>
        </w:rPr>
        <w:t>Any planning policies that propose local energy efficiency standards for buildings that go beyond current or planned buildings regulation should be rejected at examination if they do not have a well-reasoned and robustly costed rationale that ensures:</w:t>
      </w:r>
    </w:p>
    <w:p w14:paraId="2D47CD87" w14:textId="77777777" w:rsidR="0059668F" w:rsidRPr="0059668F" w:rsidRDefault="0059668F" w:rsidP="0059668F">
      <w:pPr>
        <w:pStyle w:val="ListParagraph"/>
        <w:widowControl/>
        <w:numPr>
          <w:ilvl w:val="0"/>
          <w:numId w:val="6"/>
        </w:numPr>
        <w:suppressAutoHyphens w:val="0"/>
        <w:autoSpaceDE/>
        <w:spacing w:line="360" w:lineRule="auto"/>
        <w:jc w:val="both"/>
        <w:rPr>
          <w:rFonts w:ascii="Times New Roman" w:hAnsi="Times New Roman" w:cs="Times New Roman"/>
          <w:bCs/>
          <w:i/>
          <w:iCs/>
        </w:rPr>
      </w:pPr>
      <w:r w:rsidRPr="0059668F">
        <w:rPr>
          <w:rFonts w:ascii="Times New Roman" w:hAnsi="Times New Roman" w:cs="Times New Roman"/>
          <w:bCs/>
          <w:i/>
          <w:iCs/>
        </w:rPr>
        <w:t>That development remains viable, and the impact on housing supply and affordability is considered in accordance with the National Planning Policy Framework.</w:t>
      </w:r>
    </w:p>
    <w:p w14:paraId="2E1BF84B" w14:textId="7C4FB7ED" w:rsidR="0059668F" w:rsidRPr="0059668F" w:rsidRDefault="0059668F" w:rsidP="0059668F">
      <w:pPr>
        <w:pStyle w:val="ListParagraph"/>
        <w:widowControl/>
        <w:numPr>
          <w:ilvl w:val="0"/>
          <w:numId w:val="6"/>
        </w:numPr>
        <w:suppressAutoHyphens w:val="0"/>
        <w:autoSpaceDE/>
        <w:spacing w:after="240" w:line="360" w:lineRule="auto"/>
        <w:jc w:val="both"/>
        <w:rPr>
          <w:rFonts w:ascii="Times New Roman" w:hAnsi="Times New Roman" w:cs="Times New Roman"/>
          <w:bCs/>
        </w:rPr>
      </w:pPr>
      <w:r w:rsidRPr="0059668F">
        <w:rPr>
          <w:rFonts w:ascii="Times New Roman" w:hAnsi="Times New Roman" w:cs="Times New Roman"/>
          <w:bCs/>
          <w:i/>
          <w:iCs/>
        </w:rPr>
        <w:t>The additional requirement is expressed as a percentage uplift of a dwelling’s Target Emissions Rate (TER) calculated using a specified version of the Standard Assessment Procedure (SAP)</w:t>
      </w:r>
      <w:r>
        <w:rPr>
          <w:rFonts w:ascii="Times New Roman" w:hAnsi="Times New Roman" w:cs="Times New Roman"/>
          <w:bCs/>
        </w:rPr>
        <w:t>”</w:t>
      </w:r>
    </w:p>
    <w:p w14:paraId="7BF3A8FB" w14:textId="0133A37E" w:rsidR="0059668F" w:rsidRDefault="00287BE4"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lastRenderedPageBreak/>
        <w:t xml:space="preserve">Recent legal challenges to the WMS </w:t>
      </w:r>
      <w:r w:rsidR="00936C8C">
        <w:rPr>
          <w:rFonts w:ascii="Times New Roman" w:hAnsi="Times New Roman" w:cs="Times New Roman"/>
          <w:bCs/>
        </w:rPr>
        <w:t xml:space="preserve">have confirmed that the WMS is a consideration that must be taken in to account by local authorities when preparing local plans and </w:t>
      </w:r>
      <w:r w:rsidR="00E56018">
        <w:rPr>
          <w:rFonts w:ascii="Times New Roman" w:hAnsi="Times New Roman" w:cs="Times New Roman"/>
          <w:bCs/>
        </w:rPr>
        <w:t>is consistent with</w:t>
      </w:r>
      <w:r w:rsidR="004B1D45">
        <w:rPr>
          <w:rFonts w:ascii="Times New Roman" w:hAnsi="Times New Roman" w:cs="Times New Roman"/>
          <w:bCs/>
        </w:rPr>
        <w:t xml:space="preserve"> th</w:t>
      </w:r>
      <w:r w:rsidR="00936C8C">
        <w:rPr>
          <w:rFonts w:ascii="Times New Roman" w:hAnsi="Times New Roman" w:cs="Times New Roman"/>
          <w:bCs/>
        </w:rPr>
        <w:t>e Planning and Energy Act</w:t>
      </w:r>
      <w:r w:rsidR="004B1D45">
        <w:rPr>
          <w:rFonts w:ascii="Times New Roman" w:hAnsi="Times New Roman" w:cs="Times New Roman"/>
          <w:bCs/>
        </w:rPr>
        <w:t xml:space="preserve"> as it does not prevent local authorities from </w:t>
      </w:r>
      <w:r w:rsidR="00590AB2">
        <w:rPr>
          <w:rFonts w:ascii="Times New Roman" w:hAnsi="Times New Roman" w:cs="Times New Roman"/>
          <w:bCs/>
        </w:rPr>
        <w:t xml:space="preserve">setting improved standards but simply states how they should be considered by LPAs and the </w:t>
      </w:r>
      <w:r w:rsidR="00C0117C">
        <w:rPr>
          <w:rFonts w:ascii="Times New Roman" w:hAnsi="Times New Roman" w:cs="Times New Roman"/>
          <w:bCs/>
        </w:rPr>
        <w:t xml:space="preserve">Planning </w:t>
      </w:r>
      <w:r w:rsidR="0004639A">
        <w:rPr>
          <w:rFonts w:ascii="Times New Roman" w:hAnsi="Times New Roman" w:cs="Times New Roman"/>
          <w:bCs/>
        </w:rPr>
        <w:t>Inspectorate</w:t>
      </w:r>
      <w:r w:rsidR="00936C8C">
        <w:rPr>
          <w:rFonts w:ascii="Times New Roman" w:hAnsi="Times New Roman" w:cs="Times New Roman"/>
          <w:bCs/>
        </w:rPr>
        <w:t>.</w:t>
      </w:r>
      <w:r w:rsidR="00C74AC0">
        <w:rPr>
          <w:rFonts w:ascii="Times New Roman" w:hAnsi="Times New Roman" w:cs="Times New Roman"/>
          <w:bCs/>
        </w:rPr>
        <w:t xml:space="preserve"> If this does not result in </w:t>
      </w:r>
      <w:r w:rsidR="001E28C8">
        <w:rPr>
          <w:rFonts w:ascii="Times New Roman" w:hAnsi="Times New Roman" w:cs="Times New Roman"/>
          <w:bCs/>
        </w:rPr>
        <w:t xml:space="preserve">zero carbon </w:t>
      </w:r>
      <w:r w:rsidR="00B263F7">
        <w:rPr>
          <w:rFonts w:ascii="Times New Roman" w:hAnsi="Times New Roman" w:cs="Times New Roman"/>
          <w:bCs/>
        </w:rPr>
        <w:t>homes,</w:t>
      </w:r>
      <w:r w:rsidR="001E28C8">
        <w:rPr>
          <w:rFonts w:ascii="Times New Roman" w:hAnsi="Times New Roman" w:cs="Times New Roman"/>
          <w:bCs/>
        </w:rPr>
        <w:t xml:space="preserve"> then a </w:t>
      </w:r>
      <w:r w:rsidR="00B263F7">
        <w:rPr>
          <w:rFonts w:ascii="Times New Roman" w:hAnsi="Times New Roman" w:cs="Times New Roman"/>
          <w:bCs/>
        </w:rPr>
        <w:t>payment</w:t>
      </w:r>
      <w:r w:rsidR="001E28C8">
        <w:rPr>
          <w:rFonts w:ascii="Times New Roman" w:hAnsi="Times New Roman" w:cs="Times New Roman"/>
          <w:bCs/>
        </w:rPr>
        <w:t xml:space="preserve"> to the Council’s carbon offset fund</w:t>
      </w:r>
      <w:r w:rsidR="00B263F7">
        <w:rPr>
          <w:rFonts w:ascii="Times New Roman" w:hAnsi="Times New Roman" w:cs="Times New Roman"/>
          <w:bCs/>
        </w:rPr>
        <w:t xml:space="preserve"> is required. </w:t>
      </w:r>
    </w:p>
    <w:p w14:paraId="1B0462DA" w14:textId="39264E4F" w:rsidR="0004639A" w:rsidRDefault="002C68DD"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The Council’s approach in the policy is to </w:t>
      </w:r>
      <w:r w:rsidR="00465235">
        <w:rPr>
          <w:rFonts w:ascii="Times New Roman" w:hAnsi="Times New Roman" w:cs="Times New Roman"/>
          <w:bCs/>
        </w:rPr>
        <w:t>require</w:t>
      </w:r>
      <w:r>
        <w:rPr>
          <w:rFonts w:ascii="Times New Roman" w:hAnsi="Times New Roman" w:cs="Times New Roman"/>
          <w:bCs/>
        </w:rPr>
        <w:t xml:space="preserve"> </w:t>
      </w:r>
      <w:r w:rsidR="005D7B1A">
        <w:rPr>
          <w:rFonts w:ascii="Times New Roman" w:hAnsi="Times New Roman" w:cs="Times New Roman"/>
          <w:bCs/>
        </w:rPr>
        <w:t xml:space="preserve">on all major residential development </w:t>
      </w:r>
      <w:r>
        <w:rPr>
          <w:rFonts w:ascii="Times New Roman" w:hAnsi="Times New Roman" w:cs="Times New Roman"/>
          <w:bCs/>
        </w:rPr>
        <w:t xml:space="preserve">the delivery of net zero carbon buildings through a combination of </w:t>
      </w:r>
      <w:r w:rsidR="00465235">
        <w:rPr>
          <w:rFonts w:ascii="Times New Roman" w:hAnsi="Times New Roman" w:cs="Times New Roman"/>
          <w:bCs/>
        </w:rPr>
        <w:t>reducing</w:t>
      </w:r>
      <w:r w:rsidR="0008580E">
        <w:rPr>
          <w:rFonts w:ascii="Times New Roman" w:hAnsi="Times New Roman" w:cs="Times New Roman"/>
          <w:bCs/>
        </w:rPr>
        <w:t xml:space="preserve"> carbon </w:t>
      </w:r>
      <w:r w:rsidR="00465235">
        <w:rPr>
          <w:rFonts w:ascii="Times New Roman" w:hAnsi="Times New Roman" w:cs="Times New Roman"/>
          <w:bCs/>
        </w:rPr>
        <w:t>emissions</w:t>
      </w:r>
      <w:r w:rsidR="0008580E">
        <w:rPr>
          <w:rFonts w:ascii="Times New Roman" w:hAnsi="Times New Roman" w:cs="Times New Roman"/>
          <w:bCs/>
        </w:rPr>
        <w:t xml:space="preserve"> by 60% </w:t>
      </w:r>
      <w:r w:rsidR="00465235">
        <w:rPr>
          <w:rFonts w:ascii="Times New Roman" w:hAnsi="Times New Roman" w:cs="Times New Roman"/>
          <w:bCs/>
        </w:rPr>
        <w:t>compared</w:t>
      </w:r>
      <w:r w:rsidR="0008580E">
        <w:rPr>
          <w:rFonts w:ascii="Times New Roman" w:hAnsi="Times New Roman" w:cs="Times New Roman"/>
          <w:bCs/>
        </w:rPr>
        <w:t xml:space="preserve"> to the TER</w:t>
      </w:r>
      <w:r w:rsidR="007A3517">
        <w:rPr>
          <w:rFonts w:ascii="Times New Roman" w:hAnsi="Times New Roman" w:cs="Times New Roman"/>
          <w:bCs/>
        </w:rPr>
        <w:t xml:space="preserve"> set out in</w:t>
      </w:r>
      <w:r w:rsidR="00465235">
        <w:rPr>
          <w:rFonts w:ascii="Times New Roman" w:hAnsi="Times New Roman" w:cs="Times New Roman"/>
          <w:bCs/>
        </w:rPr>
        <w:t xml:space="preserve"> B</w:t>
      </w:r>
      <w:r w:rsidR="007A3517">
        <w:rPr>
          <w:rFonts w:ascii="Times New Roman" w:hAnsi="Times New Roman" w:cs="Times New Roman"/>
          <w:bCs/>
        </w:rPr>
        <w:t xml:space="preserve">uilding </w:t>
      </w:r>
      <w:r w:rsidR="00465235">
        <w:rPr>
          <w:rFonts w:ascii="Times New Roman" w:hAnsi="Times New Roman" w:cs="Times New Roman"/>
          <w:bCs/>
        </w:rPr>
        <w:t>R</w:t>
      </w:r>
      <w:r w:rsidR="007A3517">
        <w:rPr>
          <w:rFonts w:ascii="Times New Roman" w:hAnsi="Times New Roman" w:cs="Times New Roman"/>
          <w:bCs/>
        </w:rPr>
        <w:t>egulations</w:t>
      </w:r>
      <w:r w:rsidR="00465235">
        <w:rPr>
          <w:rFonts w:ascii="Times New Roman" w:hAnsi="Times New Roman" w:cs="Times New Roman"/>
          <w:bCs/>
        </w:rPr>
        <w:t xml:space="preserve"> Part L 2021</w:t>
      </w:r>
      <w:r w:rsidR="00B263F7">
        <w:rPr>
          <w:rFonts w:ascii="Times New Roman" w:hAnsi="Times New Roman" w:cs="Times New Roman"/>
          <w:bCs/>
        </w:rPr>
        <w:t xml:space="preserve"> (part C</w:t>
      </w:r>
      <w:r w:rsidR="00394704">
        <w:rPr>
          <w:rFonts w:ascii="Times New Roman" w:hAnsi="Times New Roman" w:cs="Times New Roman"/>
          <w:bCs/>
        </w:rPr>
        <w:t>.1.</w:t>
      </w:r>
      <w:r w:rsidR="005D7B1A">
        <w:rPr>
          <w:rFonts w:ascii="Times New Roman" w:hAnsi="Times New Roman" w:cs="Times New Roman"/>
          <w:bCs/>
        </w:rPr>
        <w:t>a</w:t>
      </w:r>
      <w:r w:rsidR="00394704">
        <w:rPr>
          <w:rFonts w:ascii="Times New Roman" w:hAnsi="Times New Roman" w:cs="Times New Roman"/>
          <w:bCs/>
        </w:rPr>
        <w:t>.</w:t>
      </w:r>
      <w:r w:rsidR="005D7B1A">
        <w:rPr>
          <w:rFonts w:ascii="Times New Roman" w:hAnsi="Times New Roman" w:cs="Times New Roman"/>
          <w:bCs/>
        </w:rPr>
        <w:t>)</w:t>
      </w:r>
      <w:r w:rsidR="007A3517">
        <w:rPr>
          <w:rFonts w:ascii="Times New Roman" w:hAnsi="Times New Roman" w:cs="Times New Roman"/>
          <w:bCs/>
        </w:rPr>
        <w:t xml:space="preserve">, reduce whole lifecycle carbon emissions </w:t>
      </w:r>
      <w:r w:rsidR="00465235">
        <w:rPr>
          <w:rFonts w:ascii="Times New Roman" w:hAnsi="Times New Roman" w:cs="Times New Roman"/>
          <w:bCs/>
        </w:rPr>
        <w:t>to less than 625 kgCO2e/m</w:t>
      </w:r>
      <w:r w:rsidR="00465235" w:rsidRPr="00465235">
        <w:rPr>
          <w:rFonts w:ascii="Times New Roman" w:hAnsi="Times New Roman" w:cs="Times New Roman"/>
          <w:bCs/>
          <w:vertAlign w:val="superscript"/>
        </w:rPr>
        <w:t>2</w:t>
      </w:r>
      <w:r w:rsidR="00394704">
        <w:rPr>
          <w:rFonts w:ascii="Times New Roman" w:hAnsi="Times New Roman" w:cs="Times New Roman"/>
          <w:bCs/>
        </w:rPr>
        <w:t xml:space="preserve"> (part C</w:t>
      </w:r>
      <w:r w:rsidR="008C2A7A">
        <w:rPr>
          <w:rFonts w:ascii="Times New Roman" w:hAnsi="Times New Roman" w:cs="Times New Roman"/>
          <w:bCs/>
        </w:rPr>
        <w:t>.1.b.)</w:t>
      </w:r>
      <w:r w:rsidR="00331263">
        <w:rPr>
          <w:rFonts w:ascii="Times New Roman" w:hAnsi="Times New Roman" w:cs="Times New Roman"/>
          <w:bCs/>
        </w:rPr>
        <w:t>,</w:t>
      </w:r>
      <w:r w:rsidR="00E54093">
        <w:rPr>
          <w:rFonts w:ascii="Times New Roman" w:hAnsi="Times New Roman" w:cs="Times New Roman"/>
          <w:bCs/>
          <w:vertAlign w:val="superscript"/>
        </w:rPr>
        <w:t xml:space="preserve"> </w:t>
      </w:r>
      <w:r w:rsidR="00E54093">
        <w:rPr>
          <w:rFonts w:ascii="Times New Roman" w:hAnsi="Times New Roman" w:cs="Times New Roman"/>
          <w:bCs/>
        </w:rPr>
        <w:t xml:space="preserve">the incorporation of </w:t>
      </w:r>
      <w:r w:rsidR="00084C6E">
        <w:rPr>
          <w:rFonts w:ascii="Times New Roman" w:hAnsi="Times New Roman" w:cs="Times New Roman"/>
          <w:bCs/>
        </w:rPr>
        <w:t>net zero energy generation t</w:t>
      </w:r>
      <w:r w:rsidR="00331263">
        <w:rPr>
          <w:rFonts w:ascii="Times New Roman" w:hAnsi="Times New Roman" w:cs="Times New Roman"/>
          <w:bCs/>
        </w:rPr>
        <w:t>echnologies and smart demand control measures</w:t>
      </w:r>
      <w:r w:rsidR="008C2A7A">
        <w:rPr>
          <w:rFonts w:ascii="Times New Roman" w:hAnsi="Times New Roman" w:cs="Times New Roman"/>
          <w:bCs/>
        </w:rPr>
        <w:t xml:space="preserve"> (</w:t>
      </w:r>
      <w:r w:rsidR="00D6156E">
        <w:rPr>
          <w:rFonts w:ascii="Times New Roman" w:hAnsi="Times New Roman" w:cs="Times New Roman"/>
          <w:bCs/>
        </w:rPr>
        <w:t>part C.3.)</w:t>
      </w:r>
      <w:r w:rsidR="00331263">
        <w:rPr>
          <w:rFonts w:ascii="Times New Roman" w:hAnsi="Times New Roman" w:cs="Times New Roman"/>
          <w:bCs/>
        </w:rPr>
        <w:t xml:space="preserve">. </w:t>
      </w:r>
      <w:r w:rsidR="00D6156E">
        <w:rPr>
          <w:rFonts w:ascii="Times New Roman" w:hAnsi="Times New Roman" w:cs="Times New Roman"/>
          <w:bCs/>
        </w:rPr>
        <w:t xml:space="preserve">If </w:t>
      </w:r>
      <w:r w:rsidR="00C125D0">
        <w:rPr>
          <w:rFonts w:ascii="Times New Roman" w:hAnsi="Times New Roman" w:cs="Times New Roman"/>
          <w:bCs/>
        </w:rPr>
        <w:t xml:space="preserve">it is not </w:t>
      </w:r>
      <w:r w:rsidR="00B90400">
        <w:rPr>
          <w:rFonts w:ascii="Times New Roman" w:hAnsi="Times New Roman" w:cs="Times New Roman"/>
          <w:bCs/>
        </w:rPr>
        <w:t>viable</w:t>
      </w:r>
      <w:r w:rsidR="00C125D0">
        <w:rPr>
          <w:rFonts w:ascii="Times New Roman" w:hAnsi="Times New Roman" w:cs="Times New Roman"/>
          <w:bCs/>
        </w:rPr>
        <w:t xml:space="preserve"> to </w:t>
      </w:r>
      <w:r w:rsidR="00263DE2">
        <w:rPr>
          <w:rFonts w:ascii="Times New Roman" w:hAnsi="Times New Roman" w:cs="Times New Roman"/>
          <w:bCs/>
        </w:rPr>
        <w:t>achieve th</w:t>
      </w:r>
      <w:r w:rsidR="00B90400">
        <w:rPr>
          <w:rFonts w:ascii="Times New Roman" w:hAnsi="Times New Roman" w:cs="Times New Roman"/>
          <w:bCs/>
        </w:rPr>
        <w:t>ese</w:t>
      </w:r>
      <w:r w:rsidR="00263DE2">
        <w:rPr>
          <w:rFonts w:ascii="Times New Roman" w:hAnsi="Times New Roman" w:cs="Times New Roman"/>
          <w:bCs/>
        </w:rPr>
        <w:t xml:space="preserve"> </w:t>
      </w:r>
      <w:r w:rsidR="00B90400">
        <w:rPr>
          <w:rFonts w:ascii="Times New Roman" w:hAnsi="Times New Roman" w:cs="Times New Roman"/>
          <w:bCs/>
        </w:rPr>
        <w:t>standards</w:t>
      </w:r>
      <w:r w:rsidR="00263DE2">
        <w:rPr>
          <w:rFonts w:ascii="Times New Roman" w:hAnsi="Times New Roman" w:cs="Times New Roman"/>
          <w:bCs/>
        </w:rPr>
        <w:t xml:space="preserve"> residual regulated carbon emission will be offset through a </w:t>
      </w:r>
      <w:r w:rsidR="00B90400">
        <w:rPr>
          <w:rFonts w:ascii="Times New Roman" w:hAnsi="Times New Roman" w:cs="Times New Roman"/>
          <w:bCs/>
        </w:rPr>
        <w:t>payment</w:t>
      </w:r>
      <w:r w:rsidR="00263DE2">
        <w:rPr>
          <w:rFonts w:ascii="Times New Roman" w:hAnsi="Times New Roman" w:cs="Times New Roman"/>
          <w:bCs/>
        </w:rPr>
        <w:t xml:space="preserve"> </w:t>
      </w:r>
      <w:r w:rsidR="00B90400">
        <w:rPr>
          <w:rFonts w:ascii="Times New Roman" w:hAnsi="Times New Roman" w:cs="Times New Roman"/>
          <w:bCs/>
        </w:rPr>
        <w:t>to</w:t>
      </w:r>
      <w:r w:rsidR="00263DE2">
        <w:rPr>
          <w:rFonts w:ascii="Times New Roman" w:hAnsi="Times New Roman" w:cs="Times New Roman"/>
          <w:bCs/>
        </w:rPr>
        <w:t xml:space="preserve"> </w:t>
      </w:r>
      <w:r w:rsidR="00B90400">
        <w:rPr>
          <w:rFonts w:ascii="Times New Roman" w:hAnsi="Times New Roman" w:cs="Times New Roman"/>
          <w:bCs/>
        </w:rPr>
        <w:t>the</w:t>
      </w:r>
      <w:r w:rsidR="00156502">
        <w:rPr>
          <w:rFonts w:ascii="Times New Roman" w:hAnsi="Times New Roman" w:cs="Times New Roman"/>
          <w:bCs/>
        </w:rPr>
        <w:t xml:space="preserve"> </w:t>
      </w:r>
      <w:r w:rsidR="00263DE2">
        <w:rPr>
          <w:rFonts w:ascii="Times New Roman" w:hAnsi="Times New Roman" w:cs="Times New Roman"/>
          <w:bCs/>
        </w:rPr>
        <w:t xml:space="preserve">Council’s </w:t>
      </w:r>
      <w:r w:rsidR="00B90400">
        <w:rPr>
          <w:rFonts w:ascii="Times New Roman" w:hAnsi="Times New Roman" w:cs="Times New Roman"/>
          <w:bCs/>
        </w:rPr>
        <w:t>Carbon Offset Fund</w:t>
      </w:r>
      <w:r w:rsidR="00EE1D17">
        <w:rPr>
          <w:rFonts w:ascii="Times New Roman" w:hAnsi="Times New Roman" w:cs="Times New Roman"/>
          <w:bCs/>
        </w:rPr>
        <w:t xml:space="preserve"> (part D)</w:t>
      </w:r>
      <w:r w:rsidR="00B90400">
        <w:rPr>
          <w:rFonts w:ascii="Times New Roman" w:hAnsi="Times New Roman" w:cs="Times New Roman"/>
          <w:bCs/>
        </w:rPr>
        <w:t xml:space="preserve">. </w:t>
      </w:r>
    </w:p>
    <w:p w14:paraId="55D14AED" w14:textId="5D9DE0B7" w:rsidR="00B263F7" w:rsidRPr="00C607E3" w:rsidRDefault="00B263F7"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The </w:t>
      </w:r>
      <w:r w:rsidR="00156502">
        <w:rPr>
          <w:rFonts w:ascii="Times New Roman" w:hAnsi="Times New Roman" w:cs="Times New Roman"/>
          <w:bCs/>
        </w:rPr>
        <w:t xml:space="preserve">approach to </w:t>
      </w:r>
      <w:r w:rsidR="00280B3C">
        <w:rPr>
          <w:rFonts w:ascii="Times New Roman" w:hAnsi="Times New Roman" w:cs="Times New Roman"/>
          <w:bCs/>
        </w:rPr>
        <w:t xml:space="preserve">reducing carbon emissions in part C.1.a. is consistent with </w:t>
      </w:r>
      <w:r w:rsidR="00943FC0">
        <w:rPr>
          <w:rFonts w:ascii="Times New Roman" w:hAnsi="Times New Roman" w:cs="Times New Roman"/>
          <w:bCs/>
        </w:rPr>
        <w:t xml:space="preserve">the second bullet point in the WMS as it is based on TER. </w:t>
      </w:r>
      <w:r w:rsidR="00C54B3A">
        <w:rPr>
          <w:rFonts w:ascii="Times New Roman" w:hAnsi="Times New Roman" w:cs="Times New Roman"/>
          <w:bCs/>
        </w:rPr>
        <w:t xml:space="preserve">This has also been considered in the </w:t>
      </w:r>
      <w:r w:rsidR="00852C47">
        <w:rPr>
          <w:rFonts w:ascii="Times New Roman" w:hAnsi="Times New Roman" w:cs="Times New Roman"/>
          <w:bCs/>
        </w:rPr>
        <w:t>VSR</w:t>
      </w:r>
      <w:r w:rsidR="003171D9">
        <w:rPr>
          <w:rStyle w:val="FootnoteReference"/>
          <w:rFonts w:ascii="Times New Roman" w:hAnsi="Times New Roman" w:cs="Times New Roman"/>
          <w:bCs/>
        </w:rPr>
        <w:footnoteReference w:id="1"/>
      </w:r>
      <w:r w:rsidR="00C54B3A">
        <w:rPr>
          <w:rFonts w:ascii="Times New Roman" w:hAnsi="Times New Roman" w:cs="Times New Roman"/>
          <w:bCs/>
        </w:rPr>
        <w:t xml:space="preserve"> </w:t>
      </w:r>
      <w:r w:rsidR="00852C47">
        <w:rPr>
          <w:rFonts w:ascii="Times New Roman" w:hAnsi="Times New Roman" w:cs="Times New Roman"/>
          <w:bCs/>
        </w:rPr>
        <w:t xml:space="preserve">and is included as part of the </w:t>
      </w:r>
      <w:r w:rsidR="00C52D1A">
        <w:rPr>
          <w:rFonts w:ascii="Times New Roman" w:hAnsi="Times New Roman" w:cs="Times New Roman"/>
          <w:bCs/>
        </w:rPr>
        <w:t>6.5% to 7.</w:t>
      </w:r>
      <w:r w:rsidR="003171D9">
        <w:rPr>
          <w:rFonts w:ascii="Times New Roman" w:hAnsi="Times New Roman" w:cs="Times New Roman"/>
          <w:bCs/>
        </w:rPr>
        <w:t xml:space="preserve">25% </w:t>
      </w:r>
      <w:r w:rsidR="00C52D1A">
        <w:rPr>
          <w:rFonts w:ascii="Times New Roman" w:hAnsi="Times New Roman" w:cs="Times New Roman"/>
          <w:bCs/>
        </w:rPr>
        <w:t xml:space="preserve">uplift </w:t>
      </w:r>
      <w:r w:rsidR="003171D9">
        <w:rPr>
          <w:rFonts w:ascii="Times New Roman" w:hAnsi="Times New Roman" w:cs="Times New Roman"/>
          <w:bCs/>
        </w:rPr>
        <w:t xml:space="preserve">in build costs </w:t>
      </w:r>
      <w:r w:rsidR="00C52D1A">
        <w:rPr>
          <w:rFonts w:ascii="Times New Roman" w:hAnsi="Times New Roman" w:cs="Times New Roman"/>
          <w:bCs/>
        </w:rPr>
        <w:t xml:space="preserve">in achieving all the </w:t>
      </w:r>
      <w:r w:rsidR="003171D9">
        <w:rPr>
          <w:rFonts w:ascii="Times New Roman" w:hAnsi="Times New Roman" w:cs="Times New Roman"/>
          <w:bCs/>
        </w:rPr>
        <w:t>policies</w:t>
      </w:r>
      <w:r w:rsidR="00C52D1A">
        <w:rPr>
          <w:rFonts w:ascii="Times New Roman" w:hAnsi="Times New Roman" w:cs="Times New Roman"/>
          <w:bCs/>
        </w:rPr>
        <w:t xml:space="preserve"> in CEA1</w:t>
      </w:r>
      <w:r w:rsidR="00363E7A">
        <w:rPr>
          <w:rFonts w:ascii="Times New Roman" w:hAnsi="Times New Roman" w:cs="Times New Roman"/>
          <w:bCs/>
        </w:rPr>
        <w:t xml:space="preserve"> with the addition of a £500 </w:t>
      </w:r>
      <w:r w:rsidR="00F80204">
        <w:rPr>
          <w:rFonts w:ascii="Times New Roman" w:hAnsi="Times New Roman" w:cs="Times New Roman"/>
          <w:bCs/>
        </w:rPr>
        <w:t>uplift in relation to carbon offsetting.</w:t>
      </w:r>
      <w:r w:rsidR="005A195E">
        <w:rPr>
          <w:rFonts w:ascii="Times New Roman" w:hAnsi="Times New Roman" w:cs="Times New Roman"/>
          <w:bCs/>
        </w:rPr>
        <w:t xml:space="preserve"> Wha</w:t>
      </w:r>
      <w:r w:rsidR="00EB6CE3">
        <w:rPr>
          <w:rFonts w:ascii="Times New Roman" w:hAnsi="Times New Roman" w:cs="Times New Roman"/>
          <w:bCs/>
        </w:rPr>
        <w:t>t</w:t>
      </w:r>
      <w:r w:rsidR="005A195E">
        <w:rPr>
          <w:rFonts w:ascii="Times New Roman" w:hAnsi="Times New Roman" w:cs="Times New Roman"/>
          <w:bCs/>
        </w:rPr>
        <w:t xml:space="preserve"> </w:t>
      </w:r>
      <w:r w:rsidR="00E42FB2">
        <w:rPr>
          <w:rFonts w:ascii="Times New Roman" w:hAnsi="Times New Roman" w:cs="Times New Roman"/>
          <w:bCs/>
        </w:rPr>
        <w:t>i</w:t>
      </w:r>
      <w:r w:rsidR="005A195E">
        <w:rPr>
          <w:rFonts w:ascii="Times New Roman" w:hAnsi="Times New Roman" w:cs="Times New Roman"/>
          <w:bCs/>
        </w:rPr>
        <w:t>s</w:t>
      </w:r>
      <w:r w:rsidR="00E42FB2">
        <w:rPr>
          <w:rFonts w:ascii="Times New Roman" w:hAnsi="Times New Roman" w:cs="Times New Roman"/>
          <w:bCs/>
        </w:rPr>
        <w:t xml:space="preserve"> </w:t>
      </w:r>
      <w:r w:rsidR="005A195E">
        <w:rPr>
          <w:rFonts w:ascii="Times New Roman" w:hAnsi="Times New Roman" w:cs="Times New Roman"/>
          <w:bCs/>
        </w:rPr>
        <w:t xml:space="preserve">not clear from the VSR is </w:t>
      </w:r>
      <w:r w:rsidR="006A030F">
        <w:rPr>
          <w:rFonts w:ascii="Times New Roman" w:hAnsi="Times New Roman" w:cs="Times New Roman"/>
          <w:bCs/>
        </w:rPr>
        <w:t>how much each part of policy CEA1 is expected to cost and how that figure was derived. At present the</w:t>
      </w:r>
      <w:r w:rsidR="006E2750">
        <w:rPr>
          <w:rFonts w:ascii="Times New Roman" w:hAnsi="Times New Roman" w:cs="Times New Roman"/>
          <w:bCs/>
        </w:rPr>
        <w:t xml:space="preserve"> study has considered the cost of</w:t>
      </w:r>
      <w:r w:rsidR="006A030F">
        <w:rPr>
          <w:rFonts w:ascii="Times New Roman" w:hAnsi="Times New Roman" w:cs="Times New Roman"/>
          <w:bCs/>
        </w:rPr>
        <w:t xml:space="preserve"> reducing regulated carbon emissions </w:t>
      </w:r>
      <w:r w:rsidR="006E2750">
        <w:rPr>
          <w:rFonts w:ascii="Times New Roman" w:hAnsi="Times New Roman" w:cs="Times New Roman"/>
          <w:bCs/>
        </w:rPr>
        <w:t xml:space="preserve">but very little </w:t>
      </w:r>
      <w:r w:rsidR="00400C5F">
        <w:rPr>
          <w:rFonts w:ascii="Times New Roman" w:hAnsi="Times New Roman" w:cs="Times New Roman"/>
          <w:bCs/>
        </w:rPr>
        <w:t xml:space="preserve">as to how much it will cost to </w:t>
      </w:r>
      <w:r w:rsidR="008A009D">
        <w:rPr>
          <w:rFonts w:ascii="Times New Roman" w:hAnsi="Times New Roman" w:cs="Times New Roman"/>
          <w:bCs/>
        </w:rPr>
        <w:t xml:space="preserve">deliver the whole life carbon emission standard of </w:t>
      </w:r>
      <w:bookmarkStart w:id="0" w:name="_Hlk216687157"/>
      <w:r w:rsidR="008A009D">
        <w:rPr>
          <w:rFonts w:ascii="Times New Roman" w:hAnsi="Times New Roman" w:cs="Times New Roman"/>
          <w:bCs/>
        </w:rPr>
        <w:t xml:space="preserve">625 </w:t>
      </w:r>
      <w:r w:rsidR="008A009D" w:rsidRPr="008A009D">
        <w:rPr>
          <w:rFonts w:ascii="Times New Roman" w:hAnsi="Times New Roman" w:cs="Times New Roman"/>
          <w:bCs/>
        </w:rPr>
        <w:t>kgCO</w:t>
      </w:r>
      <w:r w:rsidR="008A009D" w:rsidRPr="008A009D">
        <w:rPr>
          <w:rFonts w:ascii="Times New Roman" w:hAnsi="Times New Roman" w:cs="Times New Roman"/>
          <w:bCs/>
          <w:vertAlign w:val="subscript"/>
        </w:rPr>
        <w:t>2</w:t>
      </w:r>
      <w:r w:rsidR="008A009D" w:rsidRPr="008A009D">
        <w:rPr>
          <w:rFonts w:ascii="Times New Roman" w:hAnsi="Times New Roman" w:cs="Times New Roman"/>
          <w:bCs/>
        </w:rPr>
        <w:t>e/m</w:t>
      </w:r>
      <w:r w:rsidR="008A009D" w:rsidRPr="008A009D">
        <w:rPr>
          <w:rFonts w:ascii="Times New Roman" w:hAnsi="Times New Roman" w:cs="Times New Roman"/>
          <w:bCs/>
          <w:vertAlign w:val="superscript"/>
        </w:rPr>
        <w:t>2</w:t>
      </w:r>
      <w:bookmarkEnd w:id="0"/>
      <w:r w:rsidR="00F65C4C">
        <w:rPr>
          <w:rFonts w:ascii="Times New Roman" w:hAnsi="Times New Roman" w:cs="Times New Roman"/>
          <w:bCs/>
        </w:rPr>
        <w:t xml:space="preserve"> and it is not clear as to how the </w:t>
      </w:r>
      <w:r w:rsidR="00902B30">
        <w:rPr>
          <w:rFonts w:ascii="Times New Roman" w:hAnsi="Times New Roman" w:cs="Times New Roman"/>
          <w:bCs/>
        </w:rPr>
        <w:t xml:space="preserve">£500 for offsetting was arrived at given </w:t>
      </w:r>
      <w:r w:rsidR="00C607E3">
        <w:rPr>
          <w:rFonts w:ascii="Times New Roman" w:hAnsi="Times New Roman" w:cs="Times New Roman"/>
          <w:bCs/>
        </w:rPr>
        <w:t>that paragraph</w:t>
      </w:r>
      <w:r w:rsidR="00827A86">
        <w:rPr>
          <w:rFonts w:ascii="Times New Roman" w:hAnsi="Times New Roman" w:cs="Times New Roman"/>
          <w:bCs/>
        </w:rPr>
        <w:t xml:space="preserve"> 289 of the local plan suggests</w:t>
      </w:r>
      <w:r w:rsidR="00D77D73">
        <w:rPr>
          <w:rFonts w:ascii="Times New Roman" w:hAnsi="Times New Roman" w:cs="Times New Roman"/>
          <w:bCs/>
        </w:rPr>
        <w:t xml:space="preserve"> </w:t>
      </w:r>
      <w:r w:rsidR="00902B30">
        <w:rPr>
          <w:rFonts w:ascii="Times New Roman" w:hAnsi="Times New Roman" w:cs="Times New Roman"/>
          <w:bCs/>
        </w:rPr>
        <w:t xml:space="preserve">that </w:t>
      </w:r>
      <w:r w:rsidR="007F6810">
        <w:rPr>
          <w:rFonts w:ascii="Times New Roman" w:hAnsi="Times New Roman" w:cs="Times New Roman"/>
          <w:bCs/>
        </w:rPr>
        <w:t>the proposed offset per tonne of C</w:t>
      </w:r>
      <w:r w:rsidR="00D77D73">
        <w:rPr>
          <w:rFonts w:ascii="Times New Roman" w:hAnsi="Times New Roman" w:cs="Times New Roman"/>
          <w:bCs/>
        </w:rPr>
        <w:t>O</w:t>
      </w:r>
      <w:r w:rsidR="00D77D73" w:rsidRPr="00D20518">
        <w:rPr>
          <w:rFonts w:ascii="Times New Roman" w:hAnsi="Times New Roman" w:cs="Times New Roman"/>
          <w:bCs/>
          <w:vertAlign w:val="subscript"/>
        </w:rPr>
        <w:t>2</w:t>
      </w:r>
      <w:r w:rsidR="00D77D73">
        <w:rPr>
          <w:rFonts w:ascii="Times New Roman" w:hAnsi="Times New Roman" w:cs="Times New Roman"/>
          <w:bCs/>
        </w:rPr>
        <w:t xml:space="preserve"> would be £7,350.</w:t>
      </w:r>
      <w:r w:rsidR="00935BA8">
        <w:rPr>
          <w:rFonts w:ascii="Times New Roman" w:hAnsi="Times New Roman" w:cs="Times New Roman"/>
          <w:bCs/>
        </w:rPr>
        <w:t xml:space="preserve"> More detail is needed as to how each element of the costs included in the viability study have been arrived at</w:t>
      </w:r>
      <w:r w:rsidR="001B4E72">
        <w:rPr>
          <w:rFonts w:ascii="Times New Roman" w:hAnsi="Times New Roman" w:cs="Times New Roman"/>
          <w:bCs/>
        </w:rPr>
        <w:t xml:space="preserve"> </w:t>
      </w:r>
      <w:r w:rsidR="00C607E3">
        <w:rPr>
          <w:rFonts w:ascii="Times New Roman" w:hAnsi="Times New Roman" w:cs="Times New Roman"/>
          <w:bCs/>
        </w:rPr>
        <w:t>for this policy to be considered justified.</w:t>
      </w:r>
    </w:p>
    <w:p w14:paraId="76D089CD" w14:textId="56796A48" w:rsidR="00FD281C" w:rsidRDefault="000A1FBC"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However, alongside viability the Council must also consider whether the polic</w:t>
      </w:r>
      <w:r w:rsidR="0025638B">
        <w:rPr>
          <w:rFonts w:ascii="Times New Roman" w:hAnsi="Times New Roman" w:cs="Times New Roman"/>
          <w:bCs/>
        </w:rPr>
        <w:t>i</w:t>
      </w:r>
      <w:r>
        <w:rPr>
          <w:rFonts w:ascii="Times New Roman" w:hAnsi="Times New Roman" w:cs="Times New Roman"/>
          <w:bCs/>
        </w:rPr>
        <w:t>es in CEA1 are realistically achievable and the impact they might have on the delivery of housing and the affordability of new homes.</w:t>
      </w:r>
      <w:r w:rsidR="00CF45F6">
        <w:rPr>
          <w:rFonts w:ascii="Times New Roman" w:hAnsi="Times New Roman" w:cs="Times New Roman"/>
          <w:bCs/>
        </w:rPr>
        <w:t xml:space="preserve"> On this issue HBF have specific concerns that there is </w:t>
      </w:r>
      <w:r w:rsidR="00AB06FF">
        <w:rPr>
          <w:rFonts w:ascii="Times New Roman" w:hAnsi="Times New Roman" w:cs="Times New Roman"/>
          <w:bCs/>
        </w:rPr>
        <w:t>insufficient</w:t>
      </w:r>
      <w:r w:rsidR="00CF45F6">
        <w:rPr>
          <w:rFonts w:ascii="Times New Roman" w:hAnsi="Times New Roman" w:cs="Times New Roman"/>
          <w:bCs/>
        </w:rPr>
        <w:t xml:space="preserve"> </w:t>
      </w:r>
      <w:r w:rsidR="00AB06FF">
        <w:rPr>
          <w:rFonts w:ascii="Times New Roman" w:hAnsi="Times New Roman" w:cs="Times New Roman"/>
          <w:bCs/>
        </w:rPr>
        <w:t>justification</w:t>
      </w:r>
      <w:r w:rsidR="00CF45F6">
        <w:rPr>
          <w:rFonts w:ascii="Times New Roman" w:hAnsi="Times New Roman" w:cs="Times New Roman"/>
          <w:bCs/>
        </w:rPr>
        <w:t xml:space="preserve"> to support </w:t>
      </w:r>
      <w:r w:rsidR="00AB06FF">
        <w:rPr>
          <w:rFonts w:ascii="Times New Roman" w:hAnsi="Times New Roman" w:cs="Times New Roman"/>
          <w:bCs/>
        </w:rPr>
        <w:t xml:space="preserve">the proposed </w:t>
      </w:r>
      <w:r w:rsidR="0025638B">
        <w:rPr>
          <w:rFonts w:ascii="Times New Roman" w:hAnsi="Times New Roman" w:cs="Times New Roman"/>
          <w:bCs/>
        </w:rPr>
        <w:t xml:space="preserve">whole life carbon target of 625 </w:t>
      </w:r>
      <w:r w:rsidR="0025638B" w:rsidRPr="008A009D">
        <w:rPr>
          <w:rFonts w:ascii="Times New Roman" w:hAnsi="Times New Roman" w:cs="Times New Roman"/>
          <w:bCs/>
        </w:rPr>
        <w:t>kgCO</w:t>
      </w:r>
      <w:r w:rsidR="0025638B" w:rsidRPr="008A009D">
        <w:rPr>
          <w:rFonts w:ascii="Times New Roman" w:hAnsi="Times New Roman" w:cs="Times New Roman"/>
          <w:bCs/>
          <w:vertAlign w:val="subscript"/>
        </w:rPr>
        <w:t>2</w:t>
      </w:r>
      <w:r w:rsidR="0025638B" w:rsidRPr="008A009D">
        <w:rPr>
          <w:rFonts w:ascii="Times New Roman" w:hAnsi="Times New Roman" w:cs="Times New Roman"/>
          <w:bCs/>
        </w:rPr>
        <w:t>e/m</w:t>
      </w:r>
      <w:r w:rsidR="0025638B" w:rsidRPr="008A009D">
        <w:rPr>
          <w:rFonts w:ascii="Times New Roman" w:hAnsi="Times New Roman" w:cs="Times New Roman"/>
          <w:bCs/>
          <w:vertAlign w:val="superscript"/>
        </w:rPr>
        <w:t>2</w:t>
      </w:r>
      <w:r w:rsidR="0025638B">
        <w:rPr>
          <w:rFonts w:ascii="Times New Roman" w:hAnsi="Times New Roman" w:cs="Times New Roman"/>
          <w:bCs/>
        </w:rPr>
        <w:t xml:space="preserve"> can be </w:t>
      </w:r>
      <w:r w:rsidR="00A32A7B">
        <w:rPr>
          <w:rFonts w:ascii="Times New Roman" w:hAnsi="Times New Roman" w:cs="Times New Roman"/>
          <w:bCs/>
        </w:rPr>
        <w:t>realistically achieved</w:t>
      </w:r>
      <w:r w:rsidR="0025638B">
        <w:rPr>
          <w:rFonts w:ascii="Times New Roman" w:hAnsi="Times New Roman" w:cs="Times New Roman"/>
          <w:bCs/>
        </w:rPr>
        <w:t xml:space="preserve"> on all </w:t>
      </w:r>
      <w:r w:rsidR="00A32A7B">
        <w:rPr>
          <w:rFonts w:ascii="Times New Roman" w:hAnsi="Times New Roman" w:cs="Times New Roman"/>
          <w:bCs/>
        </w:rPr>
        <w:t>major</w:t>
      </w:r>
      <w:r w:rsidR="0025638B">
        <w:rPr>
          <w:rFonts w:ascii="Times New Roman" w:hAnsi="Times New Roman" w:cs="Times New Roman"/>
          <w:bCs/>
        </w:rPr>
        <w:t xml:space="preserve"> developments</w:t>
      </w:r>
      <w:r w:rsidR="00A32A7B">
        <w:rPr>
          <w:rFonts w:ascii="Times New Roman" w:hAnsi="Times New Roman" w:cs="Times New Roman"/>
          <w:bCs/>
        </w:rPr>
        <w:t xml:space="preserve"> from the point at which the local plan is adopted. The</w:t>
      </w:r>
      <w:r w:rsidR="00C83EFD">
        <w:rPr>
          <w:rFonts w:ascii="Times New Roman" w:hAnsi="Times New Roman" w:cs="Times New Roman"/>
          <w:bCs/>
        </w:rPr>
        <w:t xml:space="preserve"> Carbon and</w:t>
      </w:r>
      <w:r w:rsidR="00A32A7B">
        <w:rPr>
          <w:rFonts w:ascii="Times New Roman" w:hAnsi="Times New Roman" w:cs="Times New Roman"/>
          <w:bCs/>
        </w:rPr>
        <w:t xml:space="preserve"> Climate </w:t>
      </w:r>
      <w:r w:rsidR="00C83EFD">
        <w:rPr>
          <w:rFonts w:ascii="Times New Roman" w:hAnsi="Times New Roman" w:cs="Times New Roman"/>
          <w:bCs/>
        </w:rPr>
        <w:t xml:space="preserve">Study references other studies such as those by RIBA and LETI but undertakes no assessment </w:t>
      </w:r>
      <w:r w:rsidR="00D56577">
        <w:rPr>
          <w:rFonts w:ascii="Times New Roman" w:hAnsi="Times New Roman" w:cs="Times New Roman"/>
          <w:bCs/>
        </w:rPr>
        <w:t xml:space="preserve">itself as to the potential impact of such policies on development in Milton Keynes. </w:t>
      </w:r>
    </w:p>
    <w:p w14:paraId="4E87082E" w14:textId="6974FA43" w:rsidR="001B2241" w:rsidRDefault="00157332"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Whole Life Carbon refers to the </w:t>
      </w:r>
      <w:r w:rsidR="00E05282">
        <w:rPr>
          <w:rFonts w:ascii="Times New Roman" w:hAnsi="Times New Roman" w:cs="Times New Roman"/>
          <w:bCs/>
        </w:rPr>
        <w:t>total emissions from a first construction to demolition</w:t>
      </w:r>
      <w:r w:rsidR="00A44BBA">
        <w:rPr>
          <w:rFonts w:ascii="Times New Roman" w:hAnsi="Times New Roman" w:cs="Times New Roman"/>
          <w:bCs/>
        </w:rPr>
        <w:t xml:space="preserve"> – </w:t>
      </w:r>
      <w:r w:rsidR="00700479">
        <w:rPr>
          <w:rFonts w:ascii="Times New Roman" w:hAnsi="Times New Roman" w:cs="Times New Roman"/>
          <w:bCs/>
        </w:rPr>
        <w:t>as such it includes</w:t>
      </w:r>
      <w:r w:rsidR="00A44BBA">
        <w:rPr>
          <w:rFonts w:ascii="Times New Roman" w:hAnsi="Times New Roman" w:cs="Times New Roman"/>
          <w:bCs/>
        </w:rPr>
        <w:t xml:space="preserve"> both </w:t>
      </w:r>
      <w:r w:rsidR="00700479">
        <w:rPr>
          <w:rFonts w:ascii="Times New Roman" w:hAnsi="Times New Roman" w:cs="Times New Roman"/>
          <w:bCs/>
        </w:rPr>
        <w:t>t</w:t>
      </w:r>
      <w:r w:rsidR="00A44BBA">
        <w:rPr>
          <w:rFonts w:ascii="Times New Roman" w:hAnsi="Times New Roman" w:cs="Times New Roman"/>
          <w:bCs/>
        </w:rPr>
        <w:t xml:space="preserve">he embodied carbon and </w:t>
      </w:r>
      <w:r w:rsidR="00700479">
        <w:rPr>
          <w:rFonts w:ascii="Times New Roman" w:hAnsi="Times New Roman" w:cs="Times New Roman"/>
          <w:bCs/>
        </w:rPr>
        <w:t xml:space="preserve">the </w:t>
      </w:r>
      <w:r w:rsidR="00D54B82">
        <w:rPr>
          <w:rFonts w:ascii="Times New Roman" w:hAnsi="Times New Roman" w:cs="Times New Roman"/>
          <w:bCs/>
        </w:rPr>
        <w:t>carbon emitted by those people using the building (the operational carbon).</w:t>
      </w:r>
      <w:r w:rsidR="00700479">
        <w:rPr>
          <w:rFonts w:ascii="Times New Roman" w:hAnsi="Times New Roman" w:cs="Times New Roman"/>
          <w:bCs/>
        </w:rPr>
        <w:t xml:space="preserve"> </w:t>
      </w:r>
      <w:r w:rsidR="00624847">
        <w:rPr>
          <w:rFonts w:ascii="Times New Roman" w:hAnsi="Times New Roman" w:cs="Times New Roman"/>
          <w:bCs/>
        </w:rPr>
        <w:t>However, our understanding is that t</w:t>
      </w:r>
      <w:r w:rsidR="003C371C">
        <w:rPr>
          <w:rFonts w:ascii="Times New Roman" w:hAnsi="Times New Roman" w:cs="Times New Roman"/>
          <w:bCs/>
        </w:rPr>
        <w:t xml:space="preserve">he </w:t>
      </w:r>
      <w:r w:rsidR="00B513B7">
        <w:rPr>
          <w:rFonts w:ascii="Times New Roman" w:hAnsi="Times New Roman" w:cs="Times New Roman"/>
          <w:bCs/>
        </w:rPr>
        <w:t>RIBA</w:t>
      </w:r>
      <w:r w:rsidR="00624847">
        <w:rPr>
          <w:rFonts w:ascii="Times New Roman" w:hAnsi="Times New Roman" w:cs="Times New Roman"/>
          <w:bCs/>
        </w:rPr>
        <w:t xml:space="preserve"> </w:t>
      </w:r>
      <w:r w:rsidR="00B513B7">
        <w:rPr>
          <w:rFonts w:ascii="Times New Roman" w:hAnsi="Times New Roman" w:cs="Times New Roman"/>
          <w:bCs/>
        </w:rPr>
        <w:t>target</w:t>
      </w:r>
      <w:r w:rsidR="00624847">
        <w:rPr>
          <w:rFonts w:ascii="Times New Roman" w:hAnsi="Times New Roman" w:cs="Times New Roman"/>
          <w:bCs/>
        </w:rPr>
        <w:t xml:space="preserve"> of 625 </w:t>
      </w:r>
      <w:r w:rsidR="00624847" w:rsidRPr="008A009D">
        <w:rPr>
          <w:rFonts w:ascii="Times New Roman" w:hAnsi="Times New Roman" w:cs="Times New Roman"/>
          <w:bCs/>
        </w:rPr>
        <w:t>kgCO</w:t>
      </w:r>
      <w:r w:rsidR="00624847" w:rsidRPr="008A009D">
        <w:rPr>
          <w:rFonts w:ascii="Times New Roman" w:hAnsi="Times New Roman" w:cs="Times New Roman"/>
          <w:bCs/>
          <w:vertAlign w:val="subscript"/>
        </w:rPr>
        <w:t>2</w:t>
      </w:r>
      <w:r w:rsidR="00624847" w:rsidRPr="008A009D">
        <w:rPr>
          <w:rFonts w:ascii="Times New Roman" w:hAnsi="Times New Roman" w:cs="Times New Roman"/>
          <w:bCs/>
        </w:rPr>
        <w:t>e/m</w:t>
      </w:r>
      <w:r w:rsidR="00624847" w:rsidRPr="008A009D">
        <w:rPr>
          <w:rFonts w:ascii="Times New Roman" w:hAnsi="Times New Roman" w:cs="Times New Roman"/>
          <w:bCs/>
          <w:vertAlign w:val="superscript"/>
        </w:rPr>
        <w:t>2</w:t>
      </w:r>
      <w:r w:rsidR="00624847">
        <w:rPr>
          <w:rFonts w:ascii="Times New Roman" w:hAnsi="Times New Roman" w:cs="Times New Roman"/>
          <w:bCs/>
          <w:vertAlign w:val="superscript"/>
        </w:rPr>
        <w:t xml:space="preserve"> </w:t>
      </w:r>
      <w:r w:rsidR="003C371C">
        <w:rPr>
          <w:rFonts w:ascii="Times New Roman" w:hAnsi="Times New Roman" w:cs="Times New Roman"/>
          <w:bCs/>
        </w:rPr>
        <w:t xml:space="preserve">referred to in the </w:t>
      </w:r>
      <w:r w:rsidR="00B513B7">
        <w:rPr>
          <w:rFonts w:ascii="Times New Roman" w:hAnsi="Times New Roman" w:cs="Times New Roman"/>
          <w:bCs/>
        </w:rPr>
        <w:t>Council’s</w:t>
      </w:r>
      <w:r w:rsidR="003C371C">
        <w:rPr>
          <w:rFonts w:ascii="Times New Roman" w:hAnsi="Times New Roman" w:cs="Times New Roman"/>
          <w:bCs/>
        </w:rPr>
        <w:t xml:space="preserve"> </w:t>
      </w:r>
      <w:r w:rsidR="00B513B7">
        <w:rPr>
          <w:rFonts w:ascii="Times New Roman" w:hAnsi="Times New Roman" w:cs="Times New Roman"/>
          <w:bCs/>
        </w:rPr>
        <w:t xml:space="preserve">Carbon and </w:t>
      </w:r>
      <w:r w:rsidR="00624847">
        <w:rPr>
          <w:rFonts w:ascii="Times New Roman" w:hAnsi="Times New Roman" w:cs="Times New Roman"/>
          <w:bCs/>
        </w:rPr>
        <w:t>Climate</w:t>
      </w:r>
      <w:r w:rsidR="00B513B7">
        <w:rPr>
          <w:rFonts w:ascii="Times New Roman" w:hAnsi="Times New Roman" w:cs="Times New Roman"/>
          <w:bCs/>
        </w:rPr>
        <w:t xml:space="preserve"> Study </w:t>
      </w:r>
      <w:r w:rsidR="00624847">
        <w:rPr>
          <w:rFonts w:ascii="Times New Roman" w:hAnsi="Times New Roman" w:cs="Times New Roman"/>
          <w:bCs/>
        </w:rPr>
        <w:t>Analysis</w:t>
      </w:r>
      <w:r w:rsidR="00B513B7">
        <w:rPr>
          <w:rFonts w:ascii="Times New Roman" w:hAnsi="Times New Roman" w:cs="Times New Roman"/>
          <w:bCs/>
        </w:rPr>
        <w:t xml:space="preserve"> paper</w:t>
      </w:r>
      <w:r w:rsidR="003C371C">
        <w:rPr>
          <w:rFonts w:ascii="Times New Roman" w:hAnsi="Times New Roman" w:cs="Times New Roman"/>
          <w:bCs/>
        </w:rPr>
        <w:t xml:space="preserve"> </w:t>
      </w:r>
      <w:r w:rsidR="0008330F">
        <w:rPr>
          <w:rFonts w:ascii="Times New Roman" w:hAnsi="Times New Roman" w:cs="Times New Roman"/>
          <w:bCs/>
        </w:rPr>
        <w:t xml:space="preserve">relates to the whole life embodied carbon of the building and does not include operational energy. </w:t>
      </w:r>
      <w:r w:rsidR="00057030">
        <w:rPr>
          <w:rFonts w:ascii="Times New Roman" w:hAnsi="Times New Roman" w:cs="Times New Roman"/>
          <w:bCs/>
        </w:rPr>
        <w:t>This will need to be clarified</w:t>
      </w:r>
      <w:r w:rsidR="00374774">
        <w:rPr>
          <w:rFonts w:ascii="Times New Roman" w:hAnsi="Times New Roman" w:cs="Times New Roman"/>
          <w:bCs/>
        </w:rPr>
        <w:t xml:space="preserve"> by the Council. </w:t>
      </w:r>
      <w:r w:rsidR="00DA5ED6">
        <w:rPr>
          <w:rFonts w:ascii="Times New Roman" w:hAnsi="Times New Roman" w:cs="Times New Roman"/>
          <w:bCs/>
        </w:rPr>
        <w:t>However, a</w:t>
      </w:r>
      <w:r w:rsidR="00374774">
        <w:rPr>
          <w:rFonts w:ascii="Times New Roman" w:hAnsi="Times New Roman" w:cs="Times New Roman"/>
          <w:bCs/>
        </w:rPr>
        <w:t xml:space="preserve">s to whether </w:t>
      </w:r>
      <w:r w:rsidR="00411176">
        <w:rPr>
          <w:rFonts w:ascii="Times New Roman" w:hAnsi="Times New Roman" w:cs="Times New Roman"/>
          <w:bCs/>
        </w:rPr>
        <w:t>the</w:t>
      </w:r>
      <w:r w:rsidR="00374774">
        <w:rPr>
          <w:rFonts w:ascii="Times New Roman" w:hAnsi="Times New Roman" w:cs="Times New Roman"/>
          <w:bCs/>
        </w:rPr>
        <w:t xml:space="preserve"> </w:t>
      </w:r>
      <w:r w:rsidR="00DA5ED6">
        <w:rPr>
          <w:rFonts w:ascii="Times New Roman" w:hAnsi="Times New Roman" w:cs="Times New Roman"/>
          <w:bCs/>
        </w:rPr>
        <w:t xml:space="preserve">target is actually deliverable there would appear to be limited evidence provided by the Council on that front. </w:t>
      </w:r>
      <w:r w:rsidR="00AD5E7D">
        <w:rPr>
          <w:rFonts w:ascii="Times New Roman" w:hAnsi="Times New Roman" w:cs="Times New Roman"/>
          <w:bCs/>
        </w:rPr>
        <w:t>Some work has recently been publi</w:t>
      </w:r>
      <w:r w:rsidR="00411176">
        <w:rPr>
          <w:rFonts w:ascii="Times New Roman" w:hAnsi="Times New Roman" w:cs="Times New Roman"/>
          <w:bCs/>
        </w:rPr>
        <w:t xml:space="preserve">shed by the </w:t>
      </w:r>
      <w:r w:rsidR="00DF76D3">
        <w:rPr>
          <w:rFonts w:ascii="Times New Roman" w:hAnsi="Times New Roman" w:cs="Times New Roman"/>
          <w:bCs/>
        </w:rPr>
        <w:t>Future</w:t>
      </w:r>
      <w:r w:rsidR="00411176">
        <w:rPr>
          <w:rFonts w:ascii="Times New Roman" w:hAnsi="Times New Roman" w:cs="Times New Roman"/>
          <w:bCs/>
        </w:rPr>
        <w:t xml:space="preserve"> Homes Hub</w:t>
      </w:r>
      <w:r w:rsidR="0054045F">
        <w:rPr>
          <w:rFonts w:ascii="Times New Roman" w:hAnsi="Times New Roman" w:cs="Times New Roman"/>
          <w:bCs/>
        </w:rPr>
        <w:t xml:space="preserve"> (FHH)</w:t>
      </w:r>
      <w:r w:rsidR="00411176">
        <w:rPr>
          <w:rFonts w:ascii="Times New Roman" w:hAnsi="Times New Roman" w:cs="Times New Roman"/>
          <w:bCs/>
        </w:rPr>
        <w:t xml:space="preserve"> which </w:t>
      </w:r>
      <w:r w:rsidR="008B6FC0">
        <w:rPr>
          <w:rFonts w:ascii="Times New Roman" w:hAnsi="Times New Roman" w:cs="Times New Roman"/>
          <w:bCs/>
        </w:rPr>
        <w:t xml:space="preserve">has examined the whole life carbon performance of a number of developments to provide </w:t>
      </w:r>
      <w:r w:rsidR="009D07E5">
        <w:rPr>
          <w:rFonts w:ascii="Times New Roman" w:hAnsi="Times New Roman" w:cs="Times New Roman"/>
          <w:bCs/>
        </w:rPr>
        <w:t>a picture of curr</w:t>
      </w:r>
      <w:r w:rsidR="001805A1">
        <w:rPr>
          <w:rFonts w:ascii="Times New Roman" w:hAnsi="Times New Roman" w:cs="Times New Roman"/>
          <w:bCs/>
        </w:rPr>
        <w:t xml:space="preserve">ent practice. What is notable from this study is that </w:t>
      </w:r>
      <w:r w:rsidR="00966ECE">
        <w:rPr>
          <w:rFonts w:ascii="Times New Roman" w:hAnsi="Times New Roman" w:cs="Times New Roman"/>
          <w:bCs/>
        </w:rPr>
        <w:t>the</w:t>
      </w:r>
      <w:r w:rsidR="001D0606">
        <w:rPr>
          <w:rFonts w:ascii="Times New Roman" w:hAnsi="Times New Roman" w:cs="Times New Roman"/>
          <w:bCs/>
        </w:rPr>
        <w:t xml:space="preserve"> WLC</w:t>
      </w:r>
      <w:r w:rsidR="00966ECE">
        <w:rPr>
          <w:rFonts w:ascii="Times New Roman" w:hAnsi="Times New Roman" w:cs="Times New Roman"/>
          <w:bCs/>
        </w:rPr>
        <w:t xml:space="preserve"> average </w:t>
      </w:r>
      <w:r w:rsidR="001D0606">
        <w:rPr>
          <w:rFonts w:ascii="Times New Roman" w:hAnsi="Times New Roman" w:cs="Times New Roman"/>
          <w:bCs/>
        </w:rPr>
        <w:t xml:space="preserve">low rise homes </w:t>
      </w:r>
      <w:r w:rsidR="000557B5">
        <w:rPr>
          <w:rFonts w:ascii="Times New Roman" w:hAnsi="Times New Roman" w:cs="Times New Roman"/>
          <w:bCs/>
        </w:rPr>
        <w:t xml:space="preserve">is </w:t>
      </w:r>
      <w:r w:rsidR="000557B5">
        <w:rPr>
          <w:rFonts w:ascii="Times New Roman" w:hAnsi="Times New Roman" w:cs="Times New Roman"/>
          <w:bCs/>
        </w:rPr>
        <w:lastRenderedPageBreak/>
        <w:t>around 1226</w:t>
      </w:r>
      <w:r w:rsidR="000557B5" w:rsidRPr="000557B5">
        <w:t xml:space="preserve"> </w:t>
      </w:r>
      <w:r w:rsidR="000557B5" w:rsidRPr="000557B5">
        <w:rPr>
          <w:rFonts w:ascii="Times New Roman" w:hAnsi="Times New Roman" w:cs="Times New Roman"/>
          <w:bCs/>
        </w:rPr>
        <w:t>kgCO</w:t>
      </w:r>
      <w:r w:rsidR="000557B5" w:rsidRPr="00362FC4">
        <w:rPr>
          <w:rFonts w:ascii="Times New Roman" w:hAnsi="Times New Roman" w:cs="Times New Roman"/>
          <w:bCs/>
          <w:vertAlign w:val="subscript"/>
        </w:rPr>
        <w:t>2</w:t>
      </w:r>
      <w:r w:rsidR="000557B5" w:rsidRPr="000557B5">
        <w:rPr>
          <w:rFonts w:ascii="Times New Roman" w:hAnsi="Times New Roman" w:cs="Times New Roman"/>
          <w:bCs/>
        </w:rPr>
        <w:t>e/m</w:t>
      </w:r>
      <w:r w:rsidR="000557B5" w:rsidRPr="00362FC4">
        <w:rPr>
          <w:rFonts w:ascii="Times New Roman" w:hAnsi="Times New Roman" w:cs="Times New Roman"/>
          <w:bCs/>
          <w:vertAlign w:val="superscript"/>
        </w:rPr>
        <w:t>2</w:t>
      </w:r>
      <w:r w:rsidR="00C06D09">
        <w:rPr>
          <w:rFonts w:ascii="Times New Roman" w:hAnsi="Times New Roman" w:cs="Times New Roman"/>
          <w:bCs/>
        </w:rPr>
        <w:t xml:space="preserve"> – half of what is expected </w:t>
      </w:r>
      <w:r w:rsidR="00AA3295">
        <w:rPr>
          <w:rFonts w:ascii="Times New Roman" w:hAnsi="Times New Roman" w:cs="Times New Roman"/>
          <w:bCs/>
        </w:rPr>
        <w:t xml:space="preserve">by the Council as it is currently written. </w:t>
      </w:r>
      <w:r w:rsidR="0080529B">
        <w:rPr>
          <w:rFonts w:ascii="Times New Roman" w:hAnsi="Times New Roman" w:cs="Times New Roman"/>
          <w:bCs/>
        </w:rPr>
        <w:t xml:space="preserve">If the Council </w:t>
      </w:r>
      <w:r w:rsidR="00362FC4">
        <w:rPr>
          <w:rFonts w:ascii="Times New Roman" w:hAnsi="Times New Roman" w:cs="Times New Roman"/>
          <w:bCs/>
        </w:rPr>
        <w:t xml:space="preserve">is referring solely to embodied carbon, then the target is </w:t>
      </w:r>
      <w:r w:rsidR="004F0F17">
        <w:rPr>
          <w:rFonts w:ascii="Times New Roman" w:hAnsi="Times New Roman" w:cs="Times New Roman"/>
          <w:bCs/>
        </w:rPr>
        <w:t>potentially</w:t>
      </w:r>
      <w:r w:rsidR="00362FC4">
        <w:rPr>
          <w:rFonts w:ascii="Times New Roman" w:hAnsi="Times New Roman" w:cs="Times New Roman"/>
          <w:bCs/>
        </w:rPr>
        <w:t xml:space="preserve"> achievable with the Future Homes Hub noting the average is 611</w:t>
      </w:r>
      <w:r w:rsidR="00362FC4" w:rsidRPr="00362FC4">
        <w:rPr>
          <w:rFonts w:ascii="Times New Roman" w:hAnsi="Times New Roman" w:cs="Times New Roman"/>
          <w:bCs/>
        </w:rPr>
        <w:t xml:space="preserve"> </w:t>
      </w:r>
      <w:r w:rsidR="00362FC4" w:rsidRPr="000557B5">
        <w:rPr>
          <w:rFonts w:ascii="Times New Roman" w:hAnsi="Times New Roman" w:cs="Times New Roman"/>
          <w:bCs/>
        </w:rPr>
        <w:t>kgCO</w:t>
      </w:r>
      <w:r w:rsidR="00362FC4" w:rsidRPr="00362FC4">
        <w:rPr>
          <w:rFonts w:ascii="Times New Roman" w:hAnsi="Times New Roman" w:cs="Times New Roman"/>
          <w:bCs/>
          <w:vertAlign w:val="subscript"/>
        </w:rPr>
        <w:t>2</w:t>
      </w:r>
      <w:r w:rsidR="00362FC4" w:rsidRPr="000557B5">
        <w:rPr>
          <w:rFonts w:ascii="Times New Roman" w:hAnsi="Times New Roman" w:cs="Times New Roman"/>
          <w:bCs/>
        </w:rPr>
        <w:t>e/m</w:t>
      </w:r>
      <w:r w:rsidR="00362FC4" w:rsidRPr="00362FC4">
        <w:rPr>
          <w:rFonts w:ascii="Times New Roman" w:hAnsi="Times New Roman" w:cs="Times New Roman"/>
          <w:bCs/>
          <w:vertAlign w:val="superscript"/>
        </w:rPr>
        <w:t>2</w:t>
      </w:r>
      <w:r w:rsidR="00362FC4">
        <w:rPr>
          <w:rFonts w:ascii="Times New Roman" w:hAnsi="Times New Roman" w:cs="Times New Roman"/>
          <w:bCs/>
        </w:rPr>
        <w:t xml:space="preserve"> from the small range of developments tested. </w:t>
      </w:r>
      <w:r w:rsidR="001B2241">
        <w:rPr>
          <w:rFonts w:ascii="Times New Roman" w:hAnsi="Times New Roman" w:cs="Times New Roman"/>
          <w:bCs/>
        </w:rPr>
        <w:t>However</w:t>
      </w:r>
      <w:r w:rsidR="00CD5C7B">
        <w:rPr>
          <w:rFonts w:ascii="Times New Roman" w:hAnsi="Times New Roman" w:cs="Times New Roman"/>
          <w:bCs/>
        </w:rPr>
        <w:t xml:space="preserve">, it must be remembered that these are average benchmarks with some development being </w:t>
      </w:r>
      <w:r w:rsidR="001B2241">
        <w:rPr>
          <w:rFonts w:ascii="Times New Roman" w:hAnsi="Times New Roman" w:cs="Times New Roman"/>
          <w:bCs/>
        </w:rPr>
        <w:t>significantly</w:t>
      </w:r>
      <w:r w:rsidR="00CD5C7B">
        <w:rPr>
          <w:rFonts w:ascii="Times New Roman" w:hAnsi="Times New Roman" w:cs="Times New Roman"/>
          <w:bCs/>
        </w:rPr>
        <w:t xml:space="preserve"> higher</w:t>
      </w:r>
      <w:r w:rsidR="001B2241">
        <w:rPr>
          <w:rFonts w:ascii="Times New Roman" w:hAnsi="Times New Roman" w:cs="Times New Roman"/>
          <w:bCs/>
        </w:rPr>
        <w:t>.</w:t>
      </w:r>
    </w:p>
    <w:p w14:paraId="5B406550" w14:textId="77777777" w:rsidR="00FC51B4" w:rsidRDefault="00AA48E7"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However, what t</w:t>
      </w:r>
      <w:r w:rsidR="0054045F">
        <w:rPr>
          <w:rFonts w:ascii="Times New Roman" w:hAnsi="Times New Roman" w:cs="Times New Roman"/>
          <w:bCs/>
        </w:rPr>
        <w:t xml:space="preserve">he FHH </w:t>
      </w:r>
      <w:r>
        <w:rPr>
          <w:rFonts w:ascii="Times New Roman" w:hAnsi="Times New Roman" w:cs="Times New Roman"/>
          <w:bCs/>
        </w:rPr>
        <w:t>study does not do, and indeed is also lacking from the C</w:t>
      </w:r>
      <w:r w:rsidR="00005DD6">
        <w:rPr>
          <w:rFonts w:ascii="Times New Roman" w:hAnsi="Times New Roman" w:cs="Times New Roman"/>
          <w:bCs/>
        </w:rPr>
        <w:t>ou</w:t>
      </w:r>
      <w:r>
        <w:rPr>
          <w:rFonts w:ascii="Times New Roman" w:hAnsi="Times New Roman" w:cs="Times New Roman"/>
          <w:bCs/>
        </w:rPr>
        <w:t xml:space="preserve">ncil’s evidence, is how much extra it costs to achieve </w:t>
      </w:r>
      <w:r w:rsidR="00005DD6">
        <w:rPr>
          <w:rFonts w:ascii="Times New Roman" w:hAnsi="Times New Roman" w:cs="Times New Roman"/>
          <w:bCs/>
        </w:rPr>
        <w:t>to reduce whole life carbon or embodied carbon to the levels</w:t>
      </w:r>
      <w:r w:rsidR="00274078">
        <w:rPr>
          <w:rFonts w:ascii="Times New Roman" w:hAnsi="Times New Roman" w:cs="Times New Roman"/>
          <w:bCs/>
        </w:rPr>
        <w:t xml:space="preserve"> proposed in this policy</w:t>
      </w:r>
      <w:r w:rsidR="00005DD6">
        <w:rPr>
          <w:rFonts w:ascii="Times New Roman" w:hAnsi="Times New Roman" w:cs="Times New Roman"/>
          <w:bCs/>
        </w:rPr>
        <w:t>.</w:t>
      </w:r>
      <w:r w:rsidR="0035763E">
        <w:rPr>
          <w:rFonts w:ascii="Times New Roman" w:hAnsi="Times New Roman" w:cs="Times New Roman"/>
          <w:bCs/>
        </w:rPr>
        <w:t xml:space="preserve"> </w:t>
      </w:r>
      <w:r w:rsidR="00E864A6">
        <w:rPr>
          <w:rFonts w:ascii="Times New Roman" w:hAnsi="Times New Roman" w:cs="Times New Roman"/>
          <w:bCs/>
        </w:rPr>
        <w:t>Given</w:t>
      </w:r>
      <w:r w:rsidR="0035763E">
        <w:rPr>
          <w:rFonts w:ascii="Times New Roman" w:hAnsi="Times New Roman" w:cs="Times New Roman"/>
          <w:bCs/>
        </w:rPr>
        <w:t xml:space="preserve"> the </w:t>
      </w:r>
      <w:r w:rsidR="00E864A6">
        <w:rPr>
          <w:rFonts w:ascii="Times New Roman" w:hAnsi="Times New Roman" w:cs="Times New Roman"/>
          <w:bCs/>
        </w:rPr>
        <w:t>significant</w:t>
      </w:r>
      <w:r w:rsidR="0035763E">
        <w:rPr>
          <w:rFonts w:ascii="Times New Roman" w:hAnsi="Times New Roman" w:cs="Times New Roman"/>
          <w:bCs/>
        </w:rPr>
        <w:t xml:space="preserve"> range in performance between different developments at present means that </w:t>
      </w:r>
      <w:r w:rsidR="00E864A6">
        <w:rPr>
          <w:rFonts w:ascii="Times New Roman" w:hAnsi="Times New Roman" w:cs="Times New Roman"/>
          <w:bCs/>
        </w:rPr>
        <w:t>the impact of such a policy will vary considerably between developers</w:t>
      </w:r>
      <w:r w:rsidR="00184EA1">
        <w:rPr>
          <w:rFonts w:ascii="Times New Roman" w:hAnsi="Times New Roman" w:cs="Times New Roman"/>
          <w:bCs/>
        </w:rPr>
        <w:t xml:space="preserve"> and makes it difficult to accurately cost the impact of such policies. </w:t>
      </w:r>
      <w:r w:rsidR="004E7371">
        <w:rPr>
          <w:rFonts w:ascii="Times New Roman" w:hAnsi="Times New Roman" w:cs="Times New Roman"/>
          <w:bCs/>
        </w:rPr>
        <w:t xml:space="preserve">For </w:t>
      </w:r>
      <w:r w:rsidR="007D4DD9">
        <w:rPr>
          <w:rFonts w:ascii="Times New Roman" w:hAnsi="Times New Roman" w:cs="Times New Roman"/>
          <w:bCs/>
        </w:rPr>
        <w:t>example,</w:t>
      </w:r>
      <w:r w:rsidR="004E7371">
        <w:rPr>
          <w:rFonts w:ascii="Times New Roman" w:hAnsi="Times New Roman" w:cs="Times New Roman"/>
          <w:bCs/>
        </w:rPr>
        <w:t xml:space="preserve"> the impact may be considerable on small developers who</w:t>
      </w:r>
      <w:r w:rsidR="007D4DD9">
        <w:rPr>
          <w:rFonts w:ascii="Times New Roman" w:hAnsi="Times New Roman" w:cs="Times New Roman"/>
          <w:bCs/>
        </w:rPr>
        <w:t xml:space="preserve">se supply chain must change and who do not benefit from the economies of scale of larger developers. However, </w:t>
      </w:r>
      <w:r w:rsidR="002309D8">
        <w:rPr>
          <w:rFonts w:ascii="Times New Roman" w:hAnsi="Times New Roman" w:cs="Times New Roman"/>
          <w:bCs/>
        </w:rPr>
        <w:t xml:space="preserve">all developers are likely to suffer from </w:t>
      </w:r>
      <w:r w:rsidR="0025395F">
        <w:rPr>
          <w:rFonts w:ascii="Times New Roman" w:hAnsi="Times New Roman" w:cs="Times New Roman"/>
          <w:bCs/>
        </w:rPr>
        <w:t>issue with regard to the supply chain</w:t>
      </w:r>
      <w:r w:rsidR="001B45BF">
        <w:rPr>
          <w:rFonts w:ascii="Times New Roman" w:hAnsi="Times New Roman" w:cs="Times New Roman"/>
          <w:bCs/>
        </w:rPr>
        <w:t xml:space="preserve"> for lower carbon products. While low a carbon alternatives are available without a national standard </w:t>
      </w:r>
      <w:r w:rsidR="00CD3B27">
        <w:rPr>
          <w:rFonts w:ascii="Times New Roman" w:hAnsi="Times New Roman" w:cs="Times New Roman"/>
          <w:bCs/>
        </w:rPr>
        <w:t xml:space="preserve">driving demand for these products supply may not be </w:t>
      </w:r>
      <w:r w:rsidR="005608BA">
        <w:rPr>
          <w:rFonts w:ascii="Times New Roman" w:hAnsi="Times New Roman" w:cs="Times New Roman"/>
          <w:bCs/>
        </w:rPr>
        <w:t>readily</w:t>
      </w:r>
      <w:r w:rsidR="00CD3B27">
        <w:rPr>
          <w:rFonts w:ascii="Times New Roman" w:hAnsi="Times New Roman" w:cs="Times New Roman"/>
          <w:bCs/>
        </w:rPr>
        <w:t xml:space="preserve"> </w:t>
      </w:r>
      <w:r w:rsidR="005608BA">
        <w:rPr>
          <w:rFonts w:ascii="Times New Roman" w:hAnsi="Times New Roman" w:cs="Times New Roman"/>
          <w:bCs/>
        </w:rPr>
        <w:t>available</w:t>
      </w:r>
      <w:r w:rsidR="00CD3B27">
        <w:rPr>
          <w:rFonts w:ascii="Times New Roman" w:hAnsi="Times New Roman" w:cs="Times New Roman"/>
          <w:bCs/>
        </w:rPr>
        <w:t xml:space="preserve"> and will be more expensive than other products. Over time as demand increases the cost may come down but </w:t>
      </w:r>
      <w:r w:rsidR="005608BA">
        <w:rPr>
          <w:rFonts w:ascii="Times New Roman" w:hAnsi="Times New Roman" w:cs="Times New Roman"/>
          <w:bCs/>
        </w:rPr>
        <w:t>it will mean in the short and medium term the cost of building new homes in Milton Keynes will be higher</w:t>
      </w:r>
      <w:r w:rsidR="00340DEA">
        <w:rPr>
          <w:rFonts w:ascii="Times New Roman" w:hAnsi="Times New Roman" w:cs="Times New Roman"/>
          <w:bCs/>
        </w:rPr>
        <w:t xml:space="preserve"> and a shortage of lower carbon alternatives may also slow down delivery. </w:t>
      </w:r>
    </w:p>
    <w:p w14:paraId="2EC03317" w14:textId="7C3A0D8F" w:rsidR="00FC51B4" w:rsidRDefault="00FC51B4"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Som</w:t>
      </w:r>
      <w:r w:rsidR="00926E15">
        <w:rPr>
          <w:rFonts w:ascii="Times New Roman" w:hAnsi="Times New Roman" w:cs="Times New Roman"/>
          <w:bCs/>
        </w:rPr>
        <w:t>e</w:t>
      </w:r>
      <w:r>
        <w:rPr>
          <w:rFonts w:ascii="Times New Roman" w:hAnsi="Times New Roman" w:cs="Times New Roman"/>
          <w:bCs/>
        </w:rPr>
        <w:t xml:space="preserve"> flexibility is offered in part D </w:t>
      </w:r>
      <w:r w:rsidR="00D940F8">
        <w:rPr>
          <w:rFonts w:ascii="Times New Roman" w:hAnsi="Times New Roman" w:cs="Times New Roman"/>
          <w:bCs/>
        </w:rPr>
        <w:t xml:space="preserve">which states that where it can be shown that the proposed standard cannot be met due to </w:t>
      </w:r>
      <w:r w:rsidR="00880E44">
        <w:rPr>
          <w:rFonts w:ascii="Times New Roman" w:hAnsi="Times New Roman" w:cs="Times New Roman"/>
          <w:bCs/>
        </w:rPr>
        <w:t>viability</w:t>
      </w:r>
      <w:r w:rsidR="00D940F8">
        <w:rPr>
          <w:rFonts w:ascii="Times New Roman" w:hAnsi="Times New Roman" w:cs="Times New Roman"/>
          <w:bCs/>
        </w:rPr>
        <w:t xml:space="preserve"> then </w:t>
      </w:r>
      <w:r w:rsidR="00880E44">
        <w:rPr>
          <w:rFonts w:ascii="Times New Roman" w:hAnsi="Times New Roman" w:cs="Times New Roman"/>
          <w:bCs/>
        </w:rPr>
        <w:t xml:space="preserve">an offset payment can be made. The VSR has </w:t>
      </w:r>
      <w:r w:rsidR="00BF2C0C">
        <w:rPr>
          <w:rFonts w:ascii="Times New Roman" w:hAnsi="Times New Roman" w:cs="Times New Roman"/>
          <w:bCs/>
        </w:rPr>
        <w:t>included</w:t>
      </w:r>
      <w:r w:rsidR="00880E44">
        <w:rPr>
          <w:rFonts w:ascii="Times New Roman" w:hAnsi="Times New Roman" w:cs="Times New Roman"/>
          <w:bCs/>
        </w:rPr>
        <w:t xml:space="preserve"> an assumption of £500</w:t>
      </w:r>
      <w:r w:rsidR="00632817">
        <w:rPr>
          <w:rFonts w:ascii="Times New Roman" w:hAnsi="Times New Roman" w:cs="Times New Roman"/>
          <w:bCs/>
        </w:rPr>
        <w:t xml:space="preserve">, however the expectation that offsetting will not be required. </w:t>
      </w:r>
      <w:r w:rsidR="00023F3A">
        <w:rPr>
          <w:rFonts w:ascii="Times New Roman" w:hAnsi="Times New Roman" w:cs="Times New Roman"/>
          <w:bCs/>
        </w:rPr>
        <w:t>It is not clear where the assumption that development in Milton Keynes can achieve the proposed requirements</w:t>
      </w:r>
      <w:r w:rsidR="00926E15">
        <w:rPr>
          <w:rFonts w:ascii="Times New Roman" w:hAnsi="Times New Roman" w:cs="Times New Roman"/>
          <w:bCs/>
        </w:rPr>
        <w:t xml:space="preserve"> relating to whole life carbon</w:t>
      </w:r>
      <w:r w:rsidR="00023F3A">
        <w:rPr>
          <w:rFonts w:ascii="Times New Roman" w:hAnsi="Times New Roman" w:cs="Times New Roman"/>
          <w:bCs/>
        </w:rPr>
        <w:t xml:space="preserve">. As set out above there </w:t>
      </w:r>
      <w:r w:rsidR="004C0FCD">
        <w:rPr>
          <w:rFonts w:ascii="Times New Roman" w:hAnsi="Times New Roman" w:cs="Times New Roman"/>
          <w:bCs/>
        </w:rPr>
        <w:t xml:space="preserve">is no benchmarking as to embodied carbon and whole life carbon in Milton Keynes </w:t>
      </w:r>
      <w:r w:rsidR="00926E15">
        <w:rPr>
          <w:rFonts w:ascii="Times New Roman" w:hAnsi="Times New Roman" w:cs="Times New Roman"/>
          <w:bCs/>
        </w:rPr>
        <w:t xml:space="preserve">and no specific evidence as to </w:t>
      </w:r>
      <w:r w:rsidR="00290F94">
        <w:rPr>
          <w:rFonts w:ascii="Times New Roman" w:hAnsi="Times New Roman" w:cs="Times New Roman"/>
          <w:bCs/>
        </w:rPr>
        <w:t>how</w:t>
      </w:r>
      <w:r w:rsidR="00926E15">
        <w:rPr>
          <w:rFonts w:ascii="Times New Roman" w:hAnsi="Times New Roman" w:cs="Times New Roman"/>
          <w:bCs/>
        </w:rPr>
        <w:t xml:space="preserve"> much it would cost to achieve</w:t>
      </w:r>
      <w:r w:rsidR="00290F94">
        <w:rPr>
          <w:rFonts w:ascii="Times New Roman" w:hAnsi="Times New Roman" w:cs="Times New Roman"/>
          <w:bCs/>
        </w:rPr>
        <w:t xml:space="preserve"> and therefore no understanding of the level of offsetting that might be required</w:t>
      </w:r>
      <w:r w:rsidR="00D20518">
        <w:rPr>
          <w:rFonts w:ascii="Times New Roman" w:hAnsi="Times New Roman" w:cs="Times New Roman"/>
          <w:bCs/>
        </w:rPr>
        <w:t xml:space="preserve">. On the basis that the Council </w:t>
      </w:r>
      <w:r w:rsidR="00290F94">
        <w:rPr>
          <w:rFonts w:ascii="Times New Roman" w:hAnsi="Times New Roman" w:cs="Times New Roman"/>
          <w:bCs/>
        </w:rPr>
        <w:t>expects</w:t>
      </w:r>
      <w:r w:rsidR="00D20518">
        <w:rPr>
          <w:rFonts w:ascii="Times New Roman" w:hAnsi="Times New Roman" w:cs="Times New Roman"/>
          <w:bCs/>
        </w:rPr>
        <w:t xml:space="preserve"> the cost to be £7,350 per tonne of CO</w:t>
      </w:r>
      <w:r w:rsidR="00D20518" w:rsidRPr="00D20518">
        <w:rPr>
          <w:rFonts w:ascii="Times New Roman" w:hAnsi="Times New Roman" w:cs="Times New Roman"/>
          <w:bCs/>
          <w:vertAlign w:val="subscript"/>
        </w:rPr>
        <w:t>2</w:t>
      </w:r>
      <w:r w:rsidR="00D20518">
        <w:rPr>
          <w:rFonts w:ascii="Times New Roman" w:hAnsi="Times New Roman" w:cs="Times New Roman"/>
          <w:bCs/>
        </w:rPr>
        <w:t xml:space="preserve"> th</w:t>
      </w:r>
      <w:r w:rsidR="00290F94">
        <w:rPr>
          <w:rFonts w:ascii="Times New Roman" w:hAnsi="Times New Roman" w:cs="Times New Roman"/>
          <w:bCs/>
        </w:rPr>
        <w:t>is could be</w:t>
      </w:r>
      <w:r w:rsidR="000353C2">
        <w:rPr>
          <w:rFonts w:ascii="Times New Roman" w:hAnsi="Times New Roman" w:cs="Times New Roman"/>
          <w:bCs/>
        </w:rPr>
        <w:t xml:space="preserve"> a</w:t>
      </w:r>
      <w:r w:rsidR="00290F94">
        <w:rPr>
          <w:rFonts w:ascii="Times New Roman" w:hAnsi="Times New Roman" w:cs="Times New Roman"/>
          <w:bCs/>
        </w:rPr>
        <w:t xml:space="preserve"> significant</w:t>
      </w:r>
      <w:r w:rsidR="000353C2">
        <w:rPr>
          <w:rFonts w:ascii="Times New Roman" w:hAnsi="Times New Roman" w:cs="Times New Roman"/>
          <w:bCs/>
        </w:rPr>
        <w:t xml:space="preserve"> cost over and above those already considered VSR</w:t>
      </w:r>
      <w:r w:rsidR="00290F94">
        <w:rPr>
          <w:rFonts w:ascii="Times New Roman" w:hAnsi="Times New Roman" w:cs="Times New Roman"/>
          <w:bCs/>
        </w:rPr>
        <w:t xml:space="preserve">. </w:t>
      </w:r>
    </w:p>
    <w:p w14:paraId="1F982A46" w14:textId="24290483" w:rsidR="00157332" w:rsidRDefault="0006193A"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To concluded w</w:t>
      </w:r>
      <w:r w:rsidR="00B50FB9">
        <w:rPr>
          <w:rFonts w:ascii="Times New Roman" w:hAnsi="Times New Roman" w:cs="Times New Roman"/>
          <w:bCs/>
        </w:rPr>
        <w:t xml:space="preserve">ithout more detailed evidence with regard to </w:t>
      </w:r>
      <w:r w:rsidR="00092914">
        <w:rPr>
          <w:rFonts w:ascii="Times New Roman" w:hAnsi="Times New Roman" w:cs="Times New Roman"/>
          <w:bCs/>
        </w:rPr>
        <w:t xml:space="preserve">the actual costs of meeting the proposed whole life carbon </w:t>
      </w:r>
      <w:r w:rsidR="00FB789D">
        <w:rPr>
          <w:rFonts w:ascii="Times New Roman" w:hAnsi="Times New Roman" w:cs="Times New Roman"/>
          <w:bCs/>
        </w:rPr>
        <w:t>standard,</w:t>
      </w:r>
      <w:r w:rsidR="00092914">
        <w:rPr>
          <w:rFonts w:ascii="Times New Roman" w:hAnsi="Times New Roman" w:cs="Times New Roman"/>
          <w:bCs/>
        </w:rPr>
        <w:t xml:space="preserve"> </w:t>
      </w:r>
      <w:r w:rsidR="00FB789D">
        <w:rPr>
          <w:rFonts w:ascii="Times New Roman" w:hAnsi="Times New Roman" w:cs="Times New Roman"/>
          <w:bCs/>
        </w:rPr>
        <w:t>it cannot be considered to be justified and should be deleted</w:t>
      </w:r>
      <w:r w:rsidR="00B07729">
        <w:rPr>
          <w:rFonts w:ascii="Times New Roman" w:hAnsi="Times New Roman" w:cs="Times New Roman"/>
          <w:bCs/>
        </w:rPr>
        <w:t xml:space="preserve"> alongside the requirement for development to be net zero carbon. </w:t>
      </w:r>
    </w:p>
    <w:p w14:paraId="32F44B64" w14:textId="5B9F2B34" w:rsidR="00F70C26" w:rsidRDefault="00D21F96" w:rsidP="00D21F96">
      <w:pPr>
        <w:widowControl/>
        <w:suppressAutoHyphens w:val="0"/>
        <w:autoSpaceDE/>
        <w:spacing w:after="240" w:line="360" w:lineRule="auto"/>
        <w:jc w:val="both"/>
        <w:rPr>
          <w:rFonts w:ascii="Times New Roman" w:hAnsi="Times New Roman" w:cs="Times New Roman"/>
          <w:b/>
        </w:rPr>
      </w:pPr>
      <w:r w:rsidRPr="00F70C26">
        <w:rPr>
          <w:rFonts w:ascii="Times New Roman" w:hAnsi="Times New Roman" w:cs="Times New Roman"/>
          <w:b/>
        </w:rPr>
        <w:t xml:space="preserve">CEA2 </w:t>
      </w:r>
      <w:r w:rsidR="00F70C26">
        <w:rPr>
          <w:rFonts w:ascii="Times New Roman" w:hAnsi="Times New Roman" w:cs="Times New Roman"/>
          <w:b/>
        </w:rPr>
        <w:t>–</w:t>
      </w:r>
      <w:r w:rsidRPr="00F70C26">
        <w:rPr>
          <w:rFonts w:ascii="Times New Roman" w:hAnsi="Times New Roman" w:cs="Times New Roman"/>
          <w:b/>
        </w:rPr>
        <w:t xml:space="preserve"> </w:t>
      </w:r>
      <w:r w:rsidR="00872DDD">
        <w:rPr>
          <w:rFonts w:ascii="Times New Roman" w:hAnsi="Times New Roman" w:cs="Times New Roman"/>
          <w:b/>
        </w:rPr>
        <w:t>Green roofs and walls</w:t>
      </w:r>
    </w:p>
    <w:p w14:paraId="6AFFC10A" w14:textId="514FF431" w:rsidR="0020147D" w:rsidRPr="0020147D" w:rsidRDefault="0020147D" w:rsidP="00D21F96">
      <w:pPr>
        <w:widowControl/>
        <w:suppressAutoHyphens w:val="0"/>
        <w:autoSpaceDE/>
        <w:spacing w:after="240" w:line="360" w:lineRule="auto"/>
        <w:jc w:val="both"/>
        <w:rPr>
          <w:rFonts w:ascii="Times New Roman" w:hAnsi="Times New Roman" w:cs="Times New Roman"/>
          <w:bCs/>
          <w:u w:val="single"/>
        </w:rPr>
      </w:pPr>
      <w:r w:rsidRPr="0020147D">
        <w:rPr>
          <w:rFonts w:ascii="Times New Roman" w:hAnsi="Times New Roman" w:cs="Times New Roman"/>
          <w:bCs/>
          <w:u w:val="single"/>
        </w:rPr>
        <w:t>The policy is unsound as it is unjustified.</w:t>
      </w:r>
    </w:p>
    <w:p w14:paraId="225829F7" w14:textId="028296CD" w:rsidR="003C2963" w:rsidRPr="00234A92" w:rsidRDefault="00225ACA" w:rsidP="00D63EFB">
      <w:pPr>
        <w:widowControl/>
        <w:suppressAutoHyphens w:val="0"/>
        <w:autoSpaceDE/>
        <w:spacing w:after="240" w:line="360" w:lineRule="auto"/>
        <w:jc w:val="both"/>
        <w:rPr>
          <w:rFonts w:ascii="Times New Roman" w:hAnsi="Times New Roman" w:cs="Times New Roman"/>
          <w:bCs/>
          <w:lang w:val="en-GB"/>
        </w:rPr>
      </w:pPr>
      <w:r>
        <w:rPr>
          <w:rFonts w:ascii="Times New Roman" w:hAnsi="Times New Roman" w:cs="Times New Roman"/>
          <w:bCs/>
        </w:rPr>
        <w:t xml:space="preserve">CEA2 </w:t>
      </w:r>
      <w:r w:rsidR="004159A4">
        <w:rPr>
          <w:rFonts w:ascii="Times New Roman" w:hAnsi="Times New Roman" w:cs="Times New Roman"/>
          <w:bCs/>
        </w:rPr>
        <w:t>states that w</w:t>
      </w:r>
      <w:r w:rsidR="00D21F96" w:rsidRPr="00F70C26">
        <w:rPr>
          <w:rFonts w:ascii="Times New Roman" w:hAnsi="Times New Roman" w:cs="Times New Roman"/>
          <w:bCs/>
        </w:rPr>
        <w:t xml:space="preserve">here feasible green roofs </w:t>
      </w:r>
      <w:r w:rsidR="00043054">
        <w:rPr>
          <w:rFonts w:ascii="Times New Roman" w:hAnsi="Times New Roman" w:cs="Times New Roman"/>
          <w:bCs/>
        </w:rPr>
        <w:t xml:space="preserve">should be provided </w:t>
      </w:r>
      <w:r w:rsidR="00D21F96" w:rsidRPr="00F70C26">
        <w:rPr>
          <w:rFonts w:ascii="Times New Roman" w:hAnsi="Times New Roman" w:cs="Times New Roman"/>
          <w:bCs/>
        </w:rPr>
        <w:t>on apartment</w:t>
      </w:r>
      <w:r w:rsidR="00043054">
        <w:rPr>
          <w:rFonts w:ascii="Times New Roman" w:hAnsi="Times New Roman" w:cs="Times New Roman"/>
          <w:bCs/>
        </w:rPr>
        <w:t xml:space="preserve"> and </w:t>
      </w:r>
      <w:r w:rsidR="00AF581E">
        <w:rPr>
          <w:rFonts w:ascii="Times New Roman" w:hAnsi="Times New Roman" w:cs="Times New Roman"/>
          <w:bCs/>
        </w:rPr>
        <w:t>dwellings</w:t>
      </w:r>
      <w:r w:rsidR="00043054">
        <w:rPr>
          <w:rFonts w:ascii="Times New Roman" w:hAnsi="Times New Roman" w:cs="Times New Roman"/>
          <w:bCs/>
        </w:rPr>
        <w:t xml:space="preserve"> with </w:t>
      </w:r>
      <w:r w:rsidR="00AF581E">
        <w:rPr>
          <w:rFonts w:ascii="Times New Roman" w:hAnsi="Times New Roman" w:cs="Times New Roman"/>
          <w:bCs/>
        </w:rPr>
        <w:t>flat</w:t>
      </w:r>
      <w:r w:rsidR="00043054">
        <w:rPr>
          <w:rFonts w:ascii="Times New Roman" w:hAnsi="Times New Roman" w:cs="Times New Roman"/>
          <w:bCs/>
        </w:rPr>
        <w:t xml:space="preserve"> </w:t>
      </w:r>
      <w:r w:rsidR="00AF581E">
        <w:rPr>
          <w:rFonts w:ascii="Times New Roman" w:hAnsi="Times New Roman" w:cs="Times New Roman"/>
          <w:bCs/>
        </w:rPr>
        <w:t>roofs</w:t>
      </w:r>
      <w:r w:rsidR="00043054">
        <w:rPr>
          <w:rFonts w:ascii="Times New Roman" w:hAnsi="Times New Roman" w:cs="Times New Roman"/>
          <w:bCs/>
        </w:rPr>
        <w:t xml:space="preserve"> or </w:t>
      </w:r>
      <w:r w:rsidR="00AF581E">
        <w:rPr>
          <w:rFonts w:ascii="Times New Roman" w:hAnsi="Times New Roman" w:cs="Times New Roman"/>
          <w:bCs/>
        </w:rPr>
        <w:t xml:space="preserve">gentle roof pitches. </w:t>
      </w:r>
      <w:r w:rsidR="004B2DB5">
        <w:rPr>
          <w:rFonts w:ascii="Times New Roman" w:hAnsi="Times New Roman" w:cs="Times New Roman"/>
          <w:bCs/>
        </w:rPr>
        <w:t xml:space="preserve">While the delivery of green roofs is becoming more common on some buildings there is still a </w:t>
      </w:r>
      <w:r w:rsidR="0024160B">
        <w:rPr>
          <w:rFonts w:ascii="Times New Roman" w:hAnsi="Times New Roman" w:cs="Times New Roman"/>
          <w:bCs/>
        </w:rPr>
        <w:t>significant</w:t>
      </w:r>
      <w:r w:rsidR="004B2DB5">
        <w:rPr>
          <w:rFonts w:ascii="Times New Roman" w:hAnsi="Times New Roman" w:cs="Times New Roman"/>
          <w:bCs/>
        </w:rPr>
        <w:t xml:space="preserve"> way to go before there is wider public acceptance</w:t>
      </w:r>
      <w:r w:rsidR="000771EA">
        <w:rPr>
          <w:rFonts w:ascii="Times New Roman" w:hAnsi="Times New Roman" w:cs="Times New Roman"/>
          <w:bCs/>
        </w:rPr>
        <w:t>.</w:t>
      </w:r>
      <w:r w:rsidR="004B2DB5">
        <w:rPr>
          <w:rFonts w:ascii="Times New Roman" w:hAnsi="Times New Roman" w:cs="Times New Roman"/>
          <w:bCs/>
        </w:rPr>
        <w:t xml:space="preserve"> </w:t>
      </w:r>
      <w:r w:rsidR="00436717">
        <w:rPr>
          <w:rFonts w:ascii="Times New Roman" w:hAnsi="Times New Roman" w:cs="Times New Roman"/>
          <w:bCs/>
        </w:rPr>
        <w:t xml:space="preserve">The </w:t>
      </w:r>
      <w:r w:rsidR="00525F29">
        <w:rPr>
          <w:rFonts w:ascii="Times New Roman" w:hAnsi="Times New Roman" w:cs="Times New Roman"/>
          <w:bCs/>
        </w:rPr>
        <w:t>Council</w:t>
      </w:r>
      <w:r w:rsidR="00436717">
        <w:rPr>
          <w:rFonts w:ascii="Times New Roman" w:hAnsi="Times New Roman" w:cs="Times New Roman"/>
          <w:bCs/>
        </w:rPr>
        <w:t xml:space="preserve"> note some of the problems with </w:t>
      </w:r>
      <w:r w:rsidR="00D43CD3">
        <w:rPr>
          <w:rFonts w:ascii="Times New Roman" w:hAnsi="Times New Roman" w:cs="Times New Roman"/>
          <w:bCs/>
        </w:rPr>
        <w:t>regard to</w:t>
      </w:r>
      <w:r w:rsidR="00436717">
        <w:rPr>
          <w:rFonts w:ascii="Times New Roman" w:hAnsi="Times New Roman" w:cs="Times New Roman"/>
          <w:bCs/>
        </w:rPr>
        <w:t xml:space="preserve"> providing green roofs in</w:t>
      </w:r>
      <w:r w:rsidR="00D43CD3">
        <w:rPr>
          <w:rFonts w:ascii="Times New Roman" w:hAnsi="Times New Roman" w:cs="Times New Roman"/>
          <w:bCs/>
        </w:rPr>
        <w:t xml:space="preserve"> paragraph 294, </w:t>
      </w:r>
      <w:r w:rsidR="00525F29">
        <w:rPr>
          <w:rFonts w:ascii="Times New Roman" w:hAnsi="Times New Roman" w:cs="Times New Roman"/>
          <w:bCs/>
        </w:rPr>
        <w:t>including</w:t>
      </w:r>
      <w:r w:rsidR="00565535">
        <w:rPr>
          <w:rFonts w:ascii="Times New Roman" w:hAnsi="Times New Roman" w:cs="Times New Roman"/>
          <w:bCs/>
        </w:rPr>
        <w:t xml:space="preserve"> </w:t>
      </w:r>
      <w:r w:rsidR="00D43CD3">
        <w:rPr>
          <w:rFonts w:ascii="Times New Roman" w:hAnsi="Times New Roman" w:cs="Times New Roman"/>
          <w:bCs/>
        </w:rPr>
        <w:t xml:space="preserve">how such roofs </w:t>
      </w:r>
      <w:r w:rsidR="00565535">
        <w:rPr>
          <w:rFonts w:ascii="Times New Roman" w:hAnsi="Times New Roman" w:cs="Times New Roman"/>
          <w:bCs/>
        </w:rPr>
        <w:t xml:space="preserve">will interact with </w:t>
      </w:r>
      <w:r w:rsidR="00964755">
        <w:rPr>
          <w:rFonts w:ascii="Times New Roman" w:hAnsi="Times New Roman" w:cs="Times New Roman"/>
          <w:bCs/>
        </w:rPr>
        <w:t>the provision of</w:t>
      </w:r>
      <w:r w:rsidR="00565535">
        <w:rPr>
          <w:rFonts w:ascii="Times New Roman" w:hAnsi="Times New Roman" w:cs="Times New Roman"/>
          <w:bCs/>
        </w:rPr>
        <w:t xml:space="preserve"> solar panels</w:t>
      </w:r>
      <w:r w:rsidR="00964755">
        <w:rPr>
          <w:rFonts w:ascii="Times New Roman" w:hAnsi="Times New Roman" w:cs="Times New Roman"/>
          <w:bCs/>
        </w:rPr>
        <w:t>,</w:t>
      </w:r>
      <w:r w:rsidR="00565535">
        <w:rPr>
          <w:rFonts w:ascii="Times New Roman" w:hAnsi="Times New Roman" w:cs="Times New Roman"/>
          <w:bCs/>
        </w:rPr>
        <w:t xml:space="preserve"> which the Government</w:t>
      </w:r>
      <w:r w:rsidR="00964755">
        <w:rPr>
          <w:rFonts w:ascii="Times New Roman" w:hAnsi="Times New Roman" w:cs="Times New Roman"/>
          <w:bCs/>
        </w:rPr>
        <w:t xml:space="preserve"> </w:t>
      </w:r>
      <w:r w:rsidR="00565535">
        <w:rPr>
          <w:rFonts w:ascii="Times New Roman" w:hAnsi="Times New Roman" w:cs="Times New Roman"/>
          <w:bCs/>
        </w:rPr>
        <w:t xml:space="preserve">have </w:t>
      </w:r>
      <w:r w:rsidR="00964755">
        <w:rPr>
          <w:rFonts w:ascii="Times New Roman" w:hAnsi="Times New Roman" w:cs="Times New Roman"/>
          <w:bCs/>
        </w:rPr>
        <w:t>confirmed</w:t>
      </w:r>
      <w:r w:rsidR="00565535">
        <w:rPr>
          <w:rFonts w:ascii="Times New Roman" w:hAnsi="Times New Roman" w:cs="Times New Roman"/>
          <w:bCs/>
        </w:rPr>
        <w:t xml:space="preserve"> </w:t>
      </w:r>
      <w:r w:rsidR="00964755">
        <w:rPr>
          <w:rFonts w:ascii="Times New Roman" w:hAnsi="Times New Roman" w:cs="Times New Roman"/>
          <w:bCs/>
        </w:rPr>
        <w:t>will</w:t>
      </w:r>
      <w:r w:rsidR="00565535">
        <w:rPr>
          <w:rFonts w:ascii="Times New Roman" w:hAnsi="Times New Roman" w:cs="Times New Roman"/>
          <w:bCs/>
        </w:rPr>
        <w:t xml:space="preserve"> be a </w:t>
      </w:r>
      <w:r w:rsidR="00964755">
        <w:rPr>
          <w:rFonts w:ascii="Times New Roman" w:hAnsi="Times New Roman" w:cs="Times New Roman"/>
          <w:bCs/>
        </w:rPr>
        <w:t>requirement</w:t>
      </w:r>
      <w:r w:rsidR="00565535">
        <w:rPr>
          <w:rFonts w:ascii="Times New Roman" w:hAnsi="Times New Roman" w:cs="Times New Roman"/>
          <w:bCs/>
        </w:rPr>
        <w:t xml:space="preserve"> of </w:t>
      </w:r>
      <w:r w:rsidR="00964755">
        <w:rPr>
          <w:rFonts w:ascii="Times New Roman" w:hAnsi="Times New Roman" w:cs="Times New Roman"/>
          <w:bCs/>
        </w:rPr>
        <w:t>the Future Homes Standard</w:t>
      </w:r>
      <w:r w:rsidR="00871664">
        <w:rPr>
          <w:rFonts w:ascii="Times New Roman" w:hAnsi="Times New Roman" w:cs="Times New Roman"/>
          <w:bCs/>
        </w:rPr>
        <w:t xml:space="preserve">, and the </w:t>
      </w:r>
      <w:r w:rsidR="005B4C7B">
        <w:rPr>
          <w:rFonts w:ascii="Times New Roman" w:hAnsi="Times New Roman" w:cs="Times New Roman"/>
          <w:bCs/>
        </w:rPr>
        <w:t>difficulties</w:t>
      </w:r>
      <w:r w:rsidR="00871664">
        <w:rPr>
          <w:rFonts w:ascii="Times New Roman" w:hAnsi="Times New Roman" w:cs="Times New Roman"/>
          <w:bCs/>
        </w:rPr>
        <w:t xml:space="preserve"> in </w:t>
      </w:r>
      <w:r w:rsidR="005B4C7B">
        <w:rPr>
          <w:rFonts w:ascii="Times New Roman" w:hAnsi="Times New Roman" w:cs="Times New Roman"/>
          <w:bCs/>
        </w:rPr>
        <w:t xml:space="preserve">making solar panels compatible with green roofs. </w:t>
      </w:r>
      <w:r w:rsidR="00D43CD3">
        <w:rPr>
          <w:rFonts w:ascii="Times New Roman" w:hAnsi="Times New Roman" w:cs="Times New Roman"/>
          <w:bCs/>
        </w:rPr>
        <w:t xml:space="preserve">Given the difficulties presented by providing green roofs </w:t>
      </w:r>
      <w:r w:rsidR="007E7963">
        <w:rPr>
          <w:rFonts w:ascii="Times New Roman" w:hAnsi="Times New Roman" w:cs="Times New Roman"/>
          <w:bCs/>
        </w:rPr>
        <w:t xml:space="preserve">the policy as worded </w:t>
      </w:r>
      <w:r w:rsidR="00525F29">
        <w:rPr>
          <w:rFonts w:ascii="Times New Roman" w:hAnsi="Times New Roman" w:cs="Times New Roman"/>
          <w:bCs/>
        </w:rPr>
        <w:lastRenderedPageBreak/>
        <w:t>is to prescriptive. A more appropriate approach would be for the policy to</w:t>
      </w:r>
      <w:r w:rsidR="002D795F">
        <w:rPr>
          <w:rFonts w:ascii="Times New Roman" w:hAnsi="Times New Roman" w:cs="Times New Roman"/>
          <w:bCs/>
        </w:rPr>
        <w:t xml:space="preserve"> state that the provision of green roofs </w:t>
      </w:r>
      <w:r w:rsidR="00F669F0">
        <w:rPr>
          <w:rFonts w:ascii="Times New Roman" w:hAnsi="Times New Roman" w:cs="Times New Roman"/>
          <w:bCs/>
        </w:rPr>
        <w:t xml:space="preserve">in appropriate situations will be encouraged and be viewed favorably in the decision making process. </w:t>
      </w:r>
    </w:p>
    <w:p w14:paraId="3432EC1C" w14:textId="273A542F" w:rsidR="00D21F96" w:rsidRDefault="00D21F96" w:rsidP="00D21F96">
      <w:pPr>
        <w:widowControl/>
        <w:suppressAutoHyphens w:val="0"/>
        <w:autoSpaceDE/>
        <w:spacing w:after="240" w:line="360" w:lineRule="auto"/>
        <w:jc w:val="both"/>
        <w:rPr>
          <w:rFonts w:ascii="Times New Roman" w:hAnsi="Times New Roman" w:cs="Times New Roman"/>
          <w:b/>
        </w:rPr>
      </w:pPr>
      <w:r w:rsidRPr="0062113A">
        <w:rPr>
          <w:rFonts w:ascii="Times New Roman" w:hAnsi="Times New Roman" w:cs="Times New Roman"/>
          <w:b/>
        </w:rPr>
        <w:t xml:space="preserve">CEA5 - </w:t>
      </w:r>
      <w:r w:rsidR="007C5516">
        <w:rPr>
          <w:rFonts w:ascii="Times New Roman" w:hAnsi="Times New Roman" w:cs="Times New Roman"/>
          <w:b/>
        </w:rPr>
        <w:t>W</w:t>
      </w:r>
      <w:r w:rsidRPr="0062113A">
        <w:rPr>
          <w:rFonts w:ascii="Times New Roman" w:hAnsi="Times New Roman" w:cs="Times New Roman"/>
          <w:b/>
        </w:rPr>
        <w:t>ater efficiencies</w:t>
      </w:r>
    </w:p>
    <w:p w14:paraId="78C54067" w14:textId="0BB862FC" w:rsidR="000E7A69" w:rsidRPr="000E7A69" w:rsidRDefault="000E7A69" w:rsidP="00D21F96">
      <w:pPr>
        <w:widowControl/>
        <w:suppressAutoHyphens w:val="0"/>
        <w:autoSpaceDE/>
        <w:spacing w:after="240" w:line="360" w:lineRule="auto"/>
        <w:jc w:val="both"/>
        <w:rPr>
          <w:rFonts w:ascii="Times New Roman" w:hAnsi="Times New Roman" w:cs="Times New Roman"/>
          <w:bCs/>
          <w:u w:val="single"/>
        </w:rPr>
      </w:pPr>
      <w:r w:rsidRPr="000E7A69">
        <w:rPr>
          <w:rFonts w:ascii="Times New Roman" w:hAnsi="Times New Roman" w:cs="Times New Roman"/>
          <w:bCs/>
          <w:u w:val="single"/>
        </w:rPr>
        <w:t>This policy is unsound as it is not consistent with nation policy and is unjustified.</w:t>
      </w:r>
    </w:p>
    <w:p w14:paraId="1F8F1F01" w14:textId="69F12E88" w:rsidR="000E7A69" w:rsidRDefault="000E7A69" w:rsidP="00D63EFB">
      <w:pPr>
        <w:widowControl/>
        <w:suppressAutoHyphens w:val="0"/>
        <w:autoSpaceDE/>
        <w:spacing w:after="240" w:line="360" w:lineRule="auto"/>
        <w:jc w:val="both"/>
        <w:rPr>
          <w:rFonts w:ascii="Times New Roman" w:hAnsi="Times New Roman" w:cs="Times New Roman"/>
          <w:bCs/>
        </w:rPr>
      </w:pPr>
      <w:r w:rsidRPr="000E7A69">
        <w:rPr>
          <w:rFonts w:ascii="Times New Roman" w:hAnsi="Times New Roman" w:cs="Times New Roman"/>
          <w:bCs/>
        </w:rPr>
        <w:t>This policy requires development to reduce water use per day to 9</w:t>
      </w:r>
      <w:r>
        <w:rPr>
          <w:rFonts w:ascii="Times New Roman" w:hAnsi="Times New Roman" w:cs="Times New Roman"/>
          <w:bCs/>
        </w:rPr>
        <w:t>3</w:t>
      </w:r>
      <w:r w:rsidRPr="000E7A69">
        <w:rPr>
          <w:rFonts w:ascii="Times New Roman" w:hAnsi="Times New Roman" w:cs="Times New Roman"/>
          <w:bCs/>
        </w:rPr>
        <w:t xml:space="preserve"> litres per person per day (lppd). This is </w:t>
      </w:r>
      <w:r>
        <w:rPr>
          <w:rFonts w:ascii="Times New Roman" w:hAnsi="Times New Roman" w:cs="Times New Roman"/>
          <w:bCs/>
        </w:rPr>
        <w:t>18</w:t>
      </w:r>
      <w:r w:rsidRPr="000E7A69">
        <w:rPr>
          <w:rFonts w:ascii="Times New Roman" w:hAnsi="Times New Roman" w:cs="Times New Roman"/>
          <w:bCs/>
        </w:rPr>
        <w:t xml:space="preserve"> litres below the minimum optional standard allowed for by planning policy. HBF recognises that there is a need for all new development seek to reduce the amount of water that is used. However, this is most effectively achieved through the application of building regulations and the optional technical standards which are clear as to the level of reduction the Government considers to be necessary in a water stressed area. As there is an existing national standard for such areas then the only sound approach is to apply that standard – which remains 110 lppd. This may change, and our understanding is that the Government are looking at a lower standard for water stressed areas but, in the meantime, the only sound approach is to apply the optional technical standards.</w:t>
      </w:r>
    </w:p>
    <w:p w14:paraId="433FE896" w14:textId="137C5DAA" w:rsidR="00C752B6" w:rsidRDefault="007C5516"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It is also noted </w:t>
      </w:r>
      <w:r w:rsidR="00C03D14">
        <w:rPr>
          <w:rFonts w:ascii="Times New Roman" w:hAnsi="Times New Roman" w:cs="Times New Roman"/>
          <w:bCs/>
        </w:rPr>
        <w:t xml:space="preserve">in VAU </w:t>
      </w:r>
      <w:r>
        <w:rPr>
          <w:rFonts w:ascii="Times New Roman" w:hAnsi="Times New Roman" w:cs="Times New Roman"/>
          <w:bCs/>
        </w:rPr>
        <w:t xml:space="preserve">that the </w:t>
      </w:r>
      <w:r w:rsidR="00C752B6">
        <w:rPr>
          <w:rFonts w:ascii="Times New Roman" w:hAnsi="Times New Roman" w:cs="Times New Roman"/>
          <w:bCs/>
        </w:rPr>
        <w:t xml:space="preserve">Council </w:t>
      </w:r>
      <w:r w:rsidR="00DE0451">
        <w:rPr>
          <w:rFonts w:ascii="Times New Roman" w:hAnsi="Times New Roman" w:cs="Times New Roman"/>
          <w:bCs/>
        </w:rPr>
        <w:t>proposed that the cost of meeting this standard will be</w:t>
      </w:r>
      <w:r w:rsidR="00C752B6">
        <w:rPr>
          <w:rFonts w:ascii="Times New Roman" w:hAnsi="Times New Roman" w:cs="Times New Roman"/>
          <w:bCs/>
        </w:rPr>
        <w:t xml:space="preserve"> £350 per dwelling </w:t>
      </w:r>
      <w:r w:rsidR="00DE0451">
        <w:rPr>
          <w:rFonts w:ascii="Times New Roman" w:hAnsi="Times New Roman" w:cs="Times New Roman"/>
          <w:bCs/>
        </w:rPr>
        <w:t xml:space="preserve">based on evidence set out in the </w:t>
      </w:r>
      <w:r w:rsidR="007E071E" w:rsidRPr="007E071E">
        <w:rPr>
          <w:rFonts w:ascii="Times New Roman" w:hAnsi="Times New Roman" w:cs="Times New Roman"/>
          <w:bCs/>
        </w:rPr>
        <w:t>Water Ready – A report to inform HM Government’s roadmap for water efficient new homes</w:t>
      </w:r>
      <w:r w:rsidR="00C03D14">
        <w:rPr>
          <w:rFonts w:ascii="Times New Roman" w:hAnsi="Times New Roman" w:cs="Times New Roman"/>
          <w:bCs/>
        </w:rPr>
        <w:t xml:space="preserve"> produced by the Future Homes Hub</w:t>
      </w:r>
      <w:r w:rsidR="007E071E">
        <w:rPr>
          <w:rFonts w:ascii="Times New Roman" w:hAnsi="Times New Roman" w:cs="Times New Roman"/>
          <w:bCs/>
        </w:rPr>
        <w:t xml:space="preserve">. </w:t>
      </w:r>
      <w:r w:rsidR="00C03D14">
        <w:rPr>
          <w:rFonts w:ascii="Times New Roman" w:hAnsi="Times New Roman" w:cs="Times New Roman"/>
          <w:bCs/>
        </w:rPr>
        <w:t xml:space="preserve">However, </w:t>
      </w:r>
      <w:r w:rsidR="00012270">
        <w:rPr>
          <w:rFonts w:ascii="Times New Roman" w:hAnsi="Times New Roman" w:cs="Times New Roman"/>
          <w:bCs/>
        </w:rPr>
        <w:t xml:space="preserve">the </w:t>
      </w:r>
      <w:r w:rsidR="00C03D14">
        <w:rPr>
          <w:rFonts w:ascii="Times New Roman" w:hAnsi="Times New Roman" w:cs="Times New Roman"/>
          <w:bCs/>
        </w:rPr>
        <w:t xml:space="preserve">VAU notes </w:t>
      </w:r>
      <w:r w:rsidR="00C752B6">
        <w:rPr>
          <w:rFonts w:ascii="Times New Roman" w:hAnsi="Times New Roman" w:cs="Times New Roman"/>
          <w:bCs/>
        </w:rPr>
        <w:t xml:space="preserve">in paragraph </w:t>
      </w:r>
      <w:r w:rsidR="00D96A98">
        <w:rPr>
          <w:rFonts w:ascii="Times New Roman" w:hAnsi="Times New Roman" w:cs="Times New Roman"/>
          <w:bCs/>
        </w:rPr>
        <w:t xml:space="preserve">5.56 of </w:t>
      </w:r>
      <w:r w:rsidR="00110F43">
        <w:rPr>
          <w:rFonts w:ascii="Times New Roman" w:hAnsi="Times New Roman" w:cs="Times New Roman"/>
          <w:bCs/>
        </w:rPr>
        <w:t>achieving</w:t>
      </w:r>
      <w:r w:rsidR="00D96A98">
        <w:rPr>
          <w:rFonts w:ascii="Times New Roman" w:hAnsi="Times New Roman" w:cs="Times New Roman"/>
          <w:bCs/>
        </w:rPr>
        <w:t xml:space="preserve"> 90 </w:t>
      </w:r>
      <w:r w:rsidR="00110F43">
        <w:rPr>
          <w:rFonts w:ascii="Times New Roman" w:hAnsi="Times New Roman" w:cs="Times New Roman"/>
          <w:bCs/>
        </w:rPr>
        <w:t>lppd is between £1,000 and £3,000.</w:t>
      </w:r>
      <w:r w:rsidR="00C03D14">
        <w:rPr>
          <w:rFonts w:ascii="Times New Roman" w:hAnsi="Times New Roman" w:cs="Times New Roman"/>
          <w:bCs/>
        </w:rPr>
        <w:t xml:space="preserve"> It is not stated anywhere </w:t>
      </w:r>
      <w:r w:rsidR="00012270">
        <w:rPr>
          <w:rFonts w:ascii="Times New Roman" w:hAnsi="Times New Roman" w:cs="Times New Roman"/>
          <w:bCs/>
        </w:rPr>
        <w:t>why</w:t>
      </w:r>
      <w:r w:rsidR="00C03D14">
        <w:rPr>
          <w:rFonts w:ascii="Times New Roman" w:hAnsi="Times New Roman" w:cs="Times New Roman"/>
          <w:bCs/>
        </w:rPr>
        <w:t xml:space="preserve"> the Council consid</w:t>
      </w:r>
      <w:r w:rsidR="004B766A">
        <w:rPr>
          <w:rFonts w:ascii="Times New Roman" w:hAnsi="Times New Roman" w:cs="Times New Roman"/>
          <w:bCs/>
        </w:rPr>
        <w:t xml:space="preserve">ers </w:t>
      </w:r>
      <w:r w:rsidR="00012270">
        <w:rPr>
          <w:rFonts w:ascii="Times New Roman" w:hAnsi="Times New Roman" w:cs="Times New Roman"/>
          <w:bCs/>
        </w:rPr>
        <w:t>delivering</w:t>
      </w:r>
      <w:r w:rsidR="004B766A">
        <w:rPr>
          <w:rFonts w:ascii="Times New Roman" w:hAnsi="Times New Roman" w:cs="Times New Roman"/>
          <w:bCs/>
        </w:rPr>
        <w:t xml:space="preserve"> a 93 lppd </w:t>
      </w:r>
      <w:r w:rsidR="00012270">
        <w:rPr>
          <w:rFonts w:ascii="Times New Roman" w:hAnsi="Times New Roman" w:cs="Times New Roman"/>
          <w:bCs/>
        </w:rPr>
        <w:t>will</w:t>
      </w:r>
      <w:r w:rsidR="004B766A">
        <w:rPr>
          <w:rFonts w:ascii="Times New Roman" w:hAnsi="Times New Roman" w:cs="Times New Roman"/>
          <w:bCs/>
        </w:rPr>
        <w:t xml:space="preserve"> be closer in cost to 100 lppd. </w:t>
      </w:r>
      <w:r w:rsidR="00012270">
        <w:rPr>
          <w:rFonts w:ascii="Times New Roman" w:hAnsi="Times New Roman" w:cs="Times New Roman"/>
          <w:bCs/>
        </w:rPr>
        <w:t>Given</w:t>
      </w:r>
      <w:r w:rsidR="004B766A">
        <w:rPr>
          <w:rFonts w:ascii="Times New Roman" w:hAnsi="Times New Roman" w:cs="Times New Roman"/>
          <w:bCs/>
        </w:rPr>
        <w:t xml:space="preserve"> the </w:t>
      </w:r>
      <w:r w:rsidR="00012270">
        <w:rPr>
          <w:rFonts w:ascii="Times New Roman" w:hAnsi="Times New Roman" w:cs="Times New Roman"/>
          <w:bCs/>
        </w:rPr>
        <w:t>uncertainty</w:t>
      </w:r>
      <w:r w:rsidR="004B766A">
        <w:rPr>
          <w:rFonts w:ascii="Times New Roman" w:hAnsi="Times New Roman" w:cs="Times New Roman"/>
          <w:bCs/>
        </w:rPr>
        <w:t xml:space="preserve"> as to the cost of meeting higher standards</w:t>
      </w:r>
      <w:r w:rsidR="00012270">
        <w:rPr>
          <w:rFonts w:ascii="Times New Roman" w:hAnsi="Times New Roman" w:cs="Times New Roman"/>
          <w:bCs/>
        </w:rPr>
        <w:t xml:space="preserve"> the higher cost should have been used.</w:t>
      </w:r>
    </w:p>
    <w:p w14:paraId="2098CF82" w14:textId="0471DF45" w:rsidR="00D21F96" w:rsidRDefault="00D21F96" w:rsidP="00D21F96">
      <w:pPr>
        <w:widowControl/>
        <w:suppressAutoHyphens w:val="0"/>
        <w:autoSpaceDE/>
        <w:spacing w:after="240" w:line="360" w:lineRule="auto"/>
        <w:jc w:val="both"/>
        <w:rPr>
          <w:rFonts w:ascii="Times New Roman" w:hAnsi="Times New Roman" w:cs="Times New Roman"/>
          <w:b/>
        </w:rPr>
      </w:pPr>
      <w:r w:rsidRPr="00AA22AA">
        <w:rPr>
          <w:rFonts w:ascii="Times New Roman" w:hAnsi="Times New Roman" w:cs="Times New Roman"/>
          <w:b/>
        </w:rPr>
        <w:t>CEA6 - Low carbon energy</w:t>
      </w:r>
    </w:p>
    <w:p w14:paraId="30CDF9BB" w14:textId="65EE3981" w:rsidR="00914008" w:rsidRPr="00914008" w:rsidRDefault="00914008" w:rsidP="00D21F96">
      <w:pPr>
        <w:widowControl/>
        <w:suppressAutoHyphens w:val="0"/>
        <w:autoSpaceDE/>
        <w:spacing w:after="240" w:line="360" w:lineRule="auto"/>
        <w:jc w:val="both"/>
        <w:rPr>
          <w:rFonts w:ascii="Times New Roman" w:hAnsi="Times New Roman" w:cs="Times New Roman"/>
          <w:bCs/>
          <w:u w:val="single"/>
        </w:rPr>
      </w:pPr>
      <w:r w:rsidRPr="00914008">
        <w:rPr>
          <w:rFonts w:ascii="Times New Roman" w:hAnsi="Times New Roman" w:cs="Times New Roman"/>
          <w:bCs/>
          <w:u w:val="single"/>
        </w:rPr>
        <w:t>Policy is unsound as it is not effective.</w:t>
      </w:r>
    </w:p>
    <w:p w14:paraId="34D2B608" w14:textId="3B78EBE5" w:rsidR="00081ECC" w:rsidRPr="00730FFE" w:rsidRDefault="004160F1" w:rsidP="00D63EFB">
      <w:pPr>
        <w:widowControl/>
        <w:suppressAutoHyphens w:val="0"/>
        <w:autoSpaceDE/>
        <w:spacing w:after="240" w:line="360" w:lineRule="auto"/>
        <w:jc w:val="both"/>
        <w:rPr>
          <w:rFonts w:ascii="Times New Roman" w:hAnsi="Times New Roman" w:cs="Times New Roman"/>
          <w:bCs/>
          <w:lang w:val="en-GB"/>
        </w:rPr>
      </w:pPr>
      <w:r w:rsidRPr="007034AD">
        <w:rPr>
          <w:rFonts w:ascii="Times New Roman" w:hAnsi="Times New Roman" w:cs="Times New Roman"/>
          <w:bCs/>
        </w:rPr>
        <w:t xml:space="preserve">Part </w:t>
      </w:r>
      <w:r w:rsidR="005A24E0" w:rsidRPr="007034AD">
        <w:rPr>
          <w:rFonts w:ascii="Times New Roman" w:hAnsi="Times New Roman" w:cs="Times New Roman"/>
          <w:bCs/>
        </w:rPr>
        <w:t xml:space="preserve">C of the </w:t>
      </w:r>
      <w:r w:rsidR="007034AD" w:rsidRPr="007034AD">
        <w:rPr>
          <w:rFonts w:ascii="Times New Roman" w:hAnsi="Times New Roman" w:cs="Times New Roman"/>
          <w:bCs/>
        </w:rPr>
        <w:t>policy</w:t>
      </w:r>
      <w:r w:rsidR="005A24E0" w:rsidRPr="007034AD">
        <w:rPr>
          <w:rFonts w:ascii="Times New Roman" w:hAnsi="Times New Roman" w:cs="Times New Roman"/>
          <w:bCs/>
        </w:rPr>
        <w:t xml:space="preserve"> requires development to connect to an existing or </w:t>
      </w:r>
      <w:r w:rsidR="009B70EA" w:rsidRPr="007034AD">
        <w:rPr>
          <w:rFonts w:ascii="Times New Roman" w:hAnsi="Times New Roman" w:cs="Times New Roman"/>
          <w:bCs/>
        </w:rPr>
        <w:t>proposed heat and/or energy network unless it can be demonstrated that there i</w:t>
      </w:r>
      <w:r w:rsidR="007034AD" w:rsidRPr="007034AD">
        <w:rPr>
          <w:rFonts w:ascii="Times New Roman" w:hAnsi="Times New Roman" w:cs="Times New Roman"/>
          <w:bCs/>
        </w:rPr>
        <w:t>s</w:t>
      </w:r>
      <w:r w:rsidR="009B70EA" w:rsidRPr="007034AD">
        <w:rPr>
          <w:rFonts w:ascii="Times New Roman" w:hAnsi="Times New Roman" w:cs="Times New Roman"/>
          <w:bCs/>
        </w:rPr>
        <w:t xml:space="preserve"> a more effective </w:t>
      </w:r>
      <w:r w:rsidR="007034AD" w:rsidRPr="007034AD">
        <w:rPr>
          <w:rFonts w:ascii="Times New Roman" w:hAnsi="Times New Roman" w:cs="Times New Roman"/>
          <w:bCs/>
        </w:rPr>
        <w:t>alternative</w:t>
      </w:r>
      <w:r w:rsidR="009B70EA" w:rsidRPr="007034AD">
        <w:rPr>
          <w:rFonts w:ascii="Times New Roman" w:hAnsi="Times New Roman" w:cs="Times New Roman"/>
          <w:bCs/>
        </w:rPr>
        <w:t xml:space="preserve"> </w:t>
      </w:r>
      <w:r w:rsidR="007034AD" w:rsidRPr="007034AD">
        <w:rPr>
          <w:rFonts w:ascii="Times New Roman" w:hAnsi="Times New Roman" w:cs="Times New Roman"/>
          <w:bCs/>
        </w:rPr>
        <w:t xml:space="preserve">or it is unfeasible. </w:t>
      </w:r>
      <w:r w:rsidR="007034AD" w:rsidRPr="007034AD">
        <w:rPr>
          <w:rFonts w:ascii="Times New Roman" w:hAnsi="Times New Roman" w:cs="Times New Roman"/>
          <w:bCs/>
          <w:lang w:val="en-GB"/>
        </w:rPr>
        <w:t xml:space="preserve">The HBF considers that it is important that any </w:t>
      </w:r>
      <w:r w:rsidR="007034AD" w:rsidRPr="00D63EFB">
        <w:rPr>
          <w:rFonts w:ascii="Times New Roman" w:hAnsi="Times New Roman" w:cs="Times New Roman"/>
          <w:bCs/>
        </w:rPr>
        <w:t>policy</w:t>
      </w:r>
      <w:r w:rsidR="007034AD" w:rsidRPr="007034AD">
        <w:rPr>
          <w:rFonts w:ascii="Times New Roman" w:hAnsi="Times New Roman" w:cs="Times New Roman"/>
          <w:bCs/>
          <w:lang w:val="en-GB"/>
        </w:rPr>
        <w:t xml:space="preserve"> in relation to heat networks and cooling is not seen as a requirement and is instead implemented on a flexible basis</w:t>
      </w:r>
      <w:r w:rsidR="007034AD">
        <w:rPr>
          <w:rFonts w:ascii="Times New Roman" w:hAnsi="Times New Roman" w:cs="Times New Roman"/>
          <w:bCs/>
          <w:lang w:val="en-GB"/>
        </w:rPr>
        <w:t>.</w:t>
      </w:r>
      <w:r w:rsidR="0034357C">
        <w:rPr>
          <w:rFonts w:ascii="Times New Roman" w:hAnsi="Times New Roman" w:cs="Times New Roman"/>
          <w:bCs/>
          <w:lang w:val="en-GB"/>
        </w:rPr>
        <w:t xml:space="preserve"> While the policy</w:t>
      </w:r>
      <w:r w:rsidR="007034AD" w:rsidRPr="007034AD">
        <w:rPr>
          <w:rFonts w:ascii="Times New Roman" w:hAnsi="Times New Roman" w:cs="Times New Roman"/>
          <w:bCs/>
          <w:lang w:val="en-GB"/>
        </w:rPr>
        <w:t xml:space="preserve"> recognis</w:t>
      </w:r>
      <w:r w:rsidR="0034357C">
        <w:rPr>
          <w:rFonts w:ascii="Times New Roman" w:hAnsi="Times New Roman" w:cs="Times New Roman"/>
          <w:bCs/>
          <w:lang w:val="en-GB"/>
        </w:rPr>
        <w:t>es</w:t>
      </w:r>
      <w:r w:rsidR="007034AD" w:rsidRPr="007034AD">
        <w:rPr>
          <w:rFonts w:ascii="Times New Roman" w:hAnsi="Times New Roman" w:cs="Times New Roman"/>
          <w:bCs/>
          <w:lang w:val="en-GB"/>
        </w:rPr>
        <w:t xml:space="preserve"> that heat networks are one aspect of the path towards decarbonising heat, and that other technologies can also contribute</w:t>
      </w:r>
      <w:r w:rsidR="0034357C">
        <w:rPr>
          <w:rFonts w:ascii="Times New Roman" w:hAnsi="Times New Roman" w:cs="Times New Roman"/>
          <w:bCs/>
          <w:lang w:val="en-GB"/>
        </w:rPr>
        <w:t xml:space="preserve"> it </w:t>
      </w:r>
      <w:r w:rsidR="00C11EA1">
        <w:rPr>
          <w:rFonts w:ascii="Times New Roman" w:hAnsi="Times New Roman" w:cs="Times New Roman"/>
          <w:bCs/>
          <w:lang w:val="en-GB"/>
        </w:rPr>
        <w:t>prioritises heart networks over all</w:t>
      </w:r>
      <w:r w:rsidR="007034AD" w:rsidRPr="007034AD">
        <w:rPr>
          <w:rFonts w:ascii="Times New Roman" w:hAnsi="Times New Roman" w:cs="Times New Roman"/>
          <w:bCs/>
          <w:lang w:val="en-GB"/>
        </w:rPr>
        <w:t xml:space="preserve"> </w:t>
      </w:r>
      <w:r w:rsidR="00C11EA1">
        <w:rPr>
          <w:rFonts w:ascii="Times New Roman" w:hAnsi="Times New Roman" w:cs="Times New Roman"/>
          <w:bCs/>
          <w:lang w:val="en-GB"/>
        </w:rPr>
        <w:t xml:space="preserve">other approaches requiring demonstration as to why a connection to a network should not be made. </w:t>
      </w:r>
      <w:r w:rsidR="000749BB">
        <w:rPr>
          <w:rFonts w:ascii="Times New Roman" w:hAnsi="Times New Roman" w:cs="Times New Roman"/>
          <w:bCs/>
          <w:lang w:val="en-GB"/>
        </w:rPr>
        <w:t>It is HBF position</w:t>
      </w:r>
      <w:r w:rsidR="005641E0">
        <w:rPr>
          <w:rFonts w:ascii="Times New Roman" w:hAnsi="Times New Roman" w:cs="Times New Roman"/>
          <w:bCs/>
          <w:lang w:val="en-GB"/>
        </w:rPr>
        <w:t xml:space="preserve"> that it should be for the developer to decide whether a connection is made or no</w:t>
      </w:r>
      <w:r w:rsidR="00D872D1">
        <w:rPr>
          <w:rFonts w:ascii="Times New Roman" w:hAnsi="Times New Roman" w:cs="Times New Roman"/>
          <w:bCs/>
          <w:lang w:val="en-GB"/>
        </w:rPr>
        <w:t>t</w:t>
      </w:r>
      <w:r w:rsidR="00C0312E">
        <w:rPr>
          <w:rFonts w:ascii="Times New Roman" w:hAnsi="Times New Roman" w:cs="Times New Roman"/>
          <w:bCs/>
          <w:lang w:val="en-GB"/>
        </w:rPr>
        <w:t>,</w:t>
      </w:r>
      <w:r w:rsidR="00D872D1">
        <w:rPr>
          <w:rFonts w:ascii="Times New Roman" w:hAnsi="Times New Roman" w:cs="Times New Roman"/>
          <w:bCs/>
          <w:lang w:val="en-GB"/>
        </w:rPr>
        <w:t xml:space="preserve"> factoring all </w:t>
      </w:r>
      <w:r w:rsidR="00F13AC2">
        <w:rPr>
          <w:rFonts w:ascii="Times New Roman" w:hAnsi="Times New Roman" w:cs="Times New Roman"/>
          <w:bCs/>
          <w:lang w:val="en-GB"/>
        </w:rPr>
        <w:t>potential</w:t>
      </w:r>
      <w:r w:rsidR="00D872D1">
        <w:rPr>
          <w:rFonts w:ascii="Times New Roman" w:hAnsi="Times New Roman" w:cs="Times New Roman"/>
          <w:bCs/>
          <w:lang w:val="en-GB"/>
        </w:rPr>
        <w:t xml:space="preserve"> options and allowing </w:t>
      </w:r>
      <w:r w:rsidR="00F13AC2">
        <w:rPr>
          <w:rFonts w:ascii="Times New Roman" w:hAnsi="Times New Roman" w:cs="Times New Roman"/>
          <w:bCs/>
          <w:lang w:val="en-GB"/>
        </w:rPr>
        <w:t xml:space="preserve">scope for consumer choice in future. </w:t>
      </w:r>
      <w:r w:rsidR="00A20D19">
        <w:rPr>
          <w:rFonts w:ascii="Times New Roman" w:hAnsi="Times New Roman" w:cs="Times New Roman"/>
          <w:bCs/>
          <w:lang w:val="en-GB"/>
        </w:rPr>
        <w:t xml:space="preserve">HBF would therefore suggest that the </w:t>
      </w:r>
      <w:r w:rsidR="00914008">
        <w:rPr>
          <w:rFonts w:ascii="Times New Roman" w:hAnsi="Times New Roman" w:cs="Times New Roman"/>
          <w:bCs/>
          <w:lang w:val="en-GB"/>
        </w:rPr>
        <w:t>policy</w:t>
      </w:r>
      <w:r w:rsidR="00A20D19">
        <w:rPr>
          <w:rFonts w:ascii="Times New Roman" w:hAnsi="Times New Roman" w:cs="Times New Roman"/>
          <w:bCs/>
          <w:lang w:val="en-GB"/>
        </w:rPr>
        <w:t xml:space="preserve"> is</w:t>
      </w:r>
      <w:r w:rsidR="00914008">
        <w:rPr>
          <w:rFonts w:ascii="Times New Roman" w:hAnsi="Times New Roman" w:cs="Times New Roman"/>
          <w:bCs/>
          <w:lang w:val="en-GB"/>
        </w:rPr>
        <w:t xml:space="preserve"> </w:t>
      </w:r>
      <w:r w:rsidR="00A20D19">
        <w:rPr>
          <w:rFonts w:ascii="Times New Roman" w:hAnsi="Times New Roman" w:cs="Times New Roman"/>
          <w:bCs/>
          <w:lang w:val="en-GB"/>
        </w:rPr>
        <w:t xml:space="preserve">amended </w:t>
      </w:r>
      <w:r w:rsidR="00914008">
        <w:rPr>
          <w:rFonts w:ascii="Times New Roman" w:hAnsi="Times New Roman" w:cs="Times New Roman"/>
          <w:bCs/>
          <w:lang w:val="en-GB"/>
        </w:rPr>
        <w:t>to</w:t>
      </w:r>
      <w:r w:rsidR="00A20D19">
        <w:rPr>
          <w:rFonts w:ascii="Times New Roman" w:hAnsi="Times New Roman" w:cs="Times New Roman"/>
          <w:bCs/>
          <w:lang w:val="en-GB"/>
        </w:rPr>
        <w:t xml:space="preserve"> state that </w:t>
      </w:r>
      <w:r w:rsidR="0055669A">
        <w:rPr>
          <w:rFonts w:ascii="Times New Roman" w:hAnsi="Times New Roman" w:cs="Times New Roman"/>
          <w:bCs/>
          <w:lang w:val="en-GB"/>
        </w:rPr>
        <w:t xml:space="preserve">consideration should be given to connecting to a relevant heat </w:t>
      </w:r>
      <w:r w:rsidR="00914008">
        <w:rPr>
          <w:rFonts w:ascii="Times New Roman" w:hAnsi="Times New Roman" w:cs="Times New Roman"/>
          <w:bCs/>
          <w:lang w:val="en-GB"/>
        </w:rPr>
        <w:t>network,</w:t>
      </w:r>
      <w:r w:rsidR="0055669A">
        <w:rPr>
          <w:rFonts w:ascii="Times New Roman" w:hAnsi="Times New Roman" w:cs="Times New Roman"/>
          <w:bCs/>
          <w:lang w:val="en-GB"/>
        </w:rPr>
        <w:t xml:space="preserve"> </w:t>
      </w:r>
      <w:r w:rsidR="00914008">
        <w:rPr>
          <w:rFonts w:ascii="Times New Roman" w:hAnsi="Times New Roman" w:cs="Times New Roman"/>
          <w:bCs/>
          <w:lang w:val="en-GB"/>
        </w:rPr>
        <w:t xml:space="preserve">but it should not be a requirement. </w:t>
      </w:r>
    </w:p>
    <w:p w14:paraId="16322B4C" w14:textId="492AED95" w:rsidR="00D21F96" w:rsidRDefault="00D21F96" w:rsidP="00D21F96">
      <w:pPr>
        <w:widowControl/>
        <w:suppressAutoHyphens w:val="0"/>
        <w:autoSpaceDE/>
        <w:spacing w:after="240" w:line="360" w:lineRule="auto"/>
        <w:jc w:val="both"/>
        <w:rPr>
          <w:rFonts w:ascii="Times New Roman" w:hAnsi="Times New Roman" w:cs="Times New Roman"/>
          <w:b/>
        </w:rPr>
      </w:pPr>
      <w:r w:rsidRPr="00274744">
        <w:rPr>
          <w:rFonts w:ascii="Times New Roman" w:hAnsi="Times New Roman" w:cs="Times New Roman"/>
          <w:b/>
        </w:rPr>
        <w:t xml:space="preserve">CEA9 </w:t>
      </w:r>
      <w:r w:rsidR="009D3B24">
        <w:rPr>
          <w:rFonts w:ascii="Times New Roman" w:hAnsi="Times New Roman" w:cs="Times New Roman"/>
          <w:b/>
        </w:rPr>
        <w:t>–</w:t>
      </w:r>
      <w:r w:rsidRPr="00274744">
        <w:rPr>
          <w:rFonts w:ascii="Times New Roman" w:hAnsi="Times New Roman" w:cs="Times New Roman"/>
          <w:b/>
        </w:rPr>
        <w:t xml:space="preserve"> B</w:t>
      </w:r>
      <w:r w:rsidR="00BF7179">
        <w:rPr>
          <w:rFonts w:ascii="Times New Roman" w:hAnsi="Times New Roman" w:cs="Times New Roman"/>
          <w:b/>
        </w:rPr>
        <w:t xml:space="preserve">iodiversity </w:t>
      </w:r>
      <w:r w:rsidR="00140A42">
        <w:rPr>
          <w:rFonts w:ascii="Times New Roman" w:hAnsi="Times New Roman" w:cs="Times New Roman"/>
          <w:b/>
        </w:rPr>
        <w:t>and habitat networks</w:t>
      </w:r>
    </w:p>
    <w:p w14:paraId="14D42CDF" w14:textId="2C1B06CA" w:rsidR="000B10B4" w:rsidRPr="00140A42" w:rsidRDefault="006120F8" w:rsidP="00D21F96">
      <w:pPr>
        <w:widowControl/>
        <w:suppressAutoHyphens w:val="0"/>
        <w:autoSpaceDE/>
        <w:spacing w:after="240" w:line="360" w:lineRule="auto"/>
        <w:jc w:val="both"/>
        <w:rPr>
          <w:rFonts w:ascii="Times New Roman" w:hAnsi="Times New Roman" w:cs="Times New Roman"/>
          <w:bCs/>
          <w:u w:val="single"/>
        </w:rPr>
      </w:pPr>
      <w:r w:rsidRPr="00140A42">
        <w:rPr>
          <w:rFonts w:ascii="Times New Roman" w:hAnsi="Times New Roman" w:cs="Times New Roman"/>
          <w:bCs/>
          <w:u w:val="single"/>
        </w:rPr>
        <w:t>The</w:t>
      </w:r>
      <w:r w:rsidR="000B10B4" w:rsidRPr="00140A42">
        <w:rPr>
          <w:rFonts w:ascii="Times New Roman" w:hAnsi="Times New Roman" w:cs="Times New Roman"/>
          <w:bCs/>
          <w:u w:val="single"/>
        </w:rPr>
        <w:t xml:space="preserve"> </w:t>
      </w:r>
      <w:r w:rsidRPr="00140A42">
        <w:rPr>
          <w:rFonts w:ascii="Times New Roman" w:hAnsi="Times New Roman" w:cs="Times New Roman"/>
          <w:bCs/>
          <w:u w:val="single"/>
        </w:rPr>
        <w:t>policy</w:t>
      </w:r>
      <w:r w:rsidR="000B10B4" w:rsidRPr="00140A42">
        <w:rPr>
          <w:rFonts w:ascii="Times New Roman" w:hAnsi="Times New Roman" w:cs="Times New Roman"/>
          <w:bCs/>
          <w:u w:val="single"/>
        </w:rPr>
        <w:t xml:space="preserve"> is </w:t>
      </w:r>
      <w:r w:rsidRPr="00140A42">
        <w:rPr>
          <w:rFonts w:ascii="Times New Roman" w:hAnsi="Times New Roman" w:cs="Times New Roman"/>
          <w:bCs/>
          <w:u w:val="single"/>
        </w:rPr>
        <w:t xml:space="preserve">unsound as it </w:t>
      </w:r>
      <w:r w:rsidR="00643205" w:rsidRPr="00140A42">
        <w:rPr>
          <w:rFonts w:ascii="Times New Roman" w:hAnsi="Times New Roman" w:cs="Times New Roman"/>
          <w:bCs/>
          <w:u w:val="single"/>
        </w:rPr>
        <w:t>repeats national policy</w:t>
      </w:r>
      <w:r w:rsidR="00AC08F6" w:rsidRPr="00140A42">
        <w:rPr>
          <w:rFonts w:ascii="Times New Roman" w:hAnsi="Times New Roman" w:cs="Times New Roman"/>
          <w:bCs/>
          <w:u w:val="single"/>
        </w:rPr>
        <w:t>.</w:t>
      </w:r>
    </w:p>
    <w:p w14:paraId="44D7A2C8" w14:textId="6DFE20EA" w:rsidR="002E1084" w:rsidRPr="002E1084" w:rsidRDefault="002E1084" w:rsidP="00D63EFB">
      <w:pPr>
        <w:widowControl/>
        <w:suppressAutoHyphens w:val="0"/>
        <w:autoSpaceDE/>
        <w:spacing w:after="240" w:line="360" w:lineRule="auto"/>
        <w:jc w:val="both"/>
        <w:rPr>
          <w:rFonts w:ascii="Times New Roman" w:hAnsi="Times New Roman" w:cs="Times New Roman"/>
          <w:bCs/>
        </w:rPr>
      </w:pPr>
      <w:r w:rsidRPr="002E1084">
        <w:rPr>
          <w:rFonts w:ascii="Times New Roman" w:hAnsi="Times New Roman" w:cs="Times New Roman"/>
          <w:bCs/>
        </w:rPr>
        <w:lastRenderedPageBreak/>
        <w:t xml:space="preserve">HBF would suggest that the Council give consideration as to whether a policy on BNG is needed given that the process for considering and delivering BNG is set out in legislation and regulation. The HBF notes that one the introduction of mandatory Biodiversity Net Gain (BNG) relevant updates where made to the PPG, and in particular stated that: </w:t>
      </w:r>
    </w:p>
    <w:p w14:paraId="1F8CA036" w14:textId="77777777" w:rsidR="002E1084" w:rsidRPr="00756A0E" w:rsidRDefault="002E1084" w:rsidP="00A74E35">
      <w:pPr>
        <w:widowControl/>
        <w:suppressAutoHyphens w:val="0"/>
        <w:autoSpaceDE/>
        <w:spacing w:after="240" w:line="360" w:lineRule="auto"/>
        <w:ind w:left="851" w:right="571"/>
        <w:jc w:val="both"/>
        <w:rPr>
          <w:rFonts w:ascii="Times New Roman" w:hAnsi="Times New Roman" w:cs="Times New Roman"/>
          <w:bCs/>
          <w:i/>
          <w:iCs/>
        </w:rPr>
      </w:pPr>
      <w:r w:rsidRPr="002E1084">
        <w:rPr>
          <w:rFonts w:ascii="Times New Roman" w:hAnsi="Times New Roman" w:cs="Times New Roman"/>
          <w:bCs/>
        </w:rPr>
        <w:t>“</w:t>
      </w:r>
      <w:r w:rsidRPr="00756A0E">
        <w:rPr>
          <w:rFonts w:ascii="Times New Roman" w:hAnsi="Times New Roman" w:cs="Times New Roman"/>
          <w:bCs/>
          <w:i/>
          <w:iCs/>
        </w:rPr>
        <w:t>Plan-makers should be aware of the statutory framework for biodiversity net gain, but they do not need to include policies which duplicate the detailed provisions of this statutory framework. It will also be inappropriate for plans or supplementary planning documents to include policies or guidance which are incompatible with this framework, for instance by applying biodiversity net gain to exempt categories of development or encouraging the use of a different biodiversity metric or biodiversity gain hierarchy.</w:t>
      </w:r>
    </w:p>
    <w:p w14:paraId="70EAEB04" w14:textId="5E0E3ED8" w:rsidR="002E1084" w:rsidRPr="002E1084" w:rsidRDefault="002E1084" w:rsidP="00A74E35">
      <w:pPr>
        <w:widowControl/>
        <w:suppressAutoHyphens w:val="0"/>
        <w:autoSpaceDE/>
        <w:spacing w:after="240" w:line="360" w:lineRule="auto"/>
        <w:ind w:left="851" w:right="571"/>
        <w:jc w:val="both"/>
        <w:rPr>
          <w:rFonts w:ascii="Times New Roman" w:hAnsi="Times New Roman" w:cs="Times New Roman"/>
          <w:bCs/>
        </w:rPr>
      </w:pPr>
      <w:r w:rsidRPr="00756A0E">
        <w:rPr>
          <w:rFonts w:ascii="Times New Roman" w:hAnsi="Times New Roman" w:cs="Times New Roman"/>
          <w:bCs/>
          <w:i/>
          <w:iCs/>
        </w:rPr>
        <w:t>Plan-makers can complement the statutory framework for biodiversity net gain by, for instance, including policies which support appropriate local offsite biodiversity sites, including whether specific allocated sites for development should include biodiversity enhancements to support other developments meet their net gain objectives in line with Local Nature Recovery Strategies.</w:t>
      </w:r>
      <w:r w:rsidRPr="002E1084">
        <w:rPr>
          <w:rFonts w:ascii="Times New Roman" w:hAnsi="Times New Roman" w:cs="Times New Roman"/>
          <w:bCs/>
        </w:rPr>
        <w:t>” (Reference ID: 74-006-20240214).</w:t>
      </w:r>
    </w:p>
    <w:p w14:paraId="7998ED5A" w14:textId="6C8425FF" w:rsidR="009D3B24" w:rsidRDefault="002E1084" w:rsidP="00D63EFB">
      <w:pPr>
        <w:widowControl/>
        <w:suppressAutoHyphens w:val="0"/>
        <w:autoSpaceDE/>
        <w:spacing w:after="240" w:line="360" w:lineRule="auto"/>
        <w:jc w:val="both"/>
        <w:rPr>
          <w:rFonts w:ascii="Times New Roman" w:hAnsi="Times New Roman" w:cs="Times New Roman"/>
          <w:bCs/>
        </w:rPr>
      </w:pPr>
      <w:r w:rsidRPr="002E1084">
        <w:rPr>
          <w:rFonts w:ascii="Times New Roman" w:hAnsi="Times New Roman" w:cs="Times New Roman"/>
          <w:bCs/>
        </w:rPr>
        <w:t xml:space="preserve">HBF therefore </w:t>
      </w:r>
      <w:r w:rsidR="0096635A" w:rsidRPr="002E1084">
        <w:rPr>
          <w:rFonts w:ascii="Times New Roman" w:hAnsi="Times New Roman" w:cs="Times New Roman"/>
          <w:bCs/>
        </w:rPr>
        <w:t>considers</w:t>
      </w:r>
      <w:r w:rsidRPr="002E1084">
        <w:rPr>
          <w:rFonts w:ascii="Times New Roman" w:hAnsi="Times New Roman" w:cs="Times New Roman"/>
          <w:bCs/>
        </w:rPr>
        <w:t xml:space="preserve"> it unnecessary for the Council to restate in a local plan policy a requirement that is already required by legislation and has a significant amount of supporting guidance</w:t>
      </w:r>
      <w:r w:rsidR="0080506E">
        <w:rPr>
          <w:rFonts w:ascii="Times New Roman" w:hAnsi="Times New Roman" w:cs="Times New Roman"/>
          <w:bCs/>
        </w:rPr>
        <w:t xml:space="preserve">, with such repetition being </w:t>
      </w:r>
      <w:r w:rsidR="004A6A18">
        <w:rPr>
          <w:rFonts w:ascii="Times New Roman" w:hAnsi="Times New Roman" w:cs="Times New Roman"/>
          <w:bCs/>
        </w:rPr>
        <w:t>inconsistent with paragraph 16f of the NPPF.</w:t>
      </w:r>
      <w:r w:rsidR="00756A0E">
        <w:rPr>
          <w:rFonts w:ascii="Times New Roman" w:hAnsi="Times New Roman" w:cs="Times New Roman"/>
          <w:bCs/>
        </w:rPr>
        <w:t xml:space="preserve"> If the Council do retain the pol</w:t>
      </w:r>
      <w:r w:rsidR="0096635A">
        <w:rPr>
          <w:rFonts w:ascii="Times New Roman" w:hAnsi="Times New Roman" w:cs="Times New Roman"/>
          <w:bCs/>
        </w:rPr>
        <w:t>icy</w:t>
      </w:r>
      <w:r w:rsidR="001F6046">
        <w:rPr>
          <w:rFonts w:ascii="Times New Roman" w:hAnsi="Times New Roman" w:cs="Times New Roman"/>
          <w:bCs/>
        </w:rPr>
        <w:t xml:space="preserve"> HBF</w:t>
      </w:r>
      <w:r w:rsidR="00756A0E">
        <w:rPr>
          <w:rFonts w:ascii="Times New Roman" w:hAnsi="Times New Roman" w:cs="Times New Roman"/>
          <w:bCs/>
        </w:rPr>
        <w:t xml:space="preserve"> would recommend that part C</w:t>
      </w:r>
      <w:r w:rsidRPr="002E1084">
        <w:rPr>
          <w:rFonts w:ascii="Times New Roman" w:hAnsi="Times New Roman" w:cs="Times New Roman"/>
          <w:bCs/>
        </w:rPr>
        <w:t xml:space="preserve"> </w:t>
      </w:r>
      <w:r w:rsidR="00756A0E">
        <w:rPr>
          <w:rFonts w:ascii="Times New Roman" w:hAnsi="Times New Roman" w:cs="Times New Roman"/>
          <w:bCs/>
        </w:rPr>
        <w:t xml:space="preserve">is removed. </w:t>
      </w:r>
      <w:r w:rsidR="001F6046">
        <w:rPr>
          <w:rFonts w:ascii="Times New Roman" w:hAnsi="Times New Roman" w:cs="Times New Roman"/>
          <w:bCs/>
        </w:rPr>
        <w:t xml:space="preserve">This effectively </w:t>
      </w:r>
      <w:r w:rsidR="0092539B">
        <w:rPr>
          <w:rFonts w:ascii="Times New Roman" w:hAnsi="Times New Roman" w:cs="Times New Roman"/>
          <w:bCs/>
        </w:rPr>
        <w:t xml:space="preserve">repeats the </w:t>
      </w:r>
      <w:r w:rsidR="0092539B" w:rsidRPr="0092539B">
        <w:rPr>
          <w:rFonts w:ascii="Times New Roman" w:hAnsi="Times New Roman" w:cs="Times New Roman"/>
          <w:bCs/>
        </w:rPr>
        <w:t xml:space="preserve">Biodiversity Gain Hierarchy </w:t>
      </w:r>
      <w:r w:rsidR="00FB761B">
        <w:rPr>
          <w:rFonts w:ascii="Times New Roman" w:hAnsi="Times New Roman" w:cs="Times New Roman"/>
          <w:bCs/>
        </w:rPr>
        <w:t xml:space="preserve">which is already defined in both guidance in </w:t>
      </w:r>
      <w:r w:rsidR="009D5B7E">
        <w:rPr>
          <w:rFonts w:ascii="Times New Roman" w:hAnsi="Times New Roman" w:cs="Times New Roman"/>
          <w:bCs/>
        </w:rPr>
        <w:t xml:space="preserve">legislation and as such is unnecessary and should not form part of the </w:t>
      </w:r>
      <w:r w:rsidR="004727CA">
        <w:rPr>
          <w:rFonts w:ascii="Times New Roman" w:hAnsi="Times New Roman" w:cs="Times New Roman"/>
          <w:bCs/>
        </w:rPr>
        <w:t xml:space="preserve">decision </w:t>
      </w:r>
      <w:r w:rsidR="009D5B7E">
        <w:rPr>
          <w:rFonts w:ascii="Times New Roman" w:hAnsi="Times New Roman" w:cs="Times New Roman"/>
          <w:bCs/>
        </w:rPr>
        <w:t>making process</w:t>
      </w:r>
      <w:r w:rsidR="004727CA">
        <w:rPr>
          <w:rFonts w:ascii="Times New Roman" w:hAnsi="Times New Roman" w:cs="Times New Roman"/>
          <w:bCs/>
        </w:rPr>
        <w:t xml:space="preserve"> for </w:t>
      </w:r>
      <w:r w:rsidR="00A74E35">
        <w:rPr>
          <w:rFonts w:ascii="Times New Roman" w:hAnsi="Times New Roman" w:cs="Times New Roman"/>
          <w:bCs/>
        </w:rPr>
        <w:t xml:space="preserve">a </w:t>
      </w:r>
      <w:r w:rsidR="004727CA">
        <w:rPr>
          <w:rFonts w:ascii="Times New Roman" w:hAnsi="Times New Roman" w:cs="Times New Roman"/>
          <w:bCs/>
        </w:rPr>
        <w:t>planning permission.</w:t>
      </w:r>
    </w:p>
    <w:p w14:paraId="5E1C6812" w14:textId="77777777" w:rsidR="000B10B4" w:rsidRDefault="00D21F96" w:rsidP="000B10B4">
      <w:pPr>
        <w:widowControl/>
        <w:suppressAutoHyphens w:val="0"/>
        <w:autoSpaceDE/>
        <w:spacing w:after="240" w:line="360" w:lineRule="auto"/>
        <w:jc w:val="both"/>
        <w:rPr>
          <w:rFonts w:ascii="Times New Roman" w:hAnsi="Times New Roman" w:cs="Times New Roman"/>
          <w:b/>
        </w:rPr>
      </w:pPr>
      <w:r w:rsidRPr="009D3B24">
        <w:rPr>
          <w:rFonts w:ascii="Times New Roman" w:hAnsi="Times New Roman" w:cs="Times New Roman"/>
          <w:b/>
        </w:rPr>
        <w:t xml:space="preserve">CEA11 - </w:t>
      </w:r>
      <w:r w:rsidR="003714EC">
        <w:rPr>
          <w:rFonts w:ascii="Times New Roman" w:hAnsi="Times New Roman" w:cs="Times New Roman"/>
          <w:b/>
        </w:rPr>
        <w:t>U</w:t>
      </w:r>
      <w:r w:rsidRPr="009D3B24">
        <w:rPr>
          <w:rFonts w:ascii="Times New Roman" w:hAnsi="Times New Roman" w:cs="Times New Roman"/>
          <w:b/>
        </w:rPr>
        <w:t>rban greening</w:t>
      </w:r>
      <w:r w:rsidR="003714EC">
        <w:rPr>
          <w:rFonts w:ascii="Times New Roman" w:hAnsi="Times New Roman" w:cs="Times New Roman"/>
          <w:b/>
        </w:rPr>
        <w:t>, trees and woodland</w:t>
      </w:r>
    </w:p>
    <w:p w14:paraId="36B83B38" w14:textId="607F0C0A" w:rsidR="000B10B4" w:rsidRPr="000B10B4" w:rsidRDefault="000B10B4" w:rsidP="000B10B4">
      <w:pPr>
        <w:widowControl/>
        <w:suppressAutoHyphens w:val="0"/>
        <w:autoSpaceDE/>
        <w:spacing w:after="240" w:line="360" w:lineRule="auto"/>
        <w:jc w:val="both"/>
        <w:rPr>
          <w:rFonts w:ascii="Times New Roman" w:hAnsi="Times New Roman" w:cs="Times New Roman"/>
          <w:bCs/>
          <w:u w:val="single"/>
        </w:rPr>
      </w:pPr>
      <w:r w:rsidRPr="000B10B4">
        <w:rPr>
          <w:rFonts w:ascii="Times New Roman" w:hAnsi="Times New Roman" w:cs="Times New Roman"/>
          <w:bCs/>
          <w:u w:val="single"/>
        </w:rPr>
        <w:t xml:space="preserve">The policy is unsound as it is unjustified. </w:t>
      </w:r>
    </w:p>
    <w:p w14:paraId="641F63D7" w14:textId="02D16910" w:rsidR="00415486" w:rsidRPr="00415486" w:rsidRDefault="003714EC"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 xml:space="preserve">It is not clear how the Urban Greening Factor (UGF) interacts with policies for </w:t>
      </w:r>
      <w:r w:rsidR="006315A5">
        <w:rPr>
          <w:rFonts w:ascii="Times New Roman" w:hAnsi="Times New Roman" w:cs="Times New Roman"/>
          <w:bCs/>
        </w:rPr>
        <w:t>biodiversity</w:t>
      </w:r>
      <w:r>
        <w:rPr>
          <w:rFonts w:ascii="Times New Roman" w:hAnsi="Times New Roman" w:cs="Times New Roman"/>
          <w:bCs/>
        </w:rPr>
        <w:t xml:space="preserve"> net gain </w:t>
      </w:r>
      <w:r w:rsidR="006315A5">
        <w:rPr>
          <w:rFonts w:ascii="Times New Roman" w:hAnsi="Times New Roman" w:cs="Times New Roman"/>
          <w:bCs/>
        </w:rPr>
        <w:t xml:space="preserve">and whether they a compatible and do not when used together impact on the developable area of a site. HBF could not find any evidence that has examined in any detail whether the proposed UGF is deliverable in Milton </w:t>
      </w:r>
      <w:r w:rsidR="004B1E2E">
        <w:rPr>
          <w:rFonts w:ascii="Times New Roman" w:hAnsi="Times New Roman" w:cs="Times New Roman"/>
          <w:bCs/>
        </w:rPr>
        <w:t>Keynes</w:t>
      </w:r>
      <w:r w:rsidR="006315A5">
        <w:rPr>
          <w:rFonts w:ascii="Times New Roman" w:hAnsi="Times New Roman" w:cs="Times New Roman"/>
          <w:bCs/>
        </w:rPr>
        <w:t xml:space="preserve"> without impacting on the number of homes </w:t>
      </w:r>
      <w:r w:rsidR="00DC02AE">
        <w:rPr>
          <w:rFonts w:ascii="Times New Roman" w:hAnsi="Times New Roman" w:cs="Times New Roman"/>
          <w:bCs/>
        </w:rPr>
        <w:t xml:space="preserve">a </w:t>
      </w:r>
      <w:r w:rsidR="006315A5">
        <w:rPr>
          <w:rFonts w:ascii="Times New Roman" w:hAnsi="Times New Roman" w:cs="Times New Roman"/>
          <w:bCs/>
        </w:rPr>
        <w:t>site</w:t>
      </w:r>
      <w:r w:rsidR="00DC02AE">
        <w:rPr>
          <w:rFonts w:ascii="Times New Roman" w:hAnsi="Times New Roman" w:cs="Times New Roman"/>
          <w:bCs/>
        </w:rPr>
        <w:t xml:space="preserve"> </w:t>
      </w:r>
      <w:r w:rsidR="006315A5">
        <w:rPr>
          <w:rFonts w:ascii="Times New Roman" w:hAnsi="Times New Roman" w:cs="Times New Roman"/>
          <w:bCs/>
        </w:rPr>
        <w:t xml:space="preserve">can deliver and ultimately the viability of those sites. Without more detailed assessment to justify this policy it should be deleted.  </w:t>
      </w:r>
    </w:p>
    <w:p w14:paraId="7C03A1E2" w14:textId="77777777" w:rsidR="00F0430A" w:rsidRDefault="00F0430A" w:rsidP="00F0430A">
      <w:pPr>
        <w:spacing w:after="240" w:line="360" w:lineRule="auto"/>
        <w:rPr>
          <w:rFonts w:ascii="Arial" w:hAnsi="Arial" w:cs="Arial"/>
          <w:b/>
        </w:rPr>
      </w:pPr>
      <w:r>
        <w:rPr>
          <w:rFonts w:ascii="Arial" w:hAnsi="Arial" w:cs="Arial"/>
          <w:b/>
        </w:rPr>
        <w:t>Future Engagement</w:t>
      </w:r>
    </w:p>
    <w:p w14:paraId="32666532" w14:textId="77777777" w:rsidR="00F0430A" w:rsidRDefault="00F0430A"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08C53D08" w14:textId="708F1907" w:rsidR="0028345D" w:rsidRPr="00DF5927" w:rsidRDefault="00F0430A" w:rsidP="00D63EFB">
      <w:pPr>
        <w:widowControl/>
        <w:suppressAutoHyphens w:val="0"/>
        <w:autoSpaceDE/>
        <w:spacing w:after="240" w:line="360" w:lineRule="auto"/>
        <w:jc w:val="both"/>
        <w:rPr>
          <w:rFonts w:ascii="Times New Roman" w:hAnsi="Times New Roman" w:cs="Times New Roman"/>
          <w:bCs/>
        </w:rPr>
      </w:pPr>
      <w:r>
        <w:rPr>
          <w:rFonts w:ascii="Times New Roman" w:hAnsi="Times New Roman" w:cs="Times New Roman"/>
          <w:bCs/>
        </w:rPr>
        <w:t>The HBF would like to be kept informed of all forthcoming consultations upon the Local Plan and associated documents</w:t>
      </w:r>
      <w:r w:rsidR="00ED149A" w:rsidRPr="00ED149A">
        <w:rPr>
          <w:rFonts w:ascii="Times New Roman" w:hAnsi="Times New Roman" w:cs="Times New Roman"/>
          <w:b/>
        </w:rPr>
        <w:t xml:space="preserve"> </w:t>
      </w:r>
      <w:r w:rsidR="00ED149A" w:rsidRPr="00ED149A">
        <w:rPr>
          <w:rFonts w:ascii="Times New Roman" w:hAnsi="Times New Roman" w:cs="Times New Roman"/>
          <w:bCs/>
        </w:rPr>
        <w:t xml:space="preserve">and can confirm that we would wish to attend and participate in the EIP Hearing Sessions to ensure the view </w:t>
      </w:r>
      <w:r w:rsidR="00ED149A" w:rsidRPr="00ED149A">
        <w:rPr>
          <w:rFonts w:ascii="Times New Roman" w:hAnsi="Times New Roman" w:cs="Times New Roman"/>
          <w:bCs/>
        </w:rPr>
        <w:lastRenderedPageBreak/>
        <w:t>of the home building sector is fully represented</w:t>
      </w:r>
      <w:r>
        <w:rPr>
          <w:rFonts w:ascii="Times New Roman" w:hAnsi="Times New Roman" w:cs="Times New Roman"/>
          <w:bCs/>
        </w:rPr>
        <w:t>. Please use the contact details provided below for future correspondenc</w:t>
      </w:r>
      <w:r w:rsidR="00ED149A">
        <w:rPr>
          <w:rFonts w:ascii="Times New Roman" w:hAnsi="Times New Roman" w:cs="Times New Roman"/>
          <w:bCs/>
        </w:rPr>
        <w:t>e.</w:t>
      </w:r>
    </w:p>
    <w:p w14:paraId="11C30352" w14:textId="77777777" w:rsidR="0028345D" w:rsidRPr="004612EA" w:rsidRDefault="0028345D" w:rsidP="00C411E9">
      <w:pPr>
        <w:spacing w:line="360" w:lineRule="auto"/>
        <w:rPr>
          <w:rFonts w:ascii="Times New Roman" w:hAnsi="Times New Roman" w:cs="Times New Roman"/>
          <w:b/>
        </w:rPr>
      </w:pPr>
    </w:p>
    <w:p w14:paraId="01632919" w14:textId="77777777"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7414" w14:textId="77777777" w:rsidR="007A5018" w:rsidRDefault="007A5018">
      <w:r>
        <w:separator/>
      </w:r>
    </w:p>
  </w:endnote>
  <w:endnote w:type="continuationSeparator" w:id="0">
    <w:p w14:paraId="079B3367" w14:textId="77777777" w:rsidR="007A5018" w:rsidRDefault="007A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1"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1"/>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32EF0648"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A99B" w14:textId="77777777" w:rsidR="007A5018" w:rsidRDefault="007A5018">
      <w:r>
        <w:rPr>
          <w:color w:val="000000"/>
        </w:rPr>
        <w:separator/>
      </w:r>
    </w:p>
  </w:footnote>
  <w:footnote w:type="continuationSeparator" w:id="0">
    <w:p w14:paraId="46F2239A" w14:textId="77777777" w:rsidR="007A5018" w:rsidRDefault="007A5018">
      <w:r>
        <w:continuationSeparator/>
      </w:r>
    </w:p>
  </w:footnote>
  <w:footnote w:id="1">
    <w:p w14:paraId="52CA3C3A" w14:textId="7FC7B478" w:rsidR="003171D9" w:rsidRPr="003171D9" w:rsidRDefault="003171D9">
      <w:pPr>
        <w:pStyle w:val="FootnoteText"/>
        <w:rPr>
          <w:lang w:val="en-GB"/>
        </w:rPr>
      </w:pPr>
      <w:r>
        <w:rPr>
          <w:rStyle w:val="FootnoteReference"/>
        </w:rPr>
        <w:footnoteRef/>
      </w:r>
      <w:r>
        <w:t xml:space="preserve"> </w:t>
      </w:r>
      <w:r>
        <w:rPr>
          <w:lang w:val="en-GB"/>
        </w:rPr>
        <w:t xml:space="preserve">Paragraph </w:t>
      </w:r>
      <w:r w:rsidR="00AE7C1B">
        <w:rPr>
          <w:lang w:val="en-GB"/>
        </w:rPr>
        <w:t>5.49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B90A51"/>
    <w:multiLevelType w:val="hybridMultilevel"/>
    <w:tmpl w:val="1CFC6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2876B12"/>
    <w:multiLevelType w:val="hybridMultilevel"/>
    <w:tmpl w:val="D4A6A53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5F1E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3758027">
    <w:abstractNumId w:val="0"/>
  </w:num>
  <w:num w:numId="2" w16cid:durableId="1235816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852573">
    <w:abstractNumId w:val="1"/>
  </w:num>
  <w:num w:numId="5" w16cid:durableId="73598306">
    <w:abstractNumId w:val="4"/>
  </w:num>
  <w:num w:numId="6" w16cid:durableId="131938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1F61"/>
    <w:rsid w:val="00005DD6"/>
    <w:rsid w:val="00012270"/>
    <w:rsid w:val="00015895"/>
    <w:rsid w:val="00023F3A"/>
    <w:rsid w:val="000258DB"/>
    <w:rsid w:val="000351CF"/>
    <w:rsid w:val="000353C2"/>
    <w:rsid w:val="00041DCD"/>
    <w:rsid w:val="00043054"/>
    <w:rsid w:val="00044470"/>
    <w:rsid w:val="00044843"/>
    <w:rsid w:val="00045D2E"/>
    <w:rsid w:val="0004639A"/>
    <w:rsid w:val="000548ED"/>
    <w:rsid w:val="000557B5"/>
    <w:rsid w:val="00057030"/>
    <w:rsid w:val="0006193A"/>
    <w:rsid w:val="00070733"/>
    <w:rsid w:val="00072A2B"/>
    <w:rsid w:val="000749BB"/>
    <w:rsid w:val="00075211"/>
    <w:rsid w:val="0007574C"/>
    <w:rsid w:val="00076633"/>
    <w:rsid w:val="000771EA"/>
    <w:rsid w:val="00077736"/>
    <w:rsid w:val="00081ECC"/>
    <w:rsid w:val="00082011"/>
    <w:rsid w:val="0008330F"/>
    <w:rsid w:val="00084C6E"/>
    <w:rsid w:val="0008580E"/>
    <w:rsid w:val="00085D77"/>
    <w:rsid w:val="00092914"/>
    <w:rsid w:val="00093C3B"/>
    <w:rsid w:val="00094186"/>
    <w:rsid w:val="000A0819"/>
    <w:rsid w:val="000A1B9E"/>
    <w:rsid w:val="000A1FBC"/>
    <w:rsid w:val="000A4D1F"/>
    <w:rsid w:val="000A68D9"/>
    <w:rsid w:val="000B10B4"/>
    <w:rsid w:val="000B5E26"/>
    <w:rsid w:val="000B6940"/>
    <w:rsid w:val="000B6B7B"/>
    <w:rsid w:val="000C1B78"/>
    <w:rsid w:val="000D469A"/>
    <w:rsid w:val="000D4E91"/>
    <w:rsid w:val="000D7947"/>
    <w:rsid w:val="000E5E43"/>
    <w:rsid w:val="000E7A69"/>
    <w:rsid w:val="000F0D28"/>
    <w:rsid w:val="000F1C0E"/>
    <w:rsid w:val="000F21B6"/>
    <w:rsid w:val="000F2FD6"/>
    <w:rsid w:val="000F7A97"/>
    <w:rsid w:val="00100123"/>
    <w:rsid w:val="00103DA6"/>
    <w:rsid w:val="00110F43"/>
    <w:rsid w:val="0011389E"/>
    <w:rsid w:val="00117141"/>
    <w:rsid w:val="0012352D"/>
    <w:rsid w:val="001258E1"/>
    <w:rsid w:val="00126D38"/>
    <w:rsid w:val="00133E76"/>
    <w:rsid w:val="00140A42"/>
    <w:rsid w:val="0014491A"/>
    <w:rsid w:val="001509A8"/>
    <w:rsid w:val="00156502"/>
    <w:rsid w:val="00157332"/>
    <w:rsid w:val="00157532"/>
    <w:rsid w:val="0016213B"/>
    <w:rsid w:val="00162155"/>
    <w:rsid w:val="001643FB"/>
    <w:rsid w:val="001662C7"/>
    <w:rsid w:val="00167795"/>
    <w:rsid w:val="001733C6"/>
    <w:rsid w:val="001805A1"/>
    <w:rsid w:val="00184EA1"/>
    <w:rsid w:val="0018596F"/>
    <w:rsid w:val="001906A6"/>
    <w:rsid w:val="00196A09"/>
    <w:rsid w:val="0019719C"/>
    <w:rsid w:val="001B2241"/>
    <w:rsid w:val="001B45BF"/>
    <w:rsid w:val="001B4815"/>
    <w:rsid w:val="001B4E72"/>
    <w:rsid w:val="001B78FC"/>
    <w:rsid w:val="001D0606"/>
    <w:rsid w:val="001E1084"/>
    <w:rsid w:val="001E28C8"/>
    <w:rsid w:val="001E7CBE"/>
    <w:rsid w:val="001F3DC7"/>
    <w:rsid w:val="001F6025"/>
    <w:rsid w:val="001F6046"/>
    <w:rsid w:val="0020147D"/>
    <w:rsid w:val="00206A7F"/>
    <w:rsid w:val="00214E20"/>
    <w:rsid w:val="00215C07"/>
    <w:rsid w:val="00223455"/>
    <w:rsid w:val="00225ACA"/>
    <w:rsid w:val="00226794"/>
    <w:rsid w:val="002309D8"/>
    <w:rsid w:val="002334E0"/>
    <w:rsid w:val="00234A92"/>
    <w:rsid w:val="00235705"/>
    <w:rsid w:val="00240021"/>
    <w:rsid w:val="0024160B"/>
    <w:rsid w:val="00243BE2"/>
    <w:rsid w:val="002531AC"/>
    <w:rsid w:val="0025395F"/>
    <w:rsid w:val="0025638B"/>
    <w:rsid w:val="00263DE2"/>
    <w:rsid w:val="00264729"/>
    <w:rsid w:val="00264880"/>
    <w:rsid w:val="002662DD"/>
    <w:rsid w:val="002701DC"/>
    <w:rsid w:val="002713AF"/>
    <w:rsid w:val="00271B2A"/>
    <w:rsid w:val="00274078"/>
    <w:rsid w:val="00274744"/>
    <w:rsid w:val="00280B3C"/>
    <w:rsid w:val="0028345D"/>
    <w:rsid w:val="002876C8"/>
    <w:rsid w:val="00287BE4"/>
    <w:rsid w:val="00290F94"/>
    <w:rsid w:val="00292EE5"/>
    <w:rsid w:val="002A0174"/>
    <w:rsid w:val="002A3994"/>
    <w:rsid w:val="002B392F"/>
    <w:rsid w:val="002B626D"/>
    <w:rsid w:val="002C1DEB"/>
    <w:rsid w:val="002C68DD"/>
    <w:rsid w:val="002D2604"/>
    <w:rsid w:val="002D3691"/>
    <w:rsid w:val="002D732B"/>
    <w:rsid w:val="002D7707"/>
    <w:rsid w:val="002D795F"/>
    <w:rsid w:val="002E06A4"/>
    <w:rsid w:val="002E1084"/>
    <w:rsid w:val="002E1BAE"/>
    <w:rsid w:val="002E4409"/>
    <w:rsid w:val="002F01A9"/>
    <w:rsid w:val="002F2942"/>
    <w:rsid w:val="00301D38"/>
    <w:rsid w:val="00304550"/>
    <w:rsid w:val="00305611"/>
    <w:rsid w:val="00310EDB"/>
    <w:rsid w:val="003171D9"/>
    <w:rsid w:val="0032050C"/>
    <w:rsid w:val="003205C3"/>
    <w:rsid w:val="00326B3F"/>
    <w:rsid w:val="00331263"/>
    <w:rsid w:val="00333C13"/>
    <w:rsid w:val="00335BE2"/>
    <w:rsid w:val="00340DEA"/>
    <w:rsid w:val="00342C93"/>
    <w:rsid w:val="0034357C"/>
    <w:rsid w:val="00347BDD"/>
    <w:rsid w:val="00351FAD"/>
    <w:rsid w:val="00353DB3"/>
    <w:rsid w:val="00353E7A"/>
    <w:rsid w:val="0035763E"/>
    <w:rsid w:val="0036102D"/>
    <w:rsid w:val="00361575"/>
    <w:rsid w:val="00362FC4"/>
    <w:rsid w:val="00363768"/>
    <w:rsid w:val="00363E7A"/>
    <w:rsid w:val="003714EC"/>
    <w:rsid w:val="00374774"/>
    <w:rsid w:val="00381400"/>
    <w:rsid w:val="00381C3F"/>
    <w:rsid w:val="00391CB8"/>
    <w:rsid w:val="00393D94"/>
    <w:rsid w:val="00394704"/>
    <w:rsid w:val="00395F17"/>
    <w:rsid w:val="003A572F"/>
    <w:rsid w:val="003B7B26"/>
    <w:rsid w:val="003C2963"/>
    <w:rsid w:val="003C371C"/>
    <w:rsid w:val="003C37B9"/>
    <w:rsid w:val="003D4DE7"/>
    <w:rsid w:val="003D7646"/>
    <w:rsid w:val="00400C5F"/>
    <w:rsid w:val="0040456B"/>
    <w:rsid w:val="00411176"/>
    <w:rsid w:val="004138C6"/>
    <w:rsid w:val="00415486"/>
    <w:rsid w:val="004159A4"/>
    <w:rsid w:val="004160F1"/>
    <w:rsid w:val="00426AE7"/>
    <w:rsid w:val="0043348C"/>
    <w:rsid w:val="00436717"/>
    <w:rsid w:val="00440C35"/>
    <w:rsid w:val="00442C19"/>
    <w:rsid w:val="004452DC"/>
    <w:rsid w:val="00447B13"/>
    <w:rsid w:val="00457A38"/>
    <w:rsid w:val="004612EA"/>
    <w:rsid w:val="0046276F"/>
    <w:rsid w:val="00465235"/>
    <w:rsid w:val="004727CA"/>
    <w:rsid w:val="004905C0"/>
    <w:rsid w:val="004948FC"/>
    <w:rsid w:val="0049547C"/>
    <w:rsid w:val="004A17F9"/>
    <w:rsid w:val="004A6A18"/>
    <w:rsid w:val="004A7A9A"/>
    <w:rsid w:val="004B1D45"/>
    <w:rsid w:val="004B1E2E"/>
    <w:rsid w:val="004B2DB5"/>
    <w:rsid w:val="004B766A"/>
    <w:rsid w:val="004C0FCD"/>
    <w:rsid w:val="004C5FEC"/>
    <w:rsid w:val="004D1E19"/>
    <w:rsid w:val="004E7371"/>
    <w:rsid w:val="004F0F17"/>
    <w:rsid w:val="004F36C6"/>
    <w:rsid w:val="00501687"/>
    <w:rsid w:val="00510ECF"/>
    <w:rsid w:val="0051526E"/>
    <w:rsid w:val="00525F29"/>
    <w:rsid w:val="00527E57"/>
    <w:rsid w:val="00534A7C"/>
    <w:rsid w:val="0054045F"/>
    <w:rsid w:val="00543DDD"/>
    <w:rsid w:val="00545808"/>
    <w:rsid w:val="00545C1B"/>
    <w:rsid w:val="005541F8"/>
    <w:rsid w:val="00555E0A"/>
    <w:rsid w:val="0055669A"/>
    <w:rsid w:val="005608BA"/>
    <w:rsid w:val="005641E0"/>
    <w:rsid w:val="00565535"/>
    <w:rsid w:val="005674D5"/>
    <w:rsid w:val="00570C4F"/>
    <w:rsid w:val="00571A54"/>
    <w:rsid w:val="00573B8E"/>
    <w:rsid w:val="005862DC"/>
    <w:rsid w:val="00590AB2"/>
    <w:rsid w:val="00594514"/>
    <w:rsid w:val="0059668F"/>
    <w:rsid w:val="005A195E"/>
    <w:rsid w:val="005A2427"/>
    <w:rsid w:val="005A24E0"/>
    <w:rsid w:val="005B1A84"/>
    <w:rsid w:val="005B3669"/>
    <w:rsid w:val="005B4C7B"/>
    <w:rsid w:val="005C3FB3"/>
    <w:rsid w:val="005D7B1A"/>
    <w:rsid w:val="0060770D"/>
    <w:rsid w:val="006120F8"/>
    <w:rsid w:val="00613249"/>
    <w:rsid w:val="0062113A"/>
    <w:rsid w:val="00624847"/>
    <w:rsid w:val="00624C3D"/>
    <w:rsid w:val="0062762D"/>
    <w:rsid w:val="006315A5"/>
    <w:rsid w:val="00631DED"/>
    <w:rsid w:val="00632817"/>
    <w:rsid w:val="00643205"/>
    <w:rsid w:val="006445D3"/>
    <w:rsid w:val="00645D48"/>
    <w:rsid w:val="00662C76"/>
    <w:rsid w:val="00683B75"/>
    <w:rsid w:val="00684391"/>
    <w:rsid w:val="006A030F"/>
    <w:rsid w:val="006A1748"/>
    <w:rsid w:val="006A3252"/>
    <w:rsid w:val="006B52DE"/>
    <w:rsid w:val="006B76C4"/>
    <w:rsid w:val="006C5B3B"/>
    <w:rsid w:val="006C6E73"/>
    <w:rsid w:val="006D38F1"/>
    <w:rsid w:val="006D4B88"/>
    <w:rsid w:val="006D4D2A"/>
    <w:rsid w:val="006D6E2C"/>
    <w:rsid w:val="006E24B8"/>
    <w:rsid w:val="006E2750"/>
    <w:rsid w:val="006E289E"/>
    <w:rsid w:val="006E743B"/>
    <w:rsid w:val="006F31E0"/>
    <w:rsid w:val="006F38BB"/>
    <w:rsid w:val="006F52AA"/>
    <w:rsid w:val="00700479"/>
    <w:rsid w:val="007012D5"/>
    <w:rsid w:val="007027FA"/>
    <w:rsid w:val="007034AD"/>
    <w:rsid w:val="007041E0"/>
    <w:rsid w:val="00720BAD"/>
    <w:rsid w:val="00723058"/>
    <w:rsid w:val="007234CC"/>
    <w:rsid w:val="00725B9B"/>
    <w:rsid w:val="007305F1"/>
    <w:rsid w:val="00730FFE"/>
    <w:rsid w:val="007345E1"/>
    <w:rsid w:val="007418AA"/>
    <w:rsid w:val="0074456F"/>
    <w:rsid w:val="0074504F"/>
    <w:rsid w:val="0075080B"/>
    <w:rsid w:val="00753627"/>
    <w:rsid w:val="00756A0E"/>
    <w:rsid w:val="00761742"/>
    <w:rsid w:val="0076201F"/>
    <w:rsid w:val="00763AB2"/>
    <w:rsid w:val="007756C4"/>
    <w:rsid w:val="007A1723"/>
    <w:rsid w:val="007A1727"/>
    <w:rsid w:val="007A3517"/>
    <w:rsid w:val="007A5018"/>
    <w:rsid w:val="007C19BE"/>
    <w:rsid w:val="007C27BD"/>
    <w:rsid w:val="007C5516"/>
    <w:rsid w:val="007D4015"/>
    <w:rsid w:val="007D488F"/>
    <w:rsid w:val="007D4A61"/>
    <w:rsid w:val="007D4DD9"/>
    <w:rsid w:val="007E071E"/>
    <w:rsid w:val="007E19DE"/>
    <w:rsid w:val="007E7963"/>
    <w:rsid w:val="007F2EBA"/>
    <w:rsid w:val="007F3F23"/>
    <w:rsid w:val="007F3FDF"/>
    <w:rsid w:val="007F6810"/>
    <w:rsid w:val="0080506E"/>
    <w:rsid w:val="0080529B"/>
    <w:rsid w:val="0080648C"/>
    <w:rsid w:val="00807F2C"/>
    <w:rsid w:val="00812AA3"/>
    <w:rsid w:val="0081768F"/>
    <w:rsid w:val="008255CE"/>
    <w:rsid w:val="00827A86"/>
    <w:rsid w:val="00830113"/>
    <w:rsid w:val="0084258A"/>
    <w:rsid w:val="008445F0"/>
    <w:rsid w:val="00852C47"/>
    <w:rsid w:val="00867C39"/>
    <w:rsid w:val="00871664"/>
    <w:rsid w:val="00872DDD"/>
    <w:rsid w:val="00880E44"/>
    <w:rsid w:val="00892920"/>
    <w:rsid w:val="008943CF"/>
    <w:rsid w:val="008A009D"/>
    <w:rsid w:val="008A33FA"/>
    <w:rsid w:val="008A71C4"/>
    <w:rsid w:val="008B0AA2"/>
    <w:rsid w:val="008B531C"/>
    <w:rsid w:val="008B6FC0"/>
    <w:rsid w:val="008C09DF"/>
    <w:rsid w:val="008C0F19"/>
    <w:rsid w:val="008C2A7A"/>
    <w:rsid w:val="008D6379"/>
    <w:rsid w:val="008D77C1"/>
    <w:rsid w:val="008E011E"/>
    <w:rsid w:val="008E7080"/>
    <w:rsid w:val="008E7A96"/>
    <w:rsid w:val="008F5227"/>
    <w:rsid w:val="00902B30"/>
    <w:rsid w:val="009033FF"/>
    <w:rsid w:val="00914008"/>
    <w:rsid w:val="00922130"/>
    <w:rsid w:val="0092539B"/>
    <w:rsid w:val="0092564D"/>
    <w:rsid w:val="00926E15"/>
    <w:rsid w:val="00935BA8"/>
    <w:rsid w:val="00936C8C"/>
    <w:rsid w:val="00943D70"/>
    <w:rsid w:val="00943FC0"/>
    <w:rsid w:val="00945371"/>
    <w:rsid w:val="009473D3"/>
    <w:rsid w:val="009475C3"/>
    <w:rsid w:val="00952D5E"/>
    <w:rsid w:val="00953E50"/>
    <w:rsid w:val="009548B5"/>
    <w:rsid w:val="0095740E"/>
    <w:rsid w:val="00964755"/>
    <w:rsid w:val="0096635A"/>
    <w:rsid w:val="009667F8"/>
    <w:rsid w:val="00966ECE"/>
    <w:rsid w:val="00984EEE"/>
    <w:rsid w:val="0099171F"/>
    <w:rsid w:val="009A3716"/>
    <w:rsid w:val="009A7C8D"/>
    <w:rsid w:val="009B70EA"/>
    <w:rsid w:val="009B71DD"/>
    <w:rsid w:val="009C6074"/>
    <w:rsid w:val="009D07E5"/>
    <w:rsid w:val="009D2076"/>
    <w:rsid w:val="009D275A"/>
    <w:rsid w:val="009D3B24"/>
    <w:rsid w:val="009D5B7E"/>
    <w:rsid w:val="009E1528"/>
    <w:rsid w:val="009E41E9"/>
    <w:rsid w:val="009E60E9"/>
    <w:rsid w:val="00A1021A"/>
    <w:rsid w:val="00A12F98"/>
    <w:rsid w:val="00A13FD0"/>
    <w:rsid w:val="00A1502F"/>
    <w:rsid w:val="00A20D19"/>
    <w:rsid w:val="00A278E3"/>
    <w:rsid w:val="00A279B9"/>
    <w:rsid w:val="00A31A3F"/>
    <w:rsid w:val="00A32A7B"/>
    <w:rsid w:val="00A36116"/>
    <w:rsid w:val="00A3788B"/>
    <w:rsid w:val="00A4351E"/>
    <w:rsid w:val="00A44292"/>
    <w:rsid w:val="00A44BBA"/>
    <w:rsid w:val="00A476BB"/>
    <w:rsid w:val="00A50DFF"/>
    <w:rsid w:val="00A51009"/>
    <w:rsid w:val="00A51B97"/>
    <w:rsid w:val="00A53879"/>
    <w:rsid w:val="00A6277A"/>
    <w:rsid w:val="00A63E82"/>
    <w:rsid w:val="00A64627"/>
    <w:rsid w:val="00A74E35"/>
    <w:rsid w:val="00A80264"/>
    <w:rsid w:val="00A80AB2"/>
    <w:rsid w:val="00A839FC"/>
    <w:rsid w:val="00A84120"/>
    <w:rsid w:val="00A84544"/>
    <w:rsid w:val="00A85B3A"/>
    <w:rsid w:val="00A924EF"/>
    <w:rsid w:val="00AA22AA"/>
    <w:rsid w:val="00AA3295"/>
    <w:rsid w:val="00AA48E7"/>
    <w:rsid w:val="00AB06FF"/>
    <w:rsid w:val="00AB2EFF"/>
    <w:rsid w:val="00AB7064"/>
    <w:rsid w:val="00AC0552"/>
    <w:rsid w:val="00AC08F6"/>
    <w:rsid w:val="00AC5316"/>
    <w:rsid w:val="00AC6A5A"/>
    <w:rsid w:val="00AD2571"/>
    <w:rsid w:val="00AD440A"/>
    <w:rsid w:val="00AD5E7D"/>
    <w:rsid w:val="00AD72EA"/>
    <w:rsid w:val="00AE7178"/>
    <w:rsid w:val="00AE7C1B"/>
    <w:rsid w:val="00AE7D61"/>
    <w:rsid w:val="00AF581E"/>
    <w:rsid w:val="00AF699E"/>
    <w:rsid w:val="00B07729"/>
    <w:rsid w:val="00B10F4A"/>
    <w:rsid w:val="00B120CF"/>
    <w:rsid w:val="00B149BB"/>
    <w:rsid w:val="00B17B46"/>
    <w:rsid w:val="00B263F7"/>
    <w:rsid w:val="00B32A19"/>
    <w:rsid w:val="00B33011"/>
    <w:rsid w:val="00B46986"/>
    <w:rsid w:val="00B47025"/>
    <w:rsid w:val="00B50183"/>
    <w:rsid w:val="00B50FB9"/>
    <w:rsid w:val="00B513B7"/>
    <w:rsid w:val="00B604E1"/>
    <w:rsid w:val="00B60639"/>
    <w:rsid w:val="00B737EB"/>
    <w:rsid w:val="00B76370"/>
    <w:rsid w:val="00B90400"/>
    <w:rsid w:val="00B93060"/>
    <w:rsid w:val="00BA5D6B"/>
    <w:rsid w:val="00BB0F12"/>
    <w:rsid w:val="00BB3F68"/>
    <w:rsid w:val="00BB57D4"/>
    <w:rsid w:val="00BB5E60"/>
    <w:rsid w:val="00BC62DD"/>
    <w:rsid w:val="00BD2F7F"/>
    <w:rsid w:val="00BD4B52"/>
    <w:rsid w:val="00BD5105"/>
    <w:rsid w:val="00BE305C"/>
    <w:rsid w:val="00BE3373"/>
    <w:rsid w:val="00BF0D89"/>
    <w:rsid w:val="00BF2C0C"/>
    <w:rsid w:val="00BF6F71"/>
    <w:rsid w:val="00BF7179"/>
    <w:rsid w:val="00C0117C"/>
    <w:rsid w:val="00C0312E"/>
    <w:rsid w:val="00C03D14"/>
    <w:rsid w:val="00C05177"/>
    <w:rsid w:val="00C06D09"/>
    <w:rsid w:val="00C11EA1"/>
    <w:rsid w:val="00C11EBE"/>
    <w:rsid w:val="00C125D0"/>
    <w:rsid w:val="00C26455"/>
    <w:rsid w:val="00C26A6B"/>
    <w:rsid w:val="00C304DC"/>
    <w:rsid w:val="00C411E9"/>
    <w:rsid w:val="00C52D1A"/>
    <w:rsid w:val="00C54B3A"/>
    <w:rsid w:val="00C607E3"/>
    <w:rsid w:val="00C7395B"/>
    <w:rsid w:val="00C74AC0"/>
    <w:rsid w:val="00C752B6"/>
    <w:rsid w:val="00C77C16"/>
    <w:rsid w:val="00C8221C"/>
    <w:rsid w:val="00C83EFD"/>
    <w:rsid w:val="00C9010A"/>
    <w:rsid w:val="00CA1E9F"/>
    <w:rsid w:val="00CA3F3A"/>
    <w:rsid w:val="00CA411A"/>
    <w:rsid w:val="00CC0CD2"/>
    <w:rsid w:val="00CD0991"/>
    <w:rsid w:val="00CD3B27"/>
    <w:rsid w:val="00CD5C7B"/>
    <w:rsid w:val="00CD661D"/>
    <w:rsid w:val="00CE5837"/>
    <w:rsid w:val="00CE60A2"/>
    <w:rsid w:val="00CF3071"/>
    <w:rsid w:val="00CF45F6"/>
    <w:rsid w:val="00CF6868"/>
    <w:rsid w:val="00CF6A2A"/>
    <w:rsid w:val="00D03863"/>
    <w:rsid w:val="00D20518"/>
    <w:rsid w:val="00D2068D"/>
    <w:rsid w:val="00D21EAB"/>
    <w:rsid w:val="00D21F96"/>
    <w:rsid w:val="00D27BE1"/>
    <w:rsid w:val="00D34A4B"/>
    <w:rsid w:val="00D3705E"/>
    <w:rsid w:val="00D37E26"/>
    <w:rsid w:val="00D417FC"/>
    <w:rsid w:val="00D43CD3"/>
    <w:rsid w:val="00D47745"/>
    <w:rsid w:val="00D539BD"/>
    <w:rsid w:val="00D54B82"/>
    <w:rsid w:val="00D56577"/>
    <w:rsid w:val="00D6156E"/>
    <w:rsid w:val="00D63EFB"/>
    <w:rsid w:val="00D65206"/>
    <w:rsid w:val="00D67496"/>
    <w:rsid w:val="00D77D73"/>
    <w:rsid w:val="00D84517"/>
    <w:rsid w:val="00D872D1"/>
    <w:rsid w:val="00D9171E"/>
    <w:rsid w:val="00D940F8"/>
    <w:rsid w:val="00D96A98"/>
    <w:rsid w:val="00D96D39"/>
    <w:rsid w:val="00D97522"/>
    <w:rsid w:val="00DA5ED6"/>
    <w:rsid w:val="00DA7B86"/>
    <w:rsid w:val="00DB2A59"/>
    <w:rsid w:val="00DB38EE"/>
    <w:rsid w:val="00DC02AE"/>
    <w:rsid w:val="00DC133D"/>
    <w:rsid w:val="00DC237A"/>
    <w:rsid w:val="00DC65C4"/>
    <w:rsid w:val="00DD4CAC"/>
    <w:rsid w:val="00DE0451"/>
    <w:rsid w:val="00DF298A"/>
    <w:rsid w:val="00DF5927"/>
    <w:rsid w:val="00DF6E3E"/>
    <w:rsid w:val="00DF76D3"/>
    <w:rsid w:val="00E05282"/>
    <w:rsid w:val="00E06A4F"/>
    <w:rsid w:val="00E1392C"/>
    <w:rsid w:val="00E15045"/>
    <w:rsid w:val="00E277CF"/>
    <w:rsid w:val="00E27FFA"/>
    <w:rsid w:val="00E31633"/>
    <w:rsid w:val="00E33628"/>
    <w:rsid w:val="00E355EB"/>
    <w:rsid w:val="00E41CCC"/>
    <w:rsid w:val="00E42FB2"/>
    <w:rsid w:val="00E52F40"/>
    <w:rsid w:val="00E539DA"/>
    <w:rsid w:val="00E54093"/>
    <w:rsid w:val="00E54401"/>
    <w:rsid w:val="00E56018"/>
    <w:rsid w:val="00E56643"/>
    <w:rsid w:val="00E627A2"/>
    <w:rsid w:val="00E64C62"/>
    <w:rsid w:val="00E72D6E"/>
    <w:rsid w:val="00E73931"/>
    <w:rsid w:val="00E864A6"/>
    <w:rsid w:val="00E87A9A"/>
    <w:rsid w:val="00E92EF8"/>
    <w:rsid w:val="00EA089C"/>
    <w:rsid w:val="00EA383A"/>
    <w:rsid w:val="00EA5FCD"/>
    <w:rsid w:val="00EB6CE3"/>
    <w:rsid w:val="00EC0607"/>
    <w:rsid w:val="00EC132C"/>
    <w:rsid w:val="00EC176E"/>
    <w:rsid w:val="00ED149A"/>
    <w:rsid w:val="00EE05EE"/>
    <w:rsid w:val="00EE0F3D"/>
    <w:rsid w:val="00EE1D17"/>
    <w:rsid w:val="00EE5554"/>
    <w:rsid w:val="00F0430A"/>
    <w:rsid w:val="00F0761E"/>
    <w:rsid w:val="00F076AC"/>
    <w:rsid w:val="00F13AC2"/>
    <w:rsid w:val="00F216A9"/>
    <w:rsid w:val="00F2248F"/>
    <w:rsid w:val="00F231E9"/>
    <w:rsid w:val="00F24B0F"/>
    <w:rsid w:val="00F312C0"/>
    <w:rsid w:val="00F33BBB"/>
    <w:rsid w:val="00F35DA5"/>
    <w:rsid w:val="00F3750C"/>
    <w:rsid w:val="00F4085B"/>
    <w:rsid w:val="00F46A4E"/>
    <w:rsid w:val="00F471B4"/>
    <w:rsid w:val="00F60AF4"/>
    <w:rsid w:val="00F65C4C"/>
    <w:rsid w:val="00F66734"/>
    <w:rsid w:val="00F669F0"/>
    <w:rsid w:val="00F70354"/>
    <w:rsid w:val="00F706B9"/>
    <w:rsid w:val="00F70C26"/>
    <w:rsid w:val="00F73925"/>
    <w:rsid w:val="00F74F97"/>
    <w:rsid w:val="00F7532B"/>
    <w:rsid w:val="00F77E3C"/>
    <w:rsid w:val="00F80204"/>
    <w:rsid w:val="00F90DCE"/>
    <w:rsid w:val="00F9261C"/>
    <w:rsid w:val="00FA72FD"/>
    <w:rsid w:val="00FB3271"/>
    <w:rsid w:val="00FB761B"/>
    <w:rsid w:val="00FB789D"/>
    <w:rsid w:val="00FC0261"/>
    <w:rsid w:val="00FC51B4"/>
    <w:rsid w:val="00FC57D3"/>
    <w:rsid w:val="00FD19B6"/>
    <w:rsid w:val="00FD281C"/>
    <w:rsid w:val="00FD3329"/>
    <w:rsid w:val="00FD4388"/>
    <w:rsid w:val="00FD6208"/>
    <w:rsid w:val="00FE24CD"/>
    <w:rsid w:val="00FF121B"/>
    <w:rsid w:val="00FF1BCC"/>
    <w:rsid w:val="00FF4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semiHidden/>
    <w:unhideWhenUsed/>
    <w:rsid w:val="003171D9"/>
    <w:rPr>
      <w:sz w:val="20"/>
      <w:szCs w:val="20"/>
    </w:rPr>
  </w:style>
  <w:style w:type="character" w:customStyle="1" w:styleId="FootnoteTextChar">
    <w:name w:val="Footnote Text Char"/>
    <w:basedOn w:val="DefaultParagraphFont"/>
    <w:link w:val="FootnoteText"/>
    <w:uiPriority w:val="99"/>
    <w:semiHidden/>
    <w:rsid w:val="003171D9"/>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317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2.xml><?xml version="1.0" encoding="utf-8"?>
<ds:datastoreItem xmlns:ds="http://schemas.openxmlformats.org/officeDocument/2006/customXml" ds:itemID="{944613D9-F99B-42AE-A487-05AF06A66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8D168-CA1E-4A58-8493-1F549762843B}">
  <ds:schemaRefs>
    <ds:schemaRef ds:uri="http://schemas.openxmlformats.org/officeDocument/2006/bibliography"/>
  </ds:schemaRefs>
</ds:datastoreItem>
</file>

<file path=customXml/itemProps4.xml><?xml version="1.0" encoding="utf-8"?>
<ds:datastoreItem xmlns:ds="http://schemas.openxmlformats.org/officeDocument/2006/customXml" ds:itemID="{AD26CD54-8697-499A-A9B3-EEE529F89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11</Pages>
  <Words>5504</Words>
  <Characters>27468</Characters>
  <Application>Microsoft Office Word</Application>
  <DocSecurity>0</DocSecurity>
  <Lines>366</Lines>
  <Paragraphs>104</Paragraphs>
  <ScaleCrop>false</ScaleCrop>
  <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 Calder</dc:creator>
  <cp:lastModifiedBy>Mark Behrendt</cp:lastModifiedBy>
  <cp:revision>565</cp:revision>
  <dcterms:created xsi:type="dcterms:W3CDTF">2025-12-12T09:26:00Z</dcterms:created>
  <dcterms:modified xsi:type="dcterms:W3CDTF">2025-12-19T15:03:00Z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