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52BE4897" w:rsidR="00F0430A" w:rsidRDefault="00D616B9" w:rsidP="00F0430A">
      <w:pPr>
        <w:pStyle w:val="Heading3"/>
        <w:spacing w:after="240" w:line="276" w:lineRule="auto"/>
        <w:rPr>
          <w:rFonts w:ascii="Arial" w:hAnsi="Arial" w:cs="Arial"/>
          <w:sz w:val="22"/>
          <w:szCs w:val="22"/>
        </w:rPr>
      </w:pPr>
      <w:r>
        <w:rPr>
          <w:rFonts w:ascii="Arial" w:hAnsi="Arial" w:cs="Arial"/>
          <w:sz w:val="22"/>
          <w:szCs w:val="22"/>
        </w:rPr>
        <w:t xml:space="preserve">ROTHER </w:t>
      </w:r>
      <w:r w:rsidR="00F0430A">
        <w:rPr>
          <w:rFonts w:ascii="Arial" w:hAnsi="Arial" w:cs="Arial"/>
          <w:sz w:val="22"/>
          <w:szCs w:val="22"/>
        </w:rPr>
        <w:t>LOCAL PLAN</w:t>
      </w:r>
      <w:r>
        <w:rPr>
          <w:rFonts w:ascii="Arial" w:hAnsi="Arial" w:cs="Arial"/>
          <w:sz w:val="22"/>
          <w:szCs w:val="22"/>
        </w:rPr>
        <w:t xml:space="preserve"> – DEVELOPMENT STRATEGY AND SITE ALLOCATIONS</w:t>
      </w:r>
    </w:p>
    <w:p w14:paraId="4F9A4834" w14:textId="0A05B538"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D616B9">
        <w:rPr>
          <w:rFonts w:ascii="Times New Roman" w:hAnsi="Times New Roman" w:cs="Times New Roman"/>
          <w:bCs/>
        </w:rPr>
        <w:t xml:space="preserve">Rother </w:t>
      </w:r>
      <w:r>
        <w:rPr>
          <w:rFonts w:ascii="Times New Roman" w:hAnsi="Times New Roman" w:cs="Times New Roman"/>
          <w:bCs/>
        </w:rPr>
        <w:t>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1BE80B2B" w14:textId="77777777" w:rsidR="00AE7197" w:rsidRPr="00AE7197" w:rsidRDefault="00AE7197" w:rsidP="00AE7197">
      <w:pPr>
        <w:widowControl/>
        <w:suppressAutoHyphens w:val="0"/>
        <w:autoSpaceDE/>
        <w:spacing w:after="240" w:line="360" w:lineRule="auto"/>
        <w:jc w:val="both"/>
        <w:rPr>
          <w:rFonts w:ascii="Times New Roman" w:hAnsi="Times New Roman" w:cs="Times New Roman"/>
          <w:bCs/>
        </w:rPr>
      </w:pPr>
      <w:r w:rsidRPr="00AE7197">
        <w:rPr>
          <w:rFonts w:ascii="Times New Roman" w:hAnsi="Times New Roman" w:cs="Times New Roman"/>
          <w:bCs/>
        </w:rPr>
        <w:t>Draft National Planning Policy Framework</w:t>
      </w:r>
    </w:p>
    <w:p w14:paraId="3001425F" w14:textId="2443E92F" w:rsidR="00AE7197" w:rsidRPr="00AE7197" w:rsidRDefault="00476B3B" w:rsidP="00D1202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w:t>
      </w:r>
      <w:r w:rsidR="007556C8">
        <w:rPr>
          <w:rFonts w:ascii="Times New Roman" w:hAnsi="Times New Roman" w:cs="Times New Roman"/>
          <w:bCs/>
        </w:rPr>
        <w:t>Council</w:t>
      </w:r>
      <w:r w:rsidR="00434791">
        <w:rPr>
          <w:rFonts w:ascii="Times New Roman" w:hAnsi="Times New Roman" w:cs="Times New Roman"/>
          <w:bCs/>
        </w:rPr>
        <w:t xml:space="preserve"> </w:t>
      </w:r>
      <w:r w:rsidR="007556C8">
        <w:rPr>
          <w:rFonts w:ascii="Times New Roman" w:hAnsi="Times New Roman" w:cs="Times New Roman"/>
          <w:bCs/>
        </w:rPr>
        <w:t>recognise</w:t>
      </w:r>
      <w:r w:rsidR="004D45DB">
        <w:rPr>
          <w:rFonts w:ascii="Times New Roman" w:hAnsi="Times New Roman" w:cs="Times New Roman"/>
          <w:bCs/>
        </w:rPr>
        <w:t xml:space="preserve"> in paragraph 1.23 to 1.26</w:t>
      </w:r>
      <w:r w:rsidR="00434791">
        <w:rPr>
          <w:rFonts w:ascii="Times New Roman" w:hAnsi="Times New Roman" w:cs="Times New Roman"/>
          <w:bCs/>
        </w:rPr>
        <w:t xml:space="preserve"> that imminent changes to legislation and national policy </w:t>
      </w:r>
      <w:r w:rsidR="007556C8">
        <w:rPr>
          <w:rFonts w:ascii="Times New Roman" w:hAnsi="Times New Roman" w:cs="Times New Roman"/>
          <w:bCs/>
        </w:rPr>
        <w:t xml:space="preserve">will need to the be taken into account moving forward. </w:t>
      </w:r>
      <w:r w:rsidR="00AE7197" w:rsidRPr="00AE7197">
        <w:rPr>
          <w:rFonts w:ascii="Times New Roman" w:hAnsi="Times New Roman" w:cs="Times New Roman"/>
          <w:bCs/>
        </w:rPr>
        <w:t xml:space="preserve">HBF </w:t>
      </w:r>
      <w:r w:rsidR="004D45DB">
        <w:rPr>
          <w:rFonts w:ascii="Times New Roman" w:hAnsi="Times New Roman" w:cs="Times New Roman"/>
          <w:bCs/>
        </w:rPr>
        <w:t>agree</w:t>
      </w:r>
      <w:r w:rsidR="00D12028">
        <w:rPr>
          <w:rFonts w:ascii="Times New Roman" w:hAnsi="Times New Roman" w:cs="Times New Roman"/>
          <w:bCs/>
        </w:rPr>
        <w:t>.</w:t>
      </w:r>
      <w:r w:rsidR="004D45DB">
        <w:rPr>
          <w:rFonts w:ascii="Times New Roman" w:hAnsi="Times New Roman" w:cs="Times New Roman"/>
          <w:bCs/>
        </w:rPr>
        <w:t xml:space="preserve"> </w:t>
      </w:r>
      <w:r w:rsidR="00D12028">
        <w:rPr>
          <w:rFonts w:ascii="Times New Roman" w:hAnsi="Times New Roman" w:cs="Times New Roman"/>
          <w:bCs/>
        </w:rPr>
        <w:t>In particular</w:t>
      </w:r>
      <w:r w:rsidR="004D45DB">
        <w:rPr>
          <w:rFonts w:ascii="Times New Roman" w:hAnsi="Times New Roman" w:cs="Times New Roman"/>
          <w:bCs/>
        </w:rPr>
        <w:t xml:space="preserve"> </w:t>
      </w:r>
      <w:r w:rsidR="00AE7197" w:rsidRPr="00AE7197">
        <w:rPr>
          <w:rFonts w:ascii="Times New Roman" w:hAnsi="Times New Roman" w:cs="Times New Roman"/>
          <w:bCs/>
        </w:rPr>
        <w:t xml:space="preserve">consideration will need to be given as to how the new NPPF, when it is published later this year, impacts on the soundness of policies in the local plan. </w:t>
      </w:r>
    </w:p>
    <w:p w14:paraId="3B5BF082" w14:textId="5462B82D" w:rsidR="00AE7197" w:rsidRPr="00AE7197" w:rsidRDefault="00AE7197" w:rsidP="00D1202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E7197">
        <w:rPr>
          <w:rFonts w:ascii="Times New Roman" w:hAnsi="Times New Roman" w:cs="Times New Roman"/>
          <w:bCs/>
        </w:rPr>
        <w:t xml:space="preserve">On the basis of paragraph 4 and 8 in Annex A of the draft NPPF this local plan, which the Council propose to submit under the current plan making process, will be examined under the NPPF24. However, it is also notable that in relation to decision making Annex A also states that from the date the new NPPF is published local plan policies that are “…any way inconsistent with national decision making policies in this Framework should be given very limited weight, except where they have been examined and adopted against this Framework”. Therefore, should this new iteration of the NPPF be adopted unchanged the Council will need to have regard to national policies for decision making given that any inconsistency would effectively render many of the development management policies proposed in this consultation that are not consistent with the new Framework redundant as soon as the local plan is adopted. </w:t>
      </w:r>
    </w:p>
    <w:p w14:paraId="5A0AF4A4" w14:textId="39C98C2A" w:rsidR="00A53954" w:rsidRPr="00A53954" w:rsidRDefault="00AE7197" w:rsidP="00D1202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E7197">
        <w:rPr>
          <w:rFonts w:ascii="Times New Roman" w:hAnsi="Times New Roman" w:cs="Times New Roman"/>
          <w:bCs/>
        </w:rPr>
        <w:t>It is clear from the draft NPPF, and the decision to establish national policies for decision making, that the Government are seeking to limit the number of development management policies in local plans that seek to gold plate policies and go beyond national standards which place significant burdens on applicants as well as their own officers. As such, when the final version of the NPPF is published it is HBF’s contention that any policies which are inconsistent with the new framework should be deleted in order to avoid unnecessary and length discussions on an application by application basis as to the weight that should be attached to the policies in the adopted local plan.</w:t>
      </w:r>
    </w:p>
    <w:p w14:paraId="5245C75A" w14:textId="523CC881" w:rsidR="00225638" w:rsidRPr="008348B4" w:rsidRDefault="007702F8" w:rsidP="00FB3D18">
      <w:pPr>
        <w:widowControl/>
        <w:suppressAutoHyphens w:val="0"/>
        <w:autoSpaceDE/>
        <w:spacing w:after="240" w:line="360" w:lineRule="auto"/>
        <w:jc w:val="both"/>
        <w:rPr>
          <w:rFonts w:ascii="Times New Roman" w:hAnsi="Times New Roman" w:cs="Times New Roman"/>
          <w:bCs/>
          <w:i/>
          <w:iCs/>
          <w:u w:val="single"/>
        </w:rPr>
      </w:pPr>
      <w:r w:rsidRPr="008348B4">
        <w:rPr>
          <w:rFonts w:ascii="Times New Roman" w:hAnsi="Times New Roman" w:cs="Times New Roman"/>
          <w:bCs/>
          <w:i/>
          <w:iCs/>
          <w:u w:val="single"/>
        </w:rPr>
        <w:lastRenderedPageBreak/>
        <w:t>Q1. Do you have any comments on the amended Rother Local Plan Strategic Spatial Objectives shown in Figure 1?</w:t>
      </w:r>
    </w:p>
    <w:p w14:paraId="691B65E2" w14:textId="325BB1AB" w:rsidR="007702F8" w:rsidRDefault="001814C4" w:rsidP="008B045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Our only comment is with regard t</w:t>
      </w:r>
      <w:r w:rsidR="00823185">
        <w:rPr>
          <w:rFonts w:ascii="Times New Roman" w:hAnsi="Times New Roman" w:cs="Times New Roman"/>
          <w:bCs/>
        </w:rPr>
        <w:t>o</w:t>
      </w:r>
      <w:r>
        <w:rPr>
          <w:rFonts w:ascii="Times New Roman" w:hAnsi="Times New Roman" w:cs="Times New Roman"/>
          <w:bCs/>
        </w:rPr>
        <w:t xml:space="preserve"> the first objective. HBF </w:t>
      </w:r>
      <w:r w:rsidR="00375E21">
        <w:rPr>
          <w:rFonts w:ascii="Times New Roman" w:hAnsi="Times New Roman" w:cs="Times New Roman"/>
          <w:bCs/>
        </w:rPr>
        <w:t>recognise</w:t>
      </w:r>
      <w:r>
        <w:rPr>
          <w:rFonts w:ascii="Times New Roman" w:hAnsi="Times New Roman" w:cs="Times New Roman"/>
          <w:bCs/>
        </w:rPr>
        <w:t xml:space="preserve"> the </w:t>
      </w:r>
      <w:r w:rsidR="00D47030">
        <w:rPr>
          <w:rFonts w:ascii="Times New Roman" w:hAnsi="Times New Roman" w:cs="Times New Roman"/>
          <w:bCs/>
        </w:rPr>
        <w:t xml:space="preserve">importance of </w:t>
      </w:r>
      <w:r w:rsidR="00C7620F">
        <w:rPr>
          <w:rFonts w:ascii="Times New Roman" w:hAnsi="Times New Roman" w:cs="Times New Roman"/>
          <w:bCs/>
        </w:rPr>
        <w:t>achieving</w:t>
      </w:r>
      <w:r w:rsidR="00D47030">
        <w:rPr>
          <w:rFonts w:ascii="Times New Roman" w:hAnsi="Times New Roman" w:cs="Times New Roman"/>
          <w:bCs/>
        </w:rPr>
        <w:t xml:space="preserve"> national </w:t>
      </w:r>
      <w:r w:rsidR="00282421">
        <w:rPr>
          <w:rFonts w:ascii="Times New Roman" w:hAnsi="Times New Roman" w:cs="Times New Roman"/>
          <w:bCs/>
        </w:rPr>
        <w:t>net</w:t>
      </w:r>
      <w:r w:rsidR="00D47030">
        <w:rPr>
          <w:rFonts w:ascii="Times New Roman" w:hAnsi="Times New Roman" w:cs="Times New Roman"/>
          <w:bCs/>
        </w:rPr>
        <w:t xml:space="preserve"> zero </w:t>
      </w:r>
      <w:r w:rsidR="00823113">
        <w:rPr>
          <w:rFonts w:ascii="Times New Roman" w:hAnsi="Times New Roman" w:cs="Times New Roman"/>
          <w:bCs/>
        </w:rPr>
        <w:t>ambitions,</w:t>
      </w:r>
      <w:r w:rsidR="00D47030">
        <w:rPr>
          <w:rFonts w:ascii="Times New Roman" w:hAnsi="Times New Roman" w:cs="Times New Roman"/>
          <w:bCs/>
        </w:rPr>
        <w:t xml:space="preserve"> but </w:t>
      </w:r>
      <w:r w:rsidR="00E720DC">
        <w:rPr>
          <w:rFonts w:ascii="Times New Roman" w:hAnsi="Times New Roman" w:cs="Times New Roman"/>
          <w:bCs/>
        </w:rPr>
        <w:t xml:space="preserve">the local plan cannot on its own </w:t>
      </w:r>
      <w:r w:rsidR="008B045F">
        <w:rPr>
          <w:rFonts w:ascii="Times New Roman" w:hAnsi="Times New Roman" w:cs="Times New Roman"/>
          <w:bCs/>
        </w:rPr>
        <w:t>deliver</w:t>
      </w:r>
      <w:r w:rsidR="00E720DC">
        <w:rPr>
          <w:rFonts w:ascii="Times New Roman" w:hAnsi="Times New Roman" w:cs="Times New Roman"/>
          <w:bCs/>
        </w:rPr>
        <w:t xml:space="preserve"> this ambition. </w:t>
      </w:r>
      <w:r w:rsidR="00282421">
        <w:rPr>
          <w:rFonts w:ascii="Times New Roman" w:hAnsi="Times New Roman" w:cs="Times New Roman"/>
          <w:bCs/>
        </w:rPr>
        <w:t>Therefore,</w:t>
      </w:r>
      <w:r w:rsidR="00E720DC">
        <w:rPr>
          <w:rFonts w:ascii="Times New Roman" w:hAnsi="Times New Roman" w:cs="Times New Roman"/>
          <w:bCs/>
        </w:rPr>
        <w:t xml:space="preserve"> HBF </w:t>
      </w:r>
      <w:r w:rsidR="00282421">
        <w:rPr>
          <w:rFonts w:ascii="Times New Roman" w:hAnsi="Times New Roman" w:cs="Times New Roman"/>
          <w:bCs/>
        </w:rPr>
        <w:t>would</w:t>
      </w:r>
      <w:r w:rsidR="00E720DC">
        <w:rPr>
          <w:rFonts w:ascii="Times New Roman" w:hAnsi="Times New Roman" w:cs="Times New Roman"/>
          <w:bCs/>
        </w:rPr>
        <w:t xml:space="preserve"> suggest</w:t>
      </w:r>
      <w:r w:rsidR="008B045F">
        <w:rPr>
          <w:rFonts w:ascii="Times New Roman" w:hAnsi="Times New Roman" w:cs="Times New Roman"/>
          <w:bCs/>
        </w:rPr>
        <w:t>, as set out below,</w:t>
      </w:r>
      <w:r w:rsidR="00E720DC">
        <w:rPr>
          <w:rFonts w:ascii="Times New Roman" w:hAnsi="Times New Roman" w:cs="Times New Roman"/>
          <w:bCs/>
        </w:rPr>
        <w:t xml:space="preserve"> that </w:t>
      </w:r>
      <w:r w:rsidR="004C4BA1">
        <w:rPr>
          <w:rFonts w:ascii="Times New Roman" w:hAnsi="Times New Roman" w:cs="Times New Roman"/>
          <w:bCs/>
        </w:rPr>
        <w:t>an</w:t>
      </w:r>
      <w:r w:rsidR="00E720DC">
        <w:rPr>
          <w:rFonts w:ascii="Times New Roman" w:hAnsi="Times New Roman" w:cs="Times New Roman"/>
          <w:bCs/>
        </w:rPr>
        <w:t xml:space="preserve"> objective </w:t>
      </w:r>
      <w:r w:rsidR="00282421">
        <w:rPr>
          <w:rFonts w:ascii="Times New Roman" w:hAnsi="Times New Roman" w:cs="Times New Roman"/>
          <w:bCs/>
        </w:rPr>
        <w:t xml:space="preserve">which </w:t>
      </w:r>
      <w:r w:rsidR="00E720DC">
        <w:rPr>
          <w:rFonts w:ascii="Times New Roman" w:hAnsi="Times New Roman" w:cs="Times New Roman"/>
          <w:bCs/>
        </w:rPr>
        <w:t>state</w:t>
      </w:r>
      <w:r w:rsidR="00282421">
        <w:rPr>
          <w:rFonts w:ascii="Times New Roman" w:hAnsi="Times New Roman" w:cs="Times New Roman"/>
          <w:bCs/>
        </w:rPr>
        <w:t>s</w:t>
      </w:r>
      <w:r w:rsidR="00E720DC">
        <w:rPr>
          <w:rFonts w:ascii="Times New Roman" w:hAnsi="Times New Roman" w:cs="Times New Roman"/>
          <w:bCs/>
        </w:rPr>
        <w:t xml:space="preserve"> that </w:t>
      </w:r>
      <w:r w:rsidR="004C4BA1">
        <w:rPr>
          <w:rFonts w:ascii="Times New Roman" w:hAnsi="Times New Roman" w:cs="Times New Roman"/>
          <w:bCs/>
        </w:rPr>
        <w:t xml:space="preserve">the local plan </w:t>
      </w:r>
      <w:r w:rsidR="00282421">
        <w:rPr>
          <w:rFonts w:ascii="Times New Roman" w:hAnsi="Times New Roman" w:cs="Times New Roman"/>
          <w:bCs/>
        </w:rPr>
        <w:t>contributes</w:t>
      </w:r>
      <w:r w:rsidR="004C4BA1">
        <w:rPr>
          <w:rFonts w:ascii="Times New Roman" w:hAnsi="Times New Roman" w:cs="Times New Roman"/>
          <w:bCs/>
        </w:rPr>
        <w:t xml:space="preserve"> towards achi</w:t>
      </w:r>
      <w:r w:rsidR="00282421">
        <w:rPr>
          <w:rFonts w:ascii="Times New Roman" w:hAnsi="Times New Roman" w:cs="Times New Roman"/>
          <w:bCs/>
        </w:rPr>
        <w:t>eving</w:t>
      </w:r>
      <w:r w:rsidR="004C4BA1">
        <w:rPr>
          <w:rFonts w:ascii="Times New Roman" w:hAnsi="Times New Roman" w:cs="Times New Roman"/>
          <w:bCs/>
        </w:rPr>
        <w:t xml:space="preserve"> this </w:t>
      </w:r>
      <w:r w:rsidR="00375E21">
        <w:rPr>
          <w:rFonts w:ascii="Times New Roman" w:hAnsi="Times New Roman" w:cs="Times New Roman"/>
          <w:bCs/>
        </w:rPr>
        <w:t xml:space="preserve">net zero ambitions would be more appropriate. </w:t>
      </w:r>
    </w:p>
    <w:p w14:paraId="2FF4465F" w14:textId="51335BA0" w:rsidR="00F40CAB" w:rsidRPr="00F40CAB" w:rsidRDefault="00F40CAB" w:rsidP="008B045F">
      <w:pPr>
        <w:widowControl/>
        <w:suppressAutoHyphens w:val="0"/>
        <w:autoSpaceDE/>
        <w:spacing w:after="240" w:line="360" w:lineRule="auto"/>
        <w:ind w:left="1134" w:right="571"/>
        <w:jc w:val="both"/>
        <w:rPr>
          <w:rFonts w:ascii="Times New Roman" w:hAnsi="Times New Roman" w:cs="Times New Roman"/>
          <w:bCs/>
          <w:i/>
          <w:iCs/>
          <w:lang w:val="en-GB"/>
        </w:rPr>
      </w:pPr>
      <w:r w:rsidRPr="00F40CAB">
        <w:rPr>
          <w:rFonts w:ascii="Times New Roman" w:hAnsi="Times New Roman" w:cs="Times New Roman"/>
          <w:bCs/>
          <w:i/>
          <w:iCs/>
          <w:lang w:val="en-GB"/>
        </w:rPr>
        <w:t>Mitigate and adapt to climate change</w:t>
      </w:r>
      <w:r w:rsidR="00B16D08" w:rsidRPr="00823113">
        <w:rPr>
          <w:rFonts w:ascii="Times New Roman" w:hAnsi="Times New Roman" w:cs="Times New Roman"/>
          <w:bCs/>
          <w:i/>
          <w:iCs/>
          <w:lang w:val="en-GB"/>
        </w:rPr>
        <w:t xml:space="preserve">, support </w:t>
      </w:r>
      <w:r w:rsidR="005B06D1" w:rsidRPr="00823113">
        <w:rPr>
          <w:rFonts w:ascii="Times New Roman" w:hAnsi="Times New Roman" w:cs="Times New Roman"/>
          <w:bCs/>
          <w:i/>
          <w:iCs/>
          <w:lang w:val="en-GB"/>
        </w:rPr>
        <w:t xml:space="preserve">ambitions to achieve </w:t>
      </w:r>
      <w:r w:rsidRPr="00F40CAB">
        <w:rPr>
          <w:rFonts w:ascii="Times New Roman" w:hAnsi="Times New Roman" w:cs="Times New Roman"/>
          <w:bCs/>
          <w:i/>
          <w:iCs/>
          <w:lang w:val="en-GB"/>
        </w:rPr>
        <w:t xml:space="preserve">net zero carbon, reducing flood risk from all sources and promoting the multifunctional benefits of green blue infrastructure through effective and supportive planning policies. </w:t>
      </w:r>
    </w:p>
    <w:p w14:paraId="3F05FD5E" w14:textId="77777777" w:rsidR="0090625D" w:rsidRPr="0090625D" w:rsidRDefault="0090625D" w:rsidP="0090625D">
      <w:pPr>
        <w:widowControl/>
        <w:suppressAutoHyphens w:val="0"/>
        <w:autoSpaceDE/>
        <w:spacing w:after="240" w:line="360" w:lineRule="auto"/>
        <w:jc w:val="both"/>
        <w:rPr>
          <w:rFonts w:ascii="Times New Roman" w:hAnsi="Times New Roman" w:cs="Times New Roman"/>
          <w:i/>
          <w:iCs/>
          <w:u w:val="single"/>
          <w:lang w:val="en-GB"/>
        </w:rPr>
      </w:pPr>
      <w:r w:rsidRPr="0090625D">
        <w:rPr>
          <w:rFonts w:ascii="Times New Roman" w:hAnsi="Times New Roman" w:cs="Times New Roman"/>
          <w:i/>
          <w:iCs/>
          <w:u w:val="single"/>
          <w:lang w:val="en-GB"/>
        </w:rPr>
        <w:t xml:space="preserve">Q2. Do you have any comments on the Council’s proposed housing target for the Local Plan of 8,427 dwellings over the 17-year plan period, or 495 dwellings annually? </w:t>
      </w:r>
    </w:p>
    <w:p w14:paraId="03D83DC3" w14:textId="70328D84" w:rsidR="00F40CAB" w:rsidRDefault="004E1154"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proposed housing requirement leaves a shortfall against identified housing needs of </w:t>
      </w:r>
      <w:r w:rsidR="003D004F">
        <w:rPr>
          <w:rFonts w:ascii="Times New Roman" w:hAnsi="Times New Roman" w:cs="Times New Roman"/>
          <w:bCs/>
        </w:rPr>
        <w:t xml:space="preserve">over 7,000 homes. </w:t>
      </w:r>
      <w:r w:rsidR="00B770D3">
        <w:rPr>
          <w:rFonts w:ascii="Times New Roman" w:hAnsi="Times New Roman" w:cs="Times New Roman"/>
          <w:bCs/>
        </w:rPr>
        <w:t xml:space="preserve">This adds to the growing unmet housing needs </w:t>
      </w:r>
      <w:r w:rsidR="00D96FAB">
        <w:rPr>
          <w:rFonts w:ascii="Times New Roman" w:hAnsi="Times New Roman" w:cs="Times New Roman"/>
          <w:bCs/>
        </w:rPr>
        <w:t xml:space="preserve">of East Sussex. As the Council will </w:t>
      </w:r>
      <w:r w:rsidR="009B3078">
        <w:rPr>
          <w:rFonts w:ascii="Times New Roman" w:hAnsi="Times New Roman" w:cs="Times New Roman"/>
          <w:bCs/>
        </w:rPr>
        <w:t xml:space="preserve">no doubt </w:t>
      </w:r>
      <w:r w:rsidR="00D96FAB">
        <w:rPr>
          <w:rFonts w:ascii="Times New Roman" w:hAnsi="Times New Roman" w:cs="Times New Roman"/>
          <w:bCs/>
        </w:rPr>
        <w:t>be aware</w:t>
      </w:r>
      <w:r w:rsidR="009B3078">
        <w:rPr>
          <w:rFonts w:ascii="Times New Roman" w:hAnsi="Times New Roman" w:cs="Times New Roman"/>
          <w:bCs/>
        </w:rPr>
        <w:t xml:space="preserve"> </w:t>
      </w:r>
      <w:r w:rsidR="009F7485">
        <w:rPr>
          <w:rFonts w:ascii="Times New Roman" w:hAnsi="Times New Roman" w:cs="Times New Roman"/>
          <w:bCs/>
        </w:rPr>
        <w:t xml:space="preserve">across East Sussex the shortfall in meeting housing needs arising from plans currently in preparation is </w:t>
      </w:r>
      <w:r w:rsidR="001E46F7">
        <w:rPr>
          <w:rFonts w:ascii="Times New Roman" w:hAnsi="Times New Roman" w:cs="Times New Roman"/>
          <w:bCs/>
        </w:rPr>
        <w:t xml:space="preserve">over </w:t>
      </w:r>
      <w:r w:rsidR="000B0402">
        <w:rPr>
          <w:rFonts w:ascii="Times New Roman" w:hAnsi="Times New Roman" w:cs="Times New Roman"/>
          <w:bCs/>
        </w:rPr>
        <w:t>2,000 dwellings per annum (dpa)</w:t>
      </w:r>
      <w:r w:rsidR="00741F75">
        <w:rPr>
          <w:rFonts w:ascii="Times New Roman" w:hAnsi="Times New Roman" w:cs="Times New Roman"/>
          <w:bCs/>
        </w:rPr>
        <w:t xml:space="preserve">. </w:t>
      </w:r>
      <w:r w:rsidR="00EF069F">
        <w:rPr>
          <w:rFonts w:ascii="Times New Roman" w:hAnsi="Times New Roman" w:cs="Times New Roman"/>
          <w:bCs/>
        </w:rPr>
        <w:t xml:space="preserve">Over the plan period 2025 to 2042 this would lead to </w:t>
      </w:r>
      <w:r w:rsidR="006C66E0">
        <w:rPr>
          <w:rFonts w:ascii="Times New Roman" w:hAnsi="Times New Roman" w:cs="Times New Roman"/>
          <w:bCs/>
        </w:rPr>
        <w:t xml:space="preserve">near 36,000 fewer homes that </w:t>
      </w:r>
      <w:r w:rsidR="00E34840">
        <w:rPr>
          <w:rFonts w:ascii="Times New Roman" w:hAnsi="Times New Roman" w:cs="Times New Roman"/>
          <w:bCs/>
        </w:rPr>
        <w:t>are</w:t>
      </w:r>
      <w:r w:rsidR="006C66E0">
        <w:rPr>
          <w:rFonts w:ascii="Times New Roman" w:hAnsi="Times New Roman" w:cs="Times New Roman"/>
          <w:bCs/>
        </w:rPr>
        <w:t xml:space="preserve"> needed to address the housing crisis</w:t>
      </w:r>
      <w:r w:rsidR="0022501D">
        <w:rPr>
          <w:rFonts w:ascii="Times New Roman" w:hAnsi="Times New Roman" w:cs="Times New Roman"/>
          <w:bCs/>
        </w:rPr>
        <w:t xml:space="preserve"> in this area. </w:t>
      </w:r>
    </w:p>
    <w:p w14:paraId="52DF7C1A" w14:textId="77777777" w:rsidR="003C1929" w:rsidRPr="003C1929" w:rsidRDefault="003C1929"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C1929">
        <w:rPr>
          <w:rFonts w:ascii="Times New Roman" w:hAnsi="Times New Roman" w:cs="Times New Roman"/>
          <w:bCs/>
        </w:rPr>
        <w:t>This is not sustainable and will lead to significant shortfalls in both market and affordable housing, placing increasing pressure on housing markets that are already under significant stress. This can be seen in the affordability of housing across the region set out in the table below.</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4236"/>
        <w:gridCol w:w="4238"/>
      </w:tblGrid>
      <w:tr w:rsidR="003C1929" w:rsidRPr="00E27CED" w14:paraId="3944461C" w14:textId="77777777" w:rsidTr="0015324B">
        <w:tc>
          <w:tcPr>
            <w:tcW w:w="831" w:type="pct"/>
            <w:tcBorders>
              <w:top w:val="single" w:sz="18" w:space="0" w:color="auto"/>
              <w:bottom w:val="single" w:sz="18" w:space="0" w:color="auto"/>
            </w:tcBorders>
            <w:vAlign w:val="center"/>
          </w:tcPr>
          <w:p w14:paraId="62A8CA89" w14:textId="77777777" w:rsidR="003C1929" w:rsidRPr="00E27CED" w:rsidRDefault="003C1929" w:rsidP="0015324B">
            <w:pPr>
              <w:widowControl/>
              <w:suppressAutoHyphens w:val="0"/>
              <w:autoSpaceDE/>
              <w:spacing w:line="360" w:lineRule="auto"/>
              <w:rPr>
                <w:rFonts w:ascii="Times New Roman" w:hAnsi="Times New Roman" w:cs="Times New Roman"/>
                <w:b/>
                <w:bCs/>
              </w:rPr>
            </w:pPr>
            <w:r w:rsidRPr="00E27CED">
              <w:rPr>
                <w:rFonts w:ascii="Times New Roman" w:hAnsi="Times New Roman" w:cs="Times New Roman"/>
                <w:b/>
                <w:bCs/>
              </w:rPr>
              <w:t>LPA</w:t>
            </w:r>
          </w:p>
        </w:tc>
        <w:tc>
          <w:tcPr>
            <w:tcW w:w="2084" w:type="pct"/>
            <w:tcBorders>
              <w:top w:val="single" w:sz="18" w:space="0" w:color="auto"/>
              <w:bottom w:val="single" w:sz="18" w:space="0" w:color="auto"/>
            </w:tcBorders>
            <w:vAlign w:val="center"/>
          </w:tcPr>
          <w:p w14:paraId="006EC27D" w14:textId="77777777" w:rsidR="003C1929" w:rsidRPr="00E27CED" w:rsidRDefault="003C1929" w:rsidP="0015324B">
            <w:pPr>
              <w:widowControl/>
              <w:suppressAutoHyphens w:val="0"/>
              <w:autoSpaceDE/>
              <w:spacing w:line="360" w:lineRule="auto"/>
              <w:jc w:val="center"/>
              <w:rPr>
                <w:rFonts w:ascii="Times New Roman" w:hAnsi="Times New Roman" w:cs="Times New Roman"/>
                <w:b/>
                <w:bCs/>
              </w:rPr>
            </w:pPr>
            <w:r>
              <w:rPr>
                <w:rFonts w:ascii="Times New Roman" w:hAnsi="Times New Roman" w:cs="Times New Roman"/>
                <w:b/>
                <w:bCs/>
              </w:rPr>
              <w:t>Median Affordability Ratio 2024</w:t>
            </w:r>
          </w:p>
        </w:tc>
        <w:tc>
          <w:tcPr>
            <w:tcW w:w="2085" w:type="pct"/>
            <w:tcBorders>
              <w:top w:val="single" w:sz="18" w:space="0" w:color="auto"/>
              <w:bottom w:val="single" w:sz="18" w:space="0" w:color="auto"/>
            </w:tcBorders>
            <w:vAlign w:val="center"/>
          </w:tcPr>
          <w:p w14:paraId="3427EB49" w14:textId="77777777" w:rsidR="003C1929" w:rsidRDefault="003C1929" w:rsidP="0015324B">
            <w:pPr>
              <w:widowControl/>
              <w:suppressAutoHyphens w:val="0"/>
              <w:autoSpaceDE/>
              <w:spacing w:line="360" w:lineRule="auto"/>
              <w:jc w:val="center"/>
              <w:rPr>
                <w:rFonts w:ascii="Times New Roman" w:hAnsi="Times New Roman" w:cs="Times New Roman"/>
                <w:b/>
                <w:bCs/>
              </w:rPr>
            </w:pPr>
            <w:r>
              <w:rPr>
                <w:rFonts w:ascii="Times New Roman" w:hAnsi="Times New Roman" w:cs="Times New Roman"/>
                <w:b/>
                <w:bCs/>
              </w:rPr>
              <w:t xml:space="preserve">Median affordability ratio  </w:t>
            </w:r>
          </w:p>
          <w:p w14:paraId="7A7A19FF" w14:textId="77777777" w:rsidR="003C1929" w:rsidRPr="00E27CED" w:rsidRDefault="003C1929" w:rsidP="0015324B">
            <w:pPr>
              <w:widowControl/>
              <w:suppressAutoHyphens w:val="0"/>
              <w:autoSpaceDE/>
              <w:spacing w:line="360" w:lineRule="auto"/>
              <w:jc w:val="center"/>
              <w:rPr>
                <w:rFonts w:ascii="Times New Roman" w:hAnsi="Times New Roman" w:cs="Times New Roman"/>
                <w:b/>
                <w:bCs/>
              </w:rPr>
            </w:pPr>
            <w:r>
              <w:rPr>
                <w:rFonts w:ascii="Times New Roman" w:hAnsi="Times New Roman" w:cs="Times New Roman"/>
                <w:b/>
                <w:bCs/>
              </w:rPr>
              <w:t>5 year average</w:t>
            </w:r>
          </w:p>
        </w:tc>
      </w:tr>
      <w:tr w:rsidR="003C1929" w:rsidRPr="00E27CED" w14:paraId="33DBD6CD" w14:textId="77777777" w:rsidTr="0015324B">
        <w:tc>
          <w:tcPr>
            <w:tcW w:w="831" w:type="pct"/>
            <w:tcBorders>
              <w:top w:val="single" w:sz="18" w:space="0" w:color="auto"/>
            </w:tcBorders>
          </w:tcPr>
          <w:p w14:paraId="0B4262C9" w14:textId="77777777" w:rsidR="003C1929" w:rsidRPr="00E27CED" w:rsidRDefault="003C1929" w:rsidP="0015324B">
            <w:pPr>
              <w:widowControl/>
              <w:suppressAutoHyphens w:val="0"/>
              <w:autoSpaceDE/>
              <w:spacing w:line="360" w:lineRule="auto"/>
              <w:jc w:val="both"/>
              <w:rPr>
                <w:rFonts w:ascii="Times New Roman" w:hAnsi="Times New Roman" w:cs="Times New Roman"/>
                <w:bCs/>
              </w:rPr>
            </w:pPr>
            <w:r w:rsidRPr="00E27CED">
              <w:rPr>
                <w:rFonts w:ascii="Times New Roman" w:hAnsi="Times New Roman" w:cs="Times New Roman"/>
                <w:bCs/>
              </w:rPr>
              <w:t xml:space="preserve">Lewes </w:t>
            </w:r>
          </w:p>
        </w:tc>
        <w:tc>
          <w:tcPr>
            <w:tcW w:w="2084" w:type="pct"/>
            <w:tcBorders>
              <w:top w:val="single" w:sz="18" w:space="0" w:color="auto"/>
            </w:tcBorders>
            <w:vAlign w:val="center"/>
          </w:tcPr>
          <w:p w14:paraId="0CD47EDB"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12.02</w:t>
            </w:r>
          </w:p>
        </w:tc>
        <w:tc>
          <w:tcPr>
            <w:tcW w:w="2085" w:type="pct"/>
            <w:tcBorders>
              <w:top w:val="single" w:sz="18" w:space="0" w:color="auto"/>
            </w:tcBorders>
            <w:vAlign w:val="center"/>
          </w:tcPr>
          <w:p w14:paraId="4F135620"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11.68</w:t>
            </w:r>
          </w:p>
        </w:tc>
      </w:tr>
      <w:tr w:rsidR="003C1929" w:rsidRPr="00E27CED" w14:paraId="618FB67D" w14:textId="77777777" w:rsidTr="0015324B">
        <w:tc>
          <w:tcPr>
            <w:tcW w:w="831" w:type="pct"/>
          </w:tcPr>
          <w:p w14:paraId="13CC53C3" w14:textId="77777777" w:rsidR="003C1929" w:rsidRPr="00E27CED" w:rsidRDefault="003C1929" w:rsidP="0015324B">
            <w:pPr>
              <w:widowControl/>
              <w:suppressAutoHyphens w:val="0"/>
              <w:autoSpaceDE/>
              <w:spacing w:line="360" w:lineRule="auto"/>
              <w:jc w:val="both"/>
              <w:rPr>
                <w:rFonts w:ascii="Times New Roman" w:hAnsi="Times New Roman" w:cs="Times New Roman"/>
                <w:bCs/>
              </w:rPr>
            </w:pPr>
            <w:r w:rsidRPr="00E27CED">
              <w:rPr>
                <w:rFonts w:ascii="Times New Roman" w:hAnsi="Times New Roman" w:cs="Times New Roman"/>
                <w:bCs/>
              </w:rPr>
              <w:t>Wealden</w:t>
            </w:r>
          </w:p>
        </w:tc>
        <w:tc>
          <w:tcPr>
            <w:tcW w:w="2084" w:type="pct"/>
            <w:vAlign w:val="center"/>
          </w:tcPr>
          <w:p w14:paraId="20B618CA"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11.47</w:t>
            </w:r>
          </w:p>
        </w:tc>
        <w:tc>
          <w:tcPr>
            <w:tcW w:w="2085" w:type="pct"/>
            <w:vAlign w:val="center"/>
          </w:tcPr>
          <w:p w14:paraId="04E1B2A9"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12.38</w:t>
            </w:r>
          </w:p>
        </w:tc>
      </w:tr>
      <w:tr w:rsidR="003C1929" w:rsidRPr="00E27CED" w14:paraId="7B4C866E" w14:textId="77777777" w:rsidTr="0015324B">
        <w:tc>
          <w:tcPr>
            <w:tcW w:w="831" w:type="pct"/>
          </w:tcPr>
          <w:p w14:paraId="6158C2FB" w14:textId="77777777" w:rsidR="003C1929" w:rsidRPr="00E27CED" w:rsidRDefault="003C1929" w:rsidP="0015324B">
            <w:pPr>
              <w:widowControl/>
              <w:suppressAutoHyphens w:val="0"/>
              <w:autoSpaceDE/>
              <w:spacing w:line="360" w:lineRule="auto"/>
              <w:jc w:val="both"/>
              <w:rPr>
                <w:rFonts w:ascii="Times New Roman" w:hAnsi="Times New Roman" w:cs="Times New Roman"/>
                <w:bCs/>
              </w:rPr>
            </w:pPr>
            <w:r w:rsidRPr="00E27CED">
              <w:rPr>
                <w:rFonts w:ascii="Times New Roman" w:hAnsi="Times New Roman" w:cs="Times New Roman"/>
                <w:bCs/>
              </w:rPr>
              <w:t>Rother</w:t>
            </w:r>
          </w:p>
        </w:tc>
        <w:tc>
          <w:tcPr>
            <w:tcW w:w="2084" w:type="pct"/>
            <w:vAlign w:val="center"/>
          </w:tcPr>
          <w:p w14:paraId="253D14C4"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11.07</w:t>
            </w:r>
          </w:p>
        </w:tc>
        <w:tc>
          <w:tcPr>
            <w:tcW w:w="2085" w:type="pct"/>
            <w:vAlign w:val="center"/>
          </w:tcPr>
          <w:p w14:paraId="3352672A"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12.36</w:t>
            </w:r>
          </w:p>
        </w:tc>
      </w:tr>
      <w:tr w:rsidR="003C1929" w:rsidRPr="00E27CED" w14:paraId="16A9E567" w14:textId="77777777" w:rsidTr="0015324B">
        <w:trPr>
          <w:trHeight w:val="70"/>
        </w:trPr>
        <w:tc>
          <w:tcPr>
            <w:tcW w:w="831" w:type="pct"/>
          </w:tcPr>
          <w:p w14:paraId="41CE1170" w14:textId="77777777" w:rsidR="003C1929" w:rsidRPr="00E27CED" w:rsidRDefault="003C1929" w:rsidP="0015324B">
            <w:pPr>
              <w:widowControl/>
              <w:suppressAutoHyphens w:val="0"/>
              <w:autoSpaceDE/>
              <w:spacing w:line="360" w:lineRule="auto"/>
              <w:jc w:val="both"/>
              <w:rPr>
                <w:rFonts w:ascii="Times New Roman" w:hAnsi="Times New Roman" w:cs="Times New Roman"/>
                <w:bCs/>
              </w:rPr>
            </w:pPr>
            <w:r w:rsidRPr="00E27CED">
              <w:rPr>
                <w:rFonts w:ascii="Times New Roman" w:hAnsi="Times New Roman" w:cs="Times New Roman"/>
                <w:bCs/>
              </w:rPr>
              <w:t>Eastbourne</w:t>
            </w:r>
          </w:p>
        </w:tc>
        <w:tc>
          <w:tcPr>
            <w:tcW w:w="2084" w:type="pct"/>
            <w:vAlign w:val="center"/>
          </w:tcPr>
          <w:p w14:paraId="197FC9AF"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8.48</w:t>
            </w:r>
          </w:p>
        </w:tc>
        <w:tc>
          <w:tcPr>
            <w:tcW w:w="2085" w:type="pct"/>
            <w:vAlign w:val="center"/>
          </w:tcPr>
          <w:p w14:paraId="566909CD"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9.09</w:t>
            </w:r>
          </w:p>
        </w:tc>
      </w:tr>
      <w:tr w:rsidR="003C1929" w:rsidRPr="00E27CED" w14:paraId="66BC7061" w14:textId="77777777" w:rsidTr="0015324B">
        <w:tc>
          <w:tcPr>
            <w:tcW w:w="831" w:type="pct"/>
          </w:tcPr>
          <w:p w14:paraId="0ED2516D" w14:textId="77777777" w:rsidR="003C1929" w:rsidRPr="00E27CED" w:rsidRDefault="003C1929" w:rsidP="0015324B">
            <w:pPr>
              <w:widowControl/>
              <w:suppressAutoHyphens w:val="0"/>
              <w:autoSpaceDE/>
              <w:spacing w:line="360" w:lineRule="auto"/>
              <w:jc w:val="both"/>
              <w:rPr>
                <w:rFonts w:ascii="Times New Roman" w:hAnsi="Times New Roman" w:cs="Times New Roman"/>
                <w:bCs/>
              </w:rPr>
            </w:pPr>
            <w:r w:rsidRPr="00E27CED">
              <w:rPr>
                <w:rFonts w:ascii="Times New Roman" w:hAnsi="Times New Roman" w:cs="Times New Roman"/>
                <w:bCs/>
              </w:rPr>
              <w:t>Hastings</w:t>
            </w:r>
          </w:p>
        </w:tc>
        <w:tc>
          <w:tcPr>
            <w:tcW w:w="2084" w:type="pct"/>
            <w:vAlign w:val="center"/>
          </w:tcPr>
          <w:p w14:paraId="358A6E22"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8.29</w:t>
            </w:r>
          </w:p>
        </w:tc>
        <w:tc>
          <w:tcPr>
            <w:tcW w:w="2085" w:type="pct"/>
            <w:vAlign w:val="center"/>
          </w:tcPr>
          <w:p w14:paraId="1AAFD649" w14:textId="77777777" w:rsidR="003C1929" w:rsidRPr="00E27CED" w:rsidRDefault="003C1929" w:rsidP="0015324B">
            <w:pPr>
              <w:widowControl/>
              <w:suppressAutoHyphens w:val="0"/>
              <w:autoSpaceDE/>
              <w:spacing w:line="360" w:lineRule="auto"/>
              <w:jc w:val="center"/>
              <w:rPr>
                <w:rFonts w:ascii="Times New Roman" w:hAnsi="Times New Roman" w:cs="Times New Roman"/>
                <w:bCs/>
              </w:rPr>
            </w:pPr>
            <w:r>
              <w:rPr>
                <w:rFonts w:ascii="Times New Roman" w:hAnsi="Times New Roman" w:cs="Times New Roman"/>
                <w:bCs/>
              </w:rPr>
              <w:t>9.99</w:t>
            </w:r>
          </w:p>
        </w:tc>
      </w:tr>
    </w:tbl>
    <w:p w14:paraId="66302C7A" w14:textId="77777777" w:rsidR="003C1929" w:rsidRDefault="003C1929" w:rsidP="003C1929">
      <w:pPr>
        <w:widowControl/>
        <w:suppressAutoHyphens w:val="0"/>
        <w:autoSpaceDE/>
        <w:spacing w:line="360" w:lineRule="auto"/>
        <w:jc w:val="both"/>
        <w:rPr>
          <w:rFonts w:ascii="Times New Roman" w:hAnsi="Times New Roman" w:cs="Times New Roman"/>
          <w:bCs/>
        </w:rPr>
      </w:pPr>
    </w:p>
    <w:p w14:paraId="61272C18" w14:textId="78E3A711" w:rsidR="003C1929" w:rsidRPr="003C1929" w:rsidRDefault="003C1929"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C1929">
        <w:rPr>
          <w:rFonts w:ascii="Times New Roman" w:hAnsi="Times New Roman" w:cs="Times New Roman"/>
          <w:bCs/>
        </w:rPr>
        <w:t>What is evident is that across East Sus</w:t>
      </w:r>
      <w:r w:rsidR="008B060E">
        <w:rPr>
          <w:rFonts w:ascii="Times New Roman" w:hAnsi="Times New Roman" w:cs="Times New Roman"/>
          <w:bCs/>
        </w:rPr>
        <w:t>s</w:t>
      </w:r>
      <w:r w:rsidRPr="003C1929">
        <w:rPr>
          <w:rFonts w:ascii="Times New Roman" w:hAnsi="Times New Roman" w:cs="Times New Roman"/>
          <w:bCs/>
        </w:rPr>
        <w:t>ex house prices far exceed local salaries, meaning that ho</w:t>
      </w:r>
      <w:r w:rsidR="00DC6406">
        <w:rPr>
          <w:rFonts w:ascii="Times New Roman" w:hAnsi="Times New Roman" w:cs="Times New Roman"/>
          <w:bCs/>
        </w:rPr>
        <w:t>u</w:t>
      </w:r>
      <w:r w:rsidRPr="003C1929">
        <w:rPr>
          <w:rFonts w:ascii="Times New Roman" w:hAnsi="Times New Roman" w:cs="Times New Roman"/>
          <w:bCs/>
        </w:rPr>
        <w:t xml:space="preserve">sing in the area is unaffordable for those people who live and work in the area.  Even those areas in the county that are more affordable, Eastbourne and Hastings, still see average house prices of 8 times salaries. It is also notable that these two areas are the most constrained with tight boundaries to the urban edge meaning development opportunities are far more limited. Without a significant boost to the supply of housing this situation will not improve and only likely to get worse. HBF therefore does not consider </w:t>
      </w:r>
      <w:r w:rsidR="002F767B">
        <w:rPr>
          <w:rFonts w:ascii="Times New Roman" w:hAnsi="Times New Roman" w:cs="Times New Roman"/>
          <w:bCs/>
        </w:rPr>
        <w:t xml:space="preserve">a strategy that </w:t>
      </w:r>
      <w:r w:rsidR="00BD455D">
        <w:rPr>
          <w:rFonts w:ascii="Times New Roman" w:hAnsi="Times New Roman" w:cs="Times New Roman"/>
          <w:bCs/>
        </w:rPr>
        <w:t xml:space="preserve">adds to this problem </w:t>
      </w:r>
      <w:r w:rsidRPr="003C1929">
        <w:rPr>
          <w:rFonts w:ascii="Times New Roman" w:hAnsi="Times New Roman" w:cs="Times New Roman"/>
          <w:bCs/>
        </w:rPr>
        <w:t>to be a sustainable strategy</w:t>
      </w:r>
      <w:r w:rsidR="00BD455D">
        <w:rPr>
          <w:rFonts w:ascii="Times New Roman" w:hAnsi="Times New Roman" w:cs="Times New Roman"/>
          <w:bCs/>
        </w:rPr>
        <w:t>.</w:t>
      </w:r>
    </w:p>
    <w:p w14:paraId="0D1F6CAA" w14:textId="77777777" w:rsidR="000F6874" w:rsidRDefault="00C81BCA" w:rsidP="000F687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The growing unmet needs </w:t>
      </w:r>
      <w:r w:rsidR="00A90995">
        <w:rPr>
          <w:rFonts w:ascii="Times New Roman" w:hAnsi="Times New Roman" w:cs="Times New Roman"/>
          <w:bCs/>
        </w:rPr>
        <w:t>across the sub region</w:t>
      </w:r>
      <w:r>
        <w:rPr>
          <w:rFonts w:ascii="Times New Roman" w:hAnsi="Times New Roman" w:cs="Times New Roman"/>
          <w:bCs/>
        </w:rPr>
        <w:t xml:space="preserve"> </w:t>
      </w:r>
      <w:r w:rsidR="00E36C3E" w:rsidRPr="003C1929">
        <w:rPr>
          <w:rFonts w:ascii="Times New Roman" w:hAnsi="Times New Roman" w:cs="Times New Roman"/>
          <w:bCs/>
        </w:rPr>
        <w:t>do</w:t>
      </w:r>
      <w:r w:rsidR="003C1929" w:rsidRPr="003C1929">
        <w:rPr>
          <w:rFonts w:ascii="Times New Roman" w:hAnsi="Times New Roman" w:cs="Times New Roman"/>
          <w:bCs/>
        </w:rPr>
        <w:t xml:space="preserve"> not appear to have been considered by the Council in the interim Sustainability Appraisal (SA</w:t>
      </w:r>
      <w:r>
        <w:rPr>
          <w:rFonts w:ascii="Times New Roman" w:hAnsi="Times New Roman" w:cs="Times New Roman"/>
          <w:bCs/>
        </w:rPr>
        <w:t>)</w:t>
      </w:r>
      <w:r w:rsidR="00A90995">
        <w:rPr>
          <w:rFonts w:ascii="Times New Roman" w:hAnsi="Times New Roman" w:cs="Times New Roman"/>
          <w:bCs/>
        </w:rPr>
        <w:t>, which</w:t>
      </w:r>
      <w:r w:rsidR="00AC01DE">
        <w:rPr>
          <w:rFonts w:ascii="Times New Roman" w:hAnsi="Times New Roman" w:cs="Times New Roman"/>
          <w:bCs/>
        </w:rPr>
        <w:t xml:space="preserve"> makes no reference to the scale of the unmet need for housing in </w:t>
      </w:r>
      <w:r w:rsidR="00DC14F2">
        <w:rPr>
          <w:rFonts w:ascii="Times New Roman" w:hAnsi="Times New Roman" w:cs="Times New Roman"/>
          <w:bCs/>
        </w:rPr>
        <w:t>neighbouring</w:t>
      </w:r>
      <w:r w:rsidR="00AC01DE">
        <w:rPr>
          <w:rFonts w:ascii="Times New Roman" w:hAnsi="Times New Roman" w:cs="Times New Roman"/>
          <w:bCs/>
        </w:rPr>
        <w:t xml:space="preserve"> areas and the </w:t>
      </w:r>
      <w:r w:rsidR="00DC14F2">
        <w:rPr>
          <w:rFonts w:ascii="Times New Roman" w:hAnsi="Times New Roman" w:cs="Times New Roman"/>
          <w:bCs/>
        </w:rPr>
        <w:t>pressure this will place on local housing markets</w:t>
      </w:r>
      <w:r w:rsidR="002B578E">
        <w:rPr>
          <w:rFonts w:ascii="Times New Roman" w:hAnsi="Times New Roman" w:cs="Times New Roman"/>
          <w:bCs/>
        </w:rPr>
        <w:t xml:space="preserve">. The demand for more homes will </w:t>
      </w:r>
      <w:r w:rsidR="002D5F85">
        <w:rPr>
          <w:rFonts w:ascii="Times New Roman" w:hAnsi="Times New Roman" w:cs="Times New Roman"/>
          <w:bCs/>
        </w:rPr>
        <w:t>potentially</w:t>
      </w:r>
      <w:r w:rsidR="002B578E">
        <w:rPr>
          <w:rFonts w:ascii="Times New Roman" w:hAnsi="Times New Roman" w:cs="Times New Roman"/>
          <w:bCs/>
        </w:rPr>
        <w:t xml:space="preserve"> see </w:t>
      </w:r>
      <w:r w:rsidR="008172DB">
        <w:rPr>
          <w:rFonts w:ascii="Times New Roman" w:hAnsi="Times New Roman" w:cs="Times New Roman"/>
          <w:bCs/>
        </w:rPr>
        <w:t xml:space="preserve">homes become even less affordable </w:t>
      </w:r>
      <w:r w:rsidR="00480737">
        <w:rPr>
          <w:rFonts w:ascii="Times New Roman" w:hAnsi="Times New Roman" w:cs="Times New Roman"/>
          <w:bCs/>
        </w:rPr>
        <w:t xml:space="preserve">for </w:t>
      </w:r>
      <w:r w:rsidR="008172DB">
        <w:rPr>
          <w:rFonts w:ascii="Times New Roman" w:hAnsi="Times New Roman" w:cs="Times New Roman"/>
          <w:bCs/>
        </w:rPr>
        <w:t xml:space="preserve">the majority </w:t>
      </w:r>
      <w:r w:rsidR="00DD75AD">
        <w:rPr>
          <w:rFonts w:ascii="Times New Roman" w:hAnsi="Times New Roman" w:cs="Times New Roman"/>
          <w:bCs/>
        </w:rPr>
        <w:t>of the population</w:t>
      </w:r>
      <w:r w:rsidR="008172DB">
        <w:rPr>
          <w:rFonts w:ascii="Times New Roman" w:hAnsi="Times New Roman" w:cs="Times New Roman"/>
          <w:bCs/>
        </w:rPr>
        <w:t xml:space="preserve"> and </w:t>
      </w:r>
      <w:r w:rsidR="00480737">
        <w:rPr>
          <w:rFonts w:ascii="Times New Roman" w:hAnsi="Times New Roman" w:cs="Times New Roman"/>
          <w:bCs/>
        </w:rPr>
        <w:t xml:space="preserve">an </w:t>
      </w:r>
      <w:r w:rsidR="008172DB">
        <w:rPr>
          <w:rFonts w:ascii="Times New Roman" w:hAnsi="Times New Roman" w:cs="Times New Roman"/>
          <w:bCs/>
        </w:rPr>
        <w:t xml:space="preserve">increasing demand for </w:t>
      </w:r>
      <w:r w:rsidR="002D5F85">
        <w:rPr>
          <w:rFonts w:ascii="Times New Roman" w:hAnsi="Times New Roman" w:cs="Times New Roman"/>
          <w:bCs/>
        </w:rPr>
        <w:t>affordable</w:t>
      </w:r>
      <w:r w:rsidR="008172DB">
        <w:rPr>
          <w:rFonts w:ascii="Times New Roman" w:hAnsi="Times New Roman" w:cs="Times New Roman"/>
          <w:bCs/>
        </w:rPr>
        <w:t xml:space="preserve"> housing, which will not be met due to </w:t>
      </w:r>
      <w:r w:rsidR="00DD75AD">
        <w:rPr>
          <w:rFonts w:ascii="Times New Roman" w:hAnsi="Times New Roman" w:cs="Times New Roman"/>
          <w:bCs/>
        </w:rPr>
        <w:t xml:space="preserve">the Council’s decision to restrict housing supply without </w:t>
      </w:r>
      <w:r w:rsidR="002D5F85">
        <w:rPr>
          <w:rFonts w:ascii="Times New Roman" w:hAnsi="Times New Roman" w:cs="Times New Roman"/>
          <w:bCs/>
        </w:rPr>
        <w:t xml:space="preserve">securing any delivery elsewhere. </w:t>
      </w:r>
    </w:p>
    <w:p w14:paraId="657FC00F" w14:textId="2A88600D" w:rsidR="00F9462B" w:rsidRPr="000F6874" w:rsidRDefault="008671E8" w:rsidP="000F687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While it </w:t>
      </w:r>
      <w:r w:rsidR="00656E81">
        <w:rPr>
          <w:rFonts w:ascii="Times New Roman" w:hAnsi="Times New Roman" w:cs="Times New Roman"/>
          <w:bCs/>
        </w:rPr>
        <w:t>must be recognised</w:t>
      </w:r>
      <w:r>
        <w:rPr>
          <w:rFonts w:ascii="Times New Roman" w:hAnsi="Times New Roman" w:cs="Times New Roman"/>
          <w:bCs/>
        </w:rPr>
        <w:t xml:space="preserve"> that o</w:t>
      </w:r>
      <w:r w:rsidR="000F6874">
        <w:rPr>
          <w:rFonts w:ascii="Times New Roman" w:hAnsi="Times New Roman" w:cs="Times New Roman"/>
          <w:bCs/>
        </w:rPr>
        <w:t xml:space="preserve">nce the relevant regulations have been approved by parliament </w:t>
      </w:r>
      <w:r w:rsidR="000F6874" w:rsidRPr="004D0A90">
        <w:rPr>
          <w:rFonts w:ascii="Times New Roman" w:hAnsi="Times New Roman" w:cs="Times New Roman"/>
          <w:bCs/>
        </w:rPr>
        <w:t>the legal duty to co-operate will not apply to this local plan</w:t>
      </w:r>
      <w:r w:rsidR="000F6874">
        <w:rPr>
          <w:rFonts w:ascii="Times New Roman" w:hAnsi="Times New Roman" w:cs="Times New Roman"/>
          <w:bCs/>
        </w:rPr>
        <w:t xml:space="preserve">. However, </w:t>
      </w:r>
      <w:r w:rsidR="000F6874" w:rsidRPr="004D0A90">
        <w:rPr>
          <w:rFonts w:ascii="Times New Roman" w:hAnsi="Times New Roman" w:cs="Times New Roman"/>
          <w:bCs/>
        </w:rPr>
        <w:t>this does not remove the requirement in the NPPF that in order to be considered sound a local plan must be “</w:t>
      </w:r>
      <w:r w:rsidR="000F6874" w:rsidRPr="00810153">
        <w:rPr>
          <w:rFonts w:ascii="Times New Roman" w:hAnsi="Times New Roman" w:cs="Times New Roman"/>
          <w:bCs/>
          <w:i/>
          <w:iCs/>
        </w:rPr>
        <w:t>based on effective joint working on cross-boundary strategic matters that have been dealt with rather than deferred, as evidenced by the statement of common ground</w:t>
      </w:r>
      <w:r w:rsidR="000F6874" w:rsidRPr="004D0A90">
        <w:rPr>
          <w:rFonts w:ascii="Times New Roman" w:hAnsi="Times New Roman" w:cs="Times New Roman"/>
          <w:bCs/>
        </w:rPr>
        <w:t xml:space="preserve">”. The only difference arising from the removal of the duty is that a failure to co-operate is </w:t>
      </w:r>
      <w:r w:rsidR="000F6874">
        <w:rPr>
          <w:rFonts w:ascii="Times New Roman" w:hAnsi="Times New Roman" w:cs="Times New Roman"/>
          <w:bCs/>
        </w:rPr>
        <w:t xml:space="preserve">solely </w:t>
      </w:r>
      <w:r w:rsidR="000F6874" w:rsidRPr="004D0A90">
        <w:rPr>
          <w:rFonts w:ascii="Times New Roman" w:hAnsi="Times New Roman" w:cs="Times New Roman"/>
          <w:bCs/>
        </w:rPr>
        <w:t>matter</w:t>
      </w:r>
      <w:r w:rsidR="000F6874">
        <w:rPr>
          <w:rFonts w:ascii="Times New Roman" w:hAnsi="Times New Roman" w:cs="Times New Roman"/>
          <w:bCs/>
        </w:rPr>
        <w:t xml:space="preserve"> of soundness.  As such the Council needs to ensure that its approach co-operation is effective in trying to address unmet needs rather than passively accepting these as an outcome of the preparing this local plan. </w:t>
      </w:r>
    </w:p>
    <w:p w14:paraId="36D38483" w14:textId="17CD2CF7" w:rsidR="003C1929" w:rsidRPr="003C1929" w:rsidRDefault="00876E38"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Council state in </w:t>
      </w:r>
      <w:r w:rsidR="001905CB">
        <w:rPr>
          <w:rFonts w:ascii="Times New Roman" w:hAnsi="Times New Roman" w:cs="Times New Roman"/>
          <w:bCs/>
        </w:rPr>
        <w:t>paragraph</w:t>
      </w:r>
      <w:r>
        <w:rPr>
          <w:rFonts w:ascii="Times New Roman" w:hAnsi="Times New Roman" w:cs="Times New Roman"/>
          <w:bCs/>
        </w:rPr>
        <w:t xml:space="preserve"> 3.2</w:t>
      </w:r>
      <w:r w:rsidR="004B7896">
        <w:rPr>
          <w:rFonts w:ascii="Times New Roman" w:hAnsi="Times New Roman" w:cs="Times New Roman"/>
          <w:bCs/>
        </w:rPr>
        <w:t xml:space="preserve">3 that the </w:t>
      </w:r>
      <w:r w:rsidR="001905CB">
        <w:rPr>
          <w:rFonts w:ascii="Times New Roman" w:hAnsi="Times New Roman" w:cs="Times New Roman"/>
          <w:bCs/>
        </w:rPr>
        <w:t>Council</w:t>
      </w:r>
      <w:r w:rsidR="004B7896">
        <w:rPr>
          <w:rFonts w:ascii="Times New Roman" w:hAnsi="Times New Roman" w:cs="Times New Roman"/>
          <w:bCs/>
        </w:rPr>
        <w:t xml:space="preserve"> will </w:t>
      </w:r>
      <w:r w:rsidR="001905CB">
        <w:rPr>
          <w:rFonts w:ascii="Times New Roman" w:hAnsi="Times New Roman" w:cs="Times New Roman"/>
          <w:bCs/>
        </w:rPr>
        <w:t>continue</w:t>
      </w:r>
      <w:r w:rsidR="004B7896">
        <w:rPr>
          <w:rFonts w:ascii="Times New Roman" w:hAnsi="Times New Roman" w:cs="Times New Roman"/>
          <w:bCs/>
        </w:rPr>
        <w:t xml:space="preserve"> to</w:t>
      </w:r>
      <w:r w:rsidR="001905CB">
        <w:rPr>
          <w:rFonts w:ascii="Times New Roman" w:hAnsi="Times New Roman" w:cs="Times New Roman"/>
          <w:bCs/>
        </w:rPr>
        <w:t xml:space="preserve"> engage</w:t>
      </w:r>
      <w:r w:rsidR="004B7896">
        <w:rPr>
          <w:rFonts w:ascii="Times New Roman" w:hAnsi="Times New Roman" w:cs="Times New Roman"/>
          <w:bCs/>
        </w:rPr>
        <w:t xml:space="preserve"> with </w:t>
      </w:r>
      <w:r w:rsidR="001905CB">
        <w:rPr>
          <w:rFonts w:ascii="Times New Roman" w:hAnsi="Times New Roman" w:cs="Times New Roman"/>
          <w:bCs/>
        </w:rPr>
        <w:t>neighbouring</w:t>
      </w:r>
      <w:r w:rsidR="004B7896">
        <w:rPr>
          <w:rFonts w:ascii="Times New Roman" w:hAnsi="Times New Roman" w:cs="Times New Roman"/>
          <w:bCs/>
        </w:rPr>
        <w:t xml:space="preserve"> areas to</w:t>
      </w:r>
      <w:r w:rsidR="001905CB">
        <w:rPr>
          <w:rFonts w:ascii="Times New Roman" w:hAnsi="Times New Roman" w:cs="Times New Roman"/>
          <w:bCs/>
        </w:rPr>
        <w:t xml:space="preserve"> establish</w:t>
      </w:r>
      <w:r w:rsidR="004B7896">
        <w:rPr>
          <w:rFonts w:ascii="Times New Roman" w:hAnsi="Times New Roman" w:cs="Times New Roman"/>
          <w:bCs/>
        </w:rPr>
        <w:t xml:space="preserve"> whether all</w:t>
      </w:r>
      <w:r w:rsidR="00C5049A">
        <w:rPr>
          <w:rFonts w:ascii="Times New Roman" w:hAnsi="Times New Roman" w:cs="Times New Roman"/>
          <w:bCs/>
        </w:rPr>
        <w:t>,</w:t>
      </w:r>
      <w:r w:rsidR="004B7896">
        <w:rPr>
          <w:rFonts w:ascii="Times New Roman" w:hAnsi="Times New Roman" w:cs="Times New Roman"/>
          <w:bCs/>
        </w:rPr>
        <w:t xml:space="preserve"> or some</w:t>
      </w:r>
      <w:r w:rsidR="00C5049A">
        <w:rPr>
          <w:rFonts w:ascii="Times New Roman" w:hAnsi="Times New Roman" w:cs="Times New Roman"/>
          <w:bCs/>
        </w:rPr>
        <w:t xml:space="preserve"> of,</w:t>
      </w:r>
      <w:r w:rsidR="004B7896">
        <w:rPr>
          <w:rFonts w:ascii="Times New Roman" w:hAnsi="Times New Roman" w:cs="Times New Roman"/>
          <w:bCs/>
        </w:rPr>
        <w:t xml:space="preserve"> Rother’s unmet needs can be met </w:t>
      </w:r>
      <w:r w:rsidR="001905CB">
        <w:rPr>
          <w:rFonts w:ascii="Times New Roman" w:hAnsi="Times New Roman" w:cs="Times New Roman"/>
          <w:bCs/>
        </w:rPr>
        <w:t>elsewhere</w:t>
      </w:r>
      <w:r w:rsidR="004B7896">
        <w:rPr>
          <w:rFonts w:ascii="Times New Roman" w:hAnsi="Times New Roman" w:cs="Times New Roman"/>
          <w:bCs/>
        </w:rPr>
        <w:t>.</w:t>
      </w:r>
      <w:r w:rsidR="00F9462B">
        <w:rPr>
          <w:rFonts w:ascii="Times New Roman" w:hAnsi="Times New Roman" w:cs="Times New Roman"/>
          <w:bCs/>
        </w:rPr>
        <w:t xml:space="preserve"> However, this will need to be more proactive than seems to have been the case so far. </w:t>
      </w:r>
      <w:r w:rsidR="003A2030">
        <w:rPr>
          <w:rFonts w:ascii="Times New Roman" w:hAnsi="Times New Roman" w:cs="Times New Roman"/>
          <w:bCs/>
        </w:rPr>
        <w:t xml:space="preserve">The approach taken by the council </w:t>
      </w:r>
      <w:r w:rsidR="00E65E5E">
        <w:rPr>
          <w:rFonts w:ascii="Times New Roman" w:hAnsi="Times New Roman" w:cs="Times New Roman"/>
          <w:bCs/>
        </w:rPr>
        <w:t xml:space="preserve">set out in the Duty to </w:t>
      </w:r>
      <w:r w:rsidR="002C1EF1">
        <w:rPr>
          <w:rFonts w:ascii="Times New Roman" w:hAnsi="Times New Roman" w:cs="Times New Roman"/>
          <w:bCs/>
        </w:rPr>
        <w:t>Cooperate</w:t>
      </w:r>
      <w:r w:rsidR="00E65E5E">
        <w:rPr>
          <w:rFonts w:ascii="Times New Roman" w:hAnsi="Times New Roman" w:cs="Times New Roman"/>
          <w:bCs/>
        </w:rPr>
        <w:t xml:space="preserve"> statement </w:t>
      </w:r>
      <w:r w:rsidR="002C1EF1">
        <w:rPr>
          <w:rFonts w:ascii="Times New Roman" w:hAnsi="Times New Roman" w:cs="Times New Roman"/>
          <w:bCs/>
        </w:rPr>
        <w:t xml:space="preserve">is to write to neighbouring authorities. There does </w:t>
      </w:r>
      <w:r w:rsidR="005C2D69">
        <w:rPr>
          <w:rFonts w:ascii="Times New Roman" w:hAnsi="Times New Roman" w:cs="Times New Roman"/>
          <w:bCs/>
        </w:rPr>
        <w:t>not</w:t>
      </w:r>
      <w:r w:rsidR="002C1EF1">
        <w:rPr>
          <w:rFonts w:ascii="Times New Roman" w:hAnsi="Times New Roman" w:cs="Times New Roman"/>
          <w:bCs/>
        </w:rPr>
        <w:t xml:space="preserve"> appear to have been any attempt</w:t>
      </w:r>
      <w:r w:rsidR="005F6292">
        <w:rPr>
          <w:rFonts w:ascii="Times New Roman" w:hAnsi="Times New Roman" w:cs="Times New Roman"/>
          <w:bCs/>
        </w:rPr>
        <w:t xml:space="preserve"> by Rother and it</w:t>
      </w:r>
      <w:r w:rsidR="00CE41D7">
        <w:rPr>
          <w:rFonts w:ascii="Times New Roman" w:hAnsi="Times New Roman" w:cs="Times New Roman"/>
          <w:bCs/>
        </w:rPr>
        <w:t>s neighbouring planning authorities</w:t>
      </w:r>
      <w:r w:rsidR="002C1EF1">
        <w:rPr>
          <w:rFonts w:ascii="Times New Roman" w:hAnsi="Times New Roman" w:cs="Times New Roman"/>
          <w:bCs/>
        </w:rPr>
        <w:t xml:space="preserve"> to </w:t>
      </w:r>
      <w:r w:rsidR="00D11BAD">
        <w:rPr>
          <w:rFonts w:ascii="Times New Roman" w:hAnsi="Times New Roman" w:cs="Times New Roman"/>
          <w:bCs/>
        </w:rPr>
        <w:t xml:space="preserve">collectively </w:t>
      </w:r>
      <w:r w:rsidR="00CE41D7">
        <w:rPr>
          <w:rFonts w:ascii="Times New Roman" w:hAnsi="Times New Roman" w:cs="Times New Roman"/>
          <w:bCs/>
        </w:rPr>
        <w:t xml:space="preserve">consider how to </w:t>
      </w:r>
      <w:r w:rsidR="00D11BAD">
        <w:rPr>
          <w:rFonts w:ascii="Times New Roman" w:hAnsi="Times New Roman" w:cs="Times New Roman"/>
          <w:bCs/>
        </w:rPr>
        <w:t>address this issue</w:t>
      </w:r>
      <w:r w:rsidR="00BA53B7">
        <w:rPr>
          <w:rFonts w:ascii="Times New Roman" w:hAnsi="Times New Roman" w:cs="Times New Roman"/>
          <w:bCs/>
        </w:rPr>
        <w:t xml:space="preserve"> at </w:t>
      </w:r>
      <w:r w:rsidR="002D1FFC">
        <w:rPr>
          <w:rFonts w:ascii="Times New Roman" w:hAnsi="Times New Roman" w:cs="Times New Roman"/>
          <w:bCs/>
        </w:rPr>
        <w:t>both an officer and political level</w:t>
      </w:r>
      <w:r w:rsidR="00D11BAD">
        <w:rPr>
          <w:rFonts w:ascii="Times New Roman" w:hAnsi="Times New Roman" w:cs="Times New Roman"/>
          <w:bCs/>
        </w:rPr>
        <w:t xml:space="preserve"> </w:t>
      </w:r>
      <w:r w:rsidR="006C20F6">
        <w:rPr>
          <w:rFonts w:ascii="Times New Roman" w:hAnsi="Times New Roman" w:cs="Times New Roman"/>
          <w:bCs/>
        </w:rPr>
        <w:t xml:space="preserve">and </w:t>
      </w:r>
      <w:r w:rsidR="00E10388">
        <w:rPr>
          <w:rFonts w:ascii="Times New Roman" w:hAnsi="Times New Roman" w:cs="Times New Roman"/>
          <w:bCs/>
        </w:rPr>
        <w:t>then</w:t>
      </w:r>
      <w:r w:rsidR="002D1FFC">
        <w:rPr>
          <w:rFonts w:ascii="Times New Roman" w:hAnsi="Times New Roman" w:cs="Times New Roman"/>
          <w:bCs/>
        </w:rPr>
        <w:t>,</w:t>
      </w:r>
      <w:r w:rsidR="00E10388">
        <w:rPr>
          <w:rFonts w:ascii="Times New Roman" w:hAnsi="Times New Roman" w:cs="Times New Roman"/>
          <w:bCs/>
        </w:rPr>
        <w:t xml:space="preserve"> </w:t>
      </w:r>
      <w:r w:rsidR="006C20F6">
        <w:rPr>
          <w:rFonts w:ascii="Times New Roman" w:hAnsi="Times New Roman" w:cs="Times New Roman"/>
          <w:bCs/>
        </w:rPr>
        <w:t>if others are unwilling to co-</w:t>
      </w:r>
      <w:r w:rsidR="00030FE4">
        <w:rPr>
          <w:rFonts w:ascii="Times New Roman" w:hAnsi="Times New Roman" w:cs="Times New Roman"/>
          <w:bCs/>
        </w:rPr>
        <w:t>operate,</w:t>
      </w:r>
      <w:r w:rsidR="006C20F6">
        <w:rPr>
          <w:rFonts w:ascii="Times New Roman" w:hAnsi="Times New Roman" w:cs="Times New Roman"/>
          <w:bCs/>
        </w:rPr>
        <w:t xml:space="preserve"> to </w:t>
      </w:r>
      <w:r w:rsidR="00671989">
        <w:rPr>
          <w:rFonts w:ascii="Times New Roman" w:hAnsi="Times New Roman" w:cs="Times New Roman"/>
          <w:bCs/>
        </w:rPr>
        <w:t>challenge them to do so throughout the plan making process.</w:t>
      </w:r>
      <w:r w:rsidR="0067663A">
        <w:rPr>
          <w:rFonts w:ascii="Times New Roman" w:hAnsi="Times New Roman" w:cs="Times New Roman"/>
          <w:bCs/>
        </w:rPr>
        <w:t xml:space="preserve"> Unless a more proactive approach is taken by Rother and its neighbours then the gap between what is needed and the number of homes being planned for will continue to grow</w:t>
      </w:r>
      <w:r w:rsidR="00E10388">
        <w:rPr>
          <w:rFonts w:ascii="Times New Roman" w:hAnsi="Times New Roman" w:cs="Times New Roman"/>
          <w:bCs/>
        </w:rPr>
        <w:t xml:space="preserve"> and </w:t>
      </w:r>
      <w:r w:rsidR="0055646F">
        <w:rPr>
          <w:rFonts w:ascii="Times New Roman" w:hAnsi="Times New Roman" w:cs="Times New Roman"/>
          <w:bCs/>
        </w:rPr>
        <w:t>co-operation must be considered to have been ineffective</w:t>
      </w:r>
      <w:r w:rsidR="0067663A">
        <w:rPr>
          <w:rFonts w:ascii="Times New Roman" w:hAnsi="Times New Roman" w:cs="Times New Roman"/>
          <w:bCs/>
        </w:rPr>
        <w:t xml:space="preserve">. </w:t>
      </w:r>
    </w:p>
    <w:p w14:paraId="4B297118" w14:textId="2139F223" w:rsidR="006F4424" w:rsidRDefault="006F4424" w:rsidP="004D0A90">
      <w:pPr>
        <w:widowControl/>
        <w:suppressAutoHyphens w:val="0"/>
        <w:autoSpaceDE/>
        <w:spacing w:after="240" w:line="360" w:lineRule="auto"/>
        <w:jc w:val="both"/>
        <w:rPr>
          <w:rFonts w:ascii="Times New Roman" w:hAnsi="Times New Roman" w:cs="Times New Roman"/>
          <w:bCs/>
          <w:i/>
          <w:iCs/>
          <w:u w:val="single"/>
        </w:rPr>
      </w:pPr>
      <w:r w:rsidRPr="006F4424">
        <w:rPr>
          <w:rFonts w:ascii="Times New Roman" w:hAnsi="Times New Roman" w:cs="Times New Roman"/>
          <w:bCs/>
          <w:i/>
          <w:iCs/>
          <w:u w:val="single"/>
        </w:rPr>
        <w:t>Q6. Do you have any comments on the Council’s assessment of the additional Development Strategy options?</w:t>
      </w:r>
    </w:p>
    <w:p w14:paraId="6ABAD770" w14:textId="77777777" w:rsidR="007E58D9" w:rsidRDefault="00BC5747"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C62A9E">
        <w:rPr>
          <w:rFonts w:ascii="Times New Roman" w:hAnsi="Times New Roman" w:cs="Times New Roman"/>
          <w:bCs/>
        </w:rPr>
        <w:t>acknowledges</w:t>
      </w:r>
      <w:r>
        <w:rPr>
          <w:rFonts w:ascii="Times New Roman" w:hAnsi="Times New Roman" w:cs="Times New Roman"/>
          <w:bCs/>
        </w:rPr>
        <w:t xml:space="preserve"> th</w:t>
      </w:r>
      <w:r w:rsidR="00C8099F">
        <w:rPr>
          <w:rFonts w:ascii="Times New Roman" w:hAnsi="Times New Roman" w:cs="Times New Roman"/>
          <w:bCs/>
        </w:rPr>
        <w:t xml:space="preserve">at the Council face </w:t>
      </w:r>
      <w:r w:rsidR="003F11FA">
        <w:rPr>
          <w:rFonts w:ascii="Times New Roman" w:hAnsi="Times New Roman" w:cs="Times New Roman"/>
          <w:bCs/>
        </w:rPr>
        <w:t xml:space="preserve">challenges in meeting its development </w:t>
      </w:r>
      <w:r w:rsidR="00C847F7">
        <w:rPr>
          <w:rFonts w:ascii="Times New Roman" w:hAnsi="Times New Roman" w:cs="Times New Roman"/>
          <w:bCs/>
        </w:rPr>
        <w:t>needs</w:t>
      </w:r>
      <w:r w:rsidR="003F11FA">
        <w:rPr>
          <w:rFonts w:ascii="Times New Roman" w:hAnsi="Times New Roman" w:cs="Times New Roman"/>
          <w:bCs/>
        </w:rPr>
        <w:t xml:space="preserve"> due to the constraints </w:t>
      </w:r>
      <w:r w:rsidR="00CC7457">
        <w:rPr>
          <w:rFonts w:ascii="Times New Roman" w:hAnsi="Times New Roman" w:cs="Times New Roman"/>
          <w:bCs/>
        </w:rPr>
        <w:t>present within the district</w:t>
      </w:r>
      <w:r w:rsidR="003F11FA">
        <w:rPr>
          <w:rFonts w:ascii="Times New Roman" w:hAnsi="Times New Roman" w:cs="Times New Roman"/>
          <w:bCs/>
        </w:rPr>
        <w:t>.</w:t>
      </w:r>
      <w:r w:rsidR="00093A83">
        <w:rPr>
          <w:rFonts w:ascii="Times New Roman" w:hAnsi="Times New Roman" w:cs="Times New Roman"/>
          <w:bCs/>
        </w:rPr>
        <w:t xml:space="preserve"> As </w:t>
      </w:r>
      <w:r w:rsidR="00182C9E">
        <w:rPr>
          <w:rFonts w:ascii="Times New Roman" w:hAnsi="Times New Roman" w:cs="Times New Roman"/>
          <w:bCs/>
        </w:rPr>
        <w:t>the</w:t>
      </w:r>
      <w:r w:rsidR="00093A83">
        <w:rPr>
          <w:rFonts w:ascii="Times New Roman" w:hAnsi="Times New Roman" w:cs="Times New Roman"/>
          <w:bCs/>
        </w:rPr>
        <w:t xml:space="preserve"> Council </w:t>
      </w:r>
      <w:r w:rsidR="00182C9E">
        <w:rPr>
          <w:rFonts w:ascii="Times New Roman" w:hAnsi="Times New Roman" w:cs="Times New Roman"/>
          <w:bCs/>
        </w:rPr>
        <w:t>correctly</w:t>
      </w:r>
      <w:r w:rsidR="00093A83">
        <w:rPr>
          <w:rFonts w:ascii="Times New Roman" w:hAnsi="Times New Roman" w:cs="Times New Roman"/>
          <w:bCs/>
        </w:rPr>
        <w:t xml:space="preserve"> </w:t>
      </w:r>
      <w:r w:rsidR="00F66BA7">
        <w:rPr>
          <w:rFonts w:ascii="Times New Roman" w:hAnsi="Times New Roman" w:cs="Times New Roman"/>
          <w:bCs/>
        </w:rPr>
        <w:t>notes,</w:t>
      </w:r>
      <w:r w:rsidR="00093A83">
        <w:rPr>
          <w:rFonts w:ascii="Times New Roman" w:hAnsi="Times New Roman" w:cs="Times New Roman"/>
          <w:bCs/>
        </w:rPr>
        <w:t xml:space="preserve"> </w:t>
      </w:r>
      <w:r w:rsidR="00182C9E">
        <w:rPr>
          <w:rFonts w:ascii="Times New Roman" w:hAnsi="Times New Roman" w:cs="Times New Roman"/>
          <w:bCs/>
        </w:rPr>
        <w:t xml:space="preserve">the application of </w:t>
      </w:r>
      <w:r w:rsidR="009159E2">
        <w:rPr>
          <w:rFonts w:ascii="Times New Roman" w:hAnsi="Times New Roman" w:cs="Times New Roman"/>
          <w:bCs/>
        </w:rPr>
        <w:t>policies</w:t>
      </w:r>
      <w:r w:rsidR="00182C9E">
        <w:rPr>
          <w:rFonts w:ascii="Times New Roman" w:hAnsi="Times New Roman" w:cs="Times New Roman"/>
          <w:bCs/>
        </w:rPr>
        <w:t xml:space="preserve"> around protected landscapes </w:t>
      </w:r>
      <w:r w:rsidR="006F1E21">
        <w:rPr>
          <w:rFonts w:ascii="Times New Roman" w:hAnsi="Times New Roman" w:cs="Times New Roman"/>
          <w:bCs/>
        </w:rPr>
        <w:t xml:space="preserve">such as </w:t>
      </w:r>
      <w:r w:rsidR="009159E2">
        <w:rPr>
          <w:rFonts w:ascii="Times New Roman" w:hAnsi="Times New Roman" w:cs="Times New Roman"/>
          <w:bCs/>
        </w:rPr>
        <w:t xml:space="preserve">the </w:t>
      </w:r>
      <w:r w:rsidR="006F1E21">
        <w:rPr>
          <w:rFonts w:ascii="Times New Roman" w:hAnsi="Times New Roman" w:cs="Times New Roman"/>
          <w:bCs/>
        </w:rPr>
        <w:t>High Weald National Landscape</w:t>
      </w:r>
      <w:r w:rsidR="004C7CAB">
        <w:rPr>
          <w:rFonts w:ascii="Times New Roman" w:hAnsi="Times New Roman" w:cs="Times New Roman"/>
          <w:bCs/>
        </w:rPr>
        <w:t xml:space="preserve"> (HWNL)</w:t>
      </w:r>
      <w:r w:rsidR="006F1E21">
        <w:rPr>
          <w:rFonts w:ascii="Times New Roman" w:hAnsi="Times New Roman" w:cs="Times New Roman"/>
          <w:bCs/>
        </w:rPr>
        <w:t xml:space="preserve"> </w:t>
      </w:r>
      <w:r w:rsidR="009159E2">
        <w:rPr>
          <w:rFonts w:ascii="Times New Roman" w:hAnsi="Times New Roman" w:cs="Times New Roman"/>
          <w:bCs/>
        </w:rPr>
        <w:t xml:space="preserve">can provide a strong reason for not meeting need. </w:t>
      </w:r>
      <w:r w:rsidR="00CD3C62">
        <w:rPr>
          <w:rFonts w:ascii="Times New Roman" w:hAnsi="Times New Roman" w:cs="Times New Roman"/>
          <w:bCs/>
        </w:rPr>
        <w:t xml:space="preserve">However, alongside this the Council needs </w:t>
      </w:r>
      <w:r w:rsidR="00CC7457">
        <w:rPr>
          <w:rFonts w:ascii="Times New Roman" w:hAnsi="Times New Roman" w:cs="Times New Roman"/>
          <w:bCs/>
        </w:rPr>
        <w:t>to</w:t>
      </w:r>
      <w:r w:rsidR="00CD3C62">
        <w:rPr>
          <w:rFonts w:ascii="Times New Roman" w:hAnsi="Times New Roman" w:cs="Times New Roman"/>
          <w:bCs/>
        </w:rPr>
        <w:t xml:space="preserve"> </w:t>
      </w:r>
      <w:r w:rsidR="00F66BA7">
        <w:rPr>
          <w:rFonts w:ascii="Times New Roman" w:hAnsi="Times New Roman" w:cs="Times New Roman"/>
          <w:bCs/>
        </w:rPr>
        <w:t>recognise</w:t>
      </w:r>
      <w:r w:rsidR="00CD3C62">
        <w:rPr>
          <w:rFonts w:ascii="Times New Roman" w:hAnsi="Times New Roman" w:cs="Times New Roman"/>
          <w:bCs/>
        </w:rPr>
        <w:t xml:space="preserve"> that there </w:t>
      </w:r>
      <w:r w:rsidR="00F66BA7">
        <w:rPr>
          <w:rFonts w:ascii="Times New Roman" w:hAnsi="Times New Roman" w:cs="Times New Roman"/>
          <w:bCs/>
        </w:rPr>
        <w:t>are significant</w:t>
      </w:r>
      <w:r w:rsidR="00CD3C62">
        <w:rPr>
          <w:rFonts w:ascii="Times New Roman" w:hAnsi="Times New Roman" w:cs="Times New Roman"/>
          <w:bCs/>
        </w:rPr>
        <w:t xml:space="preserve"> </w:t>
      </w:r>
      <w:r w:rsidR="00D43A87">
        <w:rPr>
          <w:rFonts w:ascii="Times New Roman" w:hAnsi="Times New Roman" w:cs="Times New Roman"/>
          <w:bCs/>
        </w:rPr>
        <w:t xml:space="preserve">negative social and economic impacts of not meeting </w:t>
      </w:r>
      <w:r w:rsidR="00F66BA7">
        <w:rPr>
          <w:rFonts w:ascii="Times New Roman" w:hAnsi="Times New Roman" w:cs="Times New Roman"/>
          <w:bCs/>
        </w:rPr>
        <w:t>needs</w:t>
      </w:r>
      <w:r w:rsidR="00D43A87">
        <w:rPr>
          <w:rFonts w:ascii="Times New Roman" w:hAnsi="Times New Roman" w:cs="Times New Roman"/>
          <w:bCs/>
        </w:rPr>
        <w:t xml:space="preserve"> in full that </w:t>
      </w:r>
      <w:r w:rsidR="00E06DB6">
        <w:rPr>
          <w:rFonts w:ascii="Times New Roman" w:hAnsi="Times New Roman" w:cs="Times New Roman"/>
          <w:bCs/>
        </w:rPr>
        <w:t xml:space="preserve">must be taken </w:t>
      </w:r>
      <w:r w:rsidR="00F66BA7">
        <w:rPr>
          <w:rFonts w:ascii="Times New Roman" w:hAnsi="Times New Roman" w:cs="Times New Roman"/>
          <w:bCs/>
        </w:rPr>
        <w:t>into account</w:t>
      </w:r>
      <w:r w:rsidR="00D53BC8">
        <w:rPr>
          <w:rFonts w:ascii="Times New Roman" w:hAnsi="Times New Roman" w:cs="Times New Roman"/>
          <w:bCs/>
        </w:rPr>
        <w:t xml:space="preserve"> when considering the spatial strategy to be taken forward. </w:t>
      </w:r>
    </w:p>
    <w:p w14:paraId="58ACA15D" w14:textId="77777777" w:rsidR="002248D1" w:rsidRDefault="007E58D9"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As set out above the Council and it neighbours in East Sussex cannot meet their housing needs. As affordability worsens with need for affordable housing is growing. In Rother and Hastings, the need for affordable homes is currently estimated to be 757 homes each year. This is 75 homes more than the number of homes expected to be delivered each year by both Councils. The impact of these shortfalls can be seen in the cost of temporary accommodation as more people are unable to afford housing. For example, </w:t>
      </w:r>
      <w:r w:rsidRPr="00B411EC">
        <w:rPr>
          <w:rFonts w:ascii="Times New Roman" w:hAnsi="Times New Roman" w:cs="Times New Roman"/>
          <w:bCs/>
        </w:rPr>
        <w:t xml:space="preserve">Hastings Borough Council </w:t>
      </w:r>
      <w:r>
        <w:rPr>
          <w:rFonts w:ascii="Times New Roman" w:hAnsi="Times New Roman" w:cs="Times New Roman"/>
          <w:bCs/>
        </w:rPr>
        <w:t xml:space="preserve">is </w:t>
      </w:r>
      <w:r w:rsidRPr="00B411EC">
        <w:rPr>
          <w:rFonts w:ascii="Times New Roman" w:hAnsi="Times New Roman" w:cs="Times New Roman"/>
          <w:bCs/>
        </w:rPr>
        <w:t>facing a severe temporary accommodation crisis</w:t>
      </w:r>
      <w:r>
        <w:rPr>
          <w:rFonts w:ascii="Times New Roman" w:hAnsi="Times New Roman" w:cs="Times New Roman"/>
          <w:bCs/>
        </w:rPr>
        <w:t xml:space="preserve"> with 527 households in privately procured temporary accommodation. </w:t>
      </w:r>
      <w:r>
        <w:rPr>
          <w:rFonts w:ascii="Times New Roman" w:hAnsi="Times New Roman" w:cs="Times New Roman"/>
          <w:bCs/>
        </w:rPr>
        <w:lastRenderedPageBreak/>
        <w:t xml:space="preserve">This has seen costs rise from </w:t>
      </w:r>
      <w:r w:rsidRPr="00B411EC">
        <w:rPr>
          <w:rFonts w:ascii="Times New Roman" w:hAnsi="Times New Roman" w:cs="Times New Roman"/>
          <w:bCs/>
        </w:rPr>
        <w:t>£730,000 in 2019 to £7.04m by 2025</w:t>
      </w:r>
      <w:r>
        <w:rPr>
          <w:rFonts w:ascii="Times New Roman" w:hAnsi="Times New Roman" w:cs="Times New Roman"/>
          <w:bCs/>
        </w:rPr>
        <w:t>. So, whilst it is accepted there may be some harm from release land between settlement for housing development there are also significant benefits of doing so given the demand for market and affordable housing in the area.</w:t>
      </w:r>
      <w:r>
        <w:rPr>
          <w:rFonts w:ascii="Times New Roman" w:hAnsi="Times New Roman" w:cs="Times New Roman"/>
          <w:bCs/>
        </w:rPr>
        <w:t xml:space="preserve"> </w:t>
      </w:r>
    </w:p>
    <w:p w14:paraId="1B2B35D5" w14:textId="52292FD0" w:rsidR="00A41428" w:rsidRDefault="002248D1"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does not consider the </w:t>
      </w:r>
      <w:r w:rsidR="00723D67">
        <w:rPr>
          <w:rFonts w:ascii="Times New Roman" w:hAnsi="Times New Roman" w:cs="Times New Roman"/>
          <w:bCs/>
        </w:rPr>
        <w:t xml:space="preserve">appraisal within the Interim Sustainability Appraisal </w:t>
      </w:r>
      <w:r>
        <w:rPr>
          <w:rFonts w:ascii="Times New Roman" w:hAnsi="Times New Roman" w:cs="Times New Roman"/>
          <w:bCs/>
        </w:rPr>
        <w:t xml:space="preserve">to take </w:t>
      </w:r>
      <w:r w:rsidR="008C5505">
        <w:rPr>
          <w:rFonts w:ascii="Times New Roman" w:hAnsi="Times New Roman" w:cs="Times New Roman"/>
          <w:bCs/>
        </w:rPr>
        <w:t>sufficient</w:t>
      </w:r>
      <w:r>
        <w:rPr>
          <w:rFonts w:ascii="Times New Roman" w:hAnsi="Times New Roman" w:cs="Times New Roman"/>
          <w:bCs/>
        </w:rPr>
        <w:t xml:space="preserve"> account of the negative consequences of not meeting housing needs on both Rother and Hastings</w:t>
      </w:r>
      <w:r w:rsidR="00155505">
        <w:rPr>
          <w:rFonts w:ascii="Times New Roman" w:hAnsi="Times New Roman" w:cs="Times New Roman"/>
          <w:bCs/>
        </w:rPr>
        <w:t xml:space="preserve"> and </w:t>
      </w:r>
      <w:r w:rsidR="00237DC1">
        <w:rPr>
          <w:rFonts w:ascii="Times New Roman" w:hAnsi="Times New Roman" w:cs="Times New Roman"/>
          <w:bCs/>
        </w:rPr>
        <w:t xml:space="preserve">positive consequences of </w:t>
      </w:r>
      <w:r w:rsidR="00FF6D5A">
        <w:rPr>
          <w:rFonts w:ascii="Times New Roman" w:hAnsi="Times New Roman" w:cs="Times New Roman"/>
          <w:bCs/>
        </w:rPr>
        <w:t>boost</w:t>
      </w:r>
      <w:r w:rsidR="00237DC1">
        <w:rPr>
          <w:rFonts w:ascii="Times New Roman" w:hAnsi="Times New Roman" w:cs="Times New Roman"/>
          <w:bCs/>
        </w:rPr>
        <w:t xml:space="preserve"> the supply of new homes would have with regard to </w:t>
      </w:r>
      <w:r w:rsidR="00FF6D5A">
        <w:rPr>
          <w:rFonts w:ascii="Times New Roman" w:hAnsi="Times New Roman" w:cs="Times New Roman"/>
          <w:bCs/>
        </w:rPr>
        <w:t>infrastructure</w:t>
      </w:r>
      <w:r w:rsidR="00156F60">
        <w:rPr>
          <w:rFonts w:ascii="Times New Roman" w:hAnsi="Times New Roman" w:cs="Times New Roman"/>
          <w:bCs/>
        </w:rPr>
        <w:t xml:space="preserve">, health and </w:t>
      </w:r>
      <w:r w:rsidR="00FF6D5A">
        <w:rPr>
          <w:rFonts w:ascii="Times New Roman" w:hAnsi="Times New Roman" w:cs="Times New Roman"/>
          <w:bCs/>
        </w:rPr>
        <w:t>wellbeing</w:t>
      </w:r>
      <w:r w:rsidR="00156F60">
        <w:rPr>
          <w:rFonts w:ascii="Times New Roman" w:hAnsi="Times New Roman" w:cs="Times New Roman"/>
          <w:bCs/>
        </w:rPr>
        <w:t xml:space="preserve"> and even climate change </w:t>
      </w:r>
      <w:r w:rsidR="00FF6D5A">
        <w:rPr>
          <w:rFonts w:ascii="Times New Roman" w:hAnsi="Times New Roman" w:cs="Times New Roman"/>
          <w:bCs/>
        </w:rPr>
        <w:t>given</w:t>
      </w:r>
      <w:r w:rsidR="00156F60">
        <w:rPr>
          <w:rFonts w:ascii="Times New Roman" w:hAnsi="Times New Roman" w:cs="Times New Roman"/>
          <w:bCs/>
        </w:rPr>
        <w:t xml:space="preserve"> that it would allow more households to live in homes</w:t>
      </w:r>
      <w:r w:rsidR="00FF6D5A">
        <w:rPr>
          <w:rFonts w:ascii="Times New Roman" w:hAnsi="Times New Roman" w:cs="Times New Roman"/>
          <w:bCs/>
        </w:rPr>
        <w:t xml:space="preserve"> </w:t>
      </w:r>
      <w:r w:rsidR="00156F60">
        <w:rPr>
          <w:rFonts w:ascii="Times New Roman" w:hAnsi="Times New Roman" w:cs="Times New Roman"/>
          <w:bCs/>
        </w:rPr>
        <w:t xml:space="preserve">that produce </w:t>
      </w:r>
      <w:r w:rsidR="00545DF5">
        <w:rPr>
          <w:rFonts w:ascii="Times New Roman" w:hAnsi="Times New Roman" w:cs="Times New Roman"/>
          <w:bCs/>
        </w:rPr>
        <w:t>significantly</w:t>
      </w:r>
      <w:r w:rsidR="00156F60">
        <w:rPr>
          <w:rFonts w:ascii="Times New Roman" w:hAnsi="Times New Roman" w:cs="Times New Roman"/>
          <w:bCs/>
        </w:rPr>
        <w:t xml:space="preserve"> </w:t>
      </w:r>
      <w:r w:rsidR="00FF6D5A">
        <w:rPr>
          <w:rFonts w:ascii="Times New Roman" w:hAnsi="Times New Roman" w:cs="Times New Roman"/>
          <w:bCs/>
        </w:rPr>
        <w:t>less</w:t>
      </w:r>
      <w:r w:rsidR="00156F60">
        <w:rPr>
          <w:rFonts w:ascii="Times New Roman" w:hAnsi="Times New Roman" w:cs="Times New Roman"/>
          <w:bCs/>
        </w:rPr>
        <w:t xml:space="preserve"> CO</w:t>
      </w:r>
      <w:r w:rsidR="00156F60" w:rsidRPr="00FF6D5A">
        <w:rPr>
          <w:rFonts w:ascii="Times New Roman" w:hAnsi="Times New Roman" w:cs="Times New Roman"/>
          <w:bCs/>
          <w:vertAlign w:val="subscript"/>
        </w:rPr>
        <w:t>2</w:t>
      </w:r>
      <w:r w:rsidR="00156F60">
        <w:rPr>
          <w:rFonts w:ascii="Times New Roman" w:hAnsi="Times New Roman" w:cs="Times New Roman"/>
          <w:bCs/>
        </w:rPr>
        <w:t xml:space="preserve"> than </w:t>
      </w:r>
      <w:r w:rsidR="00FF6D5A">
        <w:rPr>
          <w:rFonts w:ascii="Times New Roman" w:hAnsi="Times New Roman" w:cs="Times New Roman"/>
          <w:bCs/>
        </w:rPr>
        <w:t xml:space="preserve">the existing stock. </w:t>
      </w:r>
      <w:r w:rsidR="00703B3B">
        <w:rPr>
          <w:rFonts w:ascii="Times New Roman" w:hAnsi="Times New Roman" w:cs="Times New Roman"/>
          <w:bCs/>
        </w:rPr>
        <w:t xml:space="preserve">The </w:t>
      </w:r>
      <w:r w:rsidR="009745DA">
        <w:rPr>
          <w:rFonts w:ascii="Times New Roman" w:hAnsi="Times New Roman" w:cs="Times New Roman"/>
          <w:bCs/>
        </w:rPr>
        <w:t xml:space="preserve">assumptions made that both these options </w:t>
      </w:r>
      <w:r w:rsidR="009668D6">
        <w:rPr>
          <w:rFonts w:ascii="Times New Roman" w:hAnsi="Times New Roman" w:cs="Times New Roman"/>
          <w:bCs/>
        </w:rPr>
        <w:t>positively</w:t>
      </w:r>
      <w:r w:rsidR="009745DA">
        <w:rPr>
          <w:rFonts w:ascii="Times New Roman" w:hAnsi="Times New Roman" w:cs="Times New Roman"/>
          <w:bCs/>
        </w:rPr>
        <w:t xml:space="preserve"> support ho</w:t>
      </w:r>
      <w:r w:rsidR="00ED2F3F">
        <w:rPr>
          <w:rFonts w:ascii="Times New Roman" w:hAnsi="Times New Roman" w:cs="Times New Roman"/>
          <w:bCs/>
        </w:rPr>
        <w:t xml:space="preserve">using supply is made on the premise that </w:t>
      </w:r>
      <w:r w:rsidR="009668D6">
        <w:rPr>
          <w:rFonts w:ascii="Times New Roman" w:hAnsi="Times New Roman" w:cs="Times New Roman"/>
          <w:bCs/>
        </w:rPr>
        <w:t>delivery</w:t>
      </w:r>
      <w:r w:rsidR="00ED2F3F">
        <w:rPr>
          <w:rFonts w:ascii="Times New Roman" w:hAnsi="Times New Roman" w:cs="Times New Roman"/>
          <w:bCs/>
        </w:rPr>
        <w:t xml:space="preserve"> </w:t>
      </w:r>
      <w:r w:rsidR="009668D6">
        <w:rPr>
          <w:rFonts w:ascii="Times New Roman" w:hAnsi="Times New Roman" w:cs="Times New Roman"/>
          <w:bCs/>
        </w:rPr>
        <w:t>constraints</w:t>
      </w:r>
      <w:r w:rsidR="00ED2F3F">
        <w:rPr>
          <w:rFonts w:ascii="Times New Roman" w:hAnsi="Times New Roman" w:cs="Times New Roman"/>
          <w:bCs/>
        </w:rPr>
        <w:t xml:space="preserve"> and </w:t>
      </w:r>
      <w:r w:rsidR="009668D6">
        <w:rPr>
          <w:rFonts w:ascii="Times New Roman" w:hAnsi="Times New Roman" w:cs="Times New Roman"/>
          <w:bCs/>
        </w:rPr>
        <w:t>that any increase supply should be considered positive – despite this being so far below what is needed in terms of both market and affordable housing.</w:t>
      </w:r>
      <w:r w:rsidR="002136ED">
        <w:rPr>
          <w:rFonts w:ascii="Times New Roman" w:hAnsi="Times New Roman" w:cs="Times New Roman"/>
          <w:bCs/>
        </w:rPr>
        <w:t xml:space="preserve"> The SA and wider </w:t>
      </w:r>
      <w:r w:rsidR="00690B3A">
        <w:rPr>
          <w:rFonts w:ascii="Times New Roman" w:hAnsi="Times New Roman" w:cs="Times New Roman"/>
          <w:bCs/>
        </w:rPr>
        <w:t>evidence</w:t>
      </w:r>
      <w:r w:rsidR="002136ED">
        <w:rPr>
          <w:rFonts w:ascii="Times New Roman" w:hAnsi="Times New Roman" w:cs="Times New Roman"/>
          <w:bCs/>
        </w:rPr>
        <w:t xml:space="preserve"> base must reflect more on the social and economic harm arising from what is being proposed </w:t>
      </w:r>
      <w:r w:rsidR="00015877">
        <w:rPr>
          <w:rFonts w:ascii="Times New Roman" w:hAnsi="Times New Roman" w:cs="Times New Roman"/>
          <w:bCs/>
        </w:rPr>
        <w:t>and then compare this to other negative consequences</w:t>
      </w:r>
      <w:r w:rsidR="00690B3A">
        <w:rPr>
          <w:rFonts w:ascii="Times New Roman" w:hAnsi="Times New Roman" w:cs="Times New Roman"/>
          <w:bCs/>
        </w:rPr>
        <w:t xml:space="preserve">. </w:t>
      </w:r>
    </w:p>
    <w:p w14:paraId="455064BD" w14:textId="2DE84643" w:rsidR="00160EEC" w:rsidRPr="0085013C" w:rsidRDefault="00193226" w:rsidP="00F038B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5013C">
        <w:rPr>
          <w:rFonts w:ascii="Times New Roman" w:hAnsi="Times New Roman" w:cs="Times New Roman"/>
          <w:bCs/>
        </w:rPr>
        <w:t>I</w:t>
      </w:r>
      <w:r w:rsidR="0085013C">
        <w:rPr>
          <w:rFonts w:ascii="Times New Roman" w:hAnsi="Times New Roman" w:cs="Times New Roman"/>
          <w:bCs/>
        </w:rPr>
        <w:t>n</w:t>
      </w:r>
      <w:r w:rsidRPr="0085013C">
        <w:rPr>
          <w:rFonts w:ascii="Times New Roman" w:hAnsi="Times New Roman" w:cs="Times New Roman"/>
          <w:bCs/>
        </w:rPr>
        <w:t xml:space="preserve"> failing to see the </w:t>
      </w:r>
      <w:r w:rsidR="0085013C" w:rsidRPr="0085013C">
        <w:rPr>
          <w:rFonts w:ascii="Times New Roman" w:hAnsi="Times New Roman" w:cs="Times New Roman"/>
          <w:bCs/>
        </w:rPr>
        <w:t>benefits</w:t>
      </w:r>
      <w:r w:rsidRPr="0085013C">
        <w:rPr>
          <w:rFonts w:ascii="Times New Roman" w:hAnsi="Times New Roman" w:cs="Times New Roman"/>
          <w:bCs/>
        </w:rPr>
        <w:t xml:space="preserve"> of housing the Council’s assessments are </w:t>
      </w:r>
      <w:r w:rsidR="0085013C" w:rsidRPr="0085013C">
        <w:rPr>
          <w:rFonts w:ascii="Times New Roman" w:hAnsi="Times New Roman" w:cs="Times New Roman"/>
          <w:bCs/>
        </w:rPr>
        <w:t xml:space="preserve">being potentially skewed. </w:t>
      </w:r>
      <w:r w:rsidR="0085013C">
        <w:rPr>
          <w:rFonts w:ascii="Times New Roman" w:hAnsi="Times New Roman" w:cs="Times New Roman"/>
          <w:bCs/>
        </w:rPr>
        <w:t>For example,</w:t>
      </w:r>
      <w:r w:rsidR="0088393D" w:rsidRPr="0085013C">
        <w:rPr>
          <w:rFonts w:ascii="Times New Roman" w:hAnsi="Times New Roman" w:cs="Times New Roman"/>
          <w:bCs/>
        </w:rPr>
        <w:t xml:space="preserve"> notable that in the Interim SA the Council </w:t>
      </w:r>
      <w:r w:rsidR="00AD7C6E" w:rsidRPr="0085013C">
        <w:rPr>
          <w:rFonts w:ascii="Times New Roman" w:hAnsi="Times New Roman" w:cs="Times New Roman"/>
          <w:bCs/>
        </w:rPr>
        <w:t xml:space="preserve">states that </w:t>
      </w:r>
      <w:r w:rsidR="00D10671" w:rsidRPr="0085013C">
        <w:rPr>
          <w:rFonts w:ascii="Times New Roman" w:hAnsi="Times New Roman" w:cs="Times New Roman"/>
          <w:bCs/>
        </w:rPr>
        <w:t>SDO14 would have mainly negative effects</w:t>
      </w:r>
      <w:r w:rsidR="0052203A" w:rsidRPr="0085013C">
        <w:rPr>
          <w:rFonts w:ascii="Times New Roman" w:hAnsi="Times New Roman" w:cs="Times New Roman"/>
          <w:bCs/>
        </w:rPr>
        <w:t xml:space="preserve"> on the SA objectives. </w:t>
      </w:r>
      <w:r w:rsidR="000C72EB" w:rsidRPr="0085013C">
        <w:rPr>
          <w:rFonts w:ascii="Times New Roman" w:hAnsi="Times New Roman" w:cs="Times New Roman"/>
          <w:bCs/>
        </w:rPr>
        <w:t xml:space="preserve">However, Figure 11 in the </w:t>
      </w:r>
      <w:r w:rsidR="00A914EB" w:rsidRPr="0085013C">
        <w:rPr>
          <w:rFonts w:ascii="Times New Roman" w:hAnsi="Times New Roman" w:cs="Times New Roman"/>
          <w:bCs/>
        </w:rPr>
        <w:t>Interim</w:t>
      </w:r>
      <w:r w:rsidR="000C72EB" w:rsidRPr="0085013C">
        <w:rPr>
          <w:rFonts w:ascii="Times New Roman" w:hAnsi="Times New Roman" w:cs="Times New Roman"/>
          <w:bCs/>
        </w:rPr>
        <w:t xml:space="preserve"> SA shows that </w:t>
      </w:r>
      <w:r w:rsidR="00A914EB" w:rsidRPr="0085013C">
        <w:rPr>
          <w:rFonts w:ascii="Times New Roman" w:hAnsi="Times New Roman" w:cs="Times New Roman"/>
          <w:bCs/>
        </w:rPr>
        <w:t xml:space="preserve">there are </w:t>
      </w:r>
      <w:r w:rsidR="00A91E55" w:rsidRPr="0085013C">
        <w:rPr>
          <w:rFonts w:ascii="Times New Roman" w:hAnsi="Times New Roman" w:cs="Times New Roman"/>
          <w:bCs/>
        </w:rPr>
        <w:t>more</w:t>
      </w:r>
      <w:r w:rsidR="00A914EB" w:rsidRPr="0085013C">
        <w:rPr>
          <w:rFonts w:ascii="Times New Roman" w:hAnsi="Times New Roman" w:cs="Times New Roman"/>
          <w:bCs/>
        </w:rPr>
        <w:t xml:space="preserve"> positive impacts than negative ones resulting from SDO14.</w:t>
      </w:r>
      <w:r w:rsidR="00FA611F" w:rsidRPr="0085013C">
        <w:rPr>
          <w:rFonts w:ascii="Times New Roman" w:hAnsi="Times New Roman" w:cs="Times New Roman"/>
          <w:bCs/>
        </w:rPr>
        <w:t xml:space="preserve"> It is not clear why the Council </w:t>
      </w:r>
      <w:r w:rsidR="00A91E55" w:rsidRPr="0085013C">
        <w:rPr>
          <w:rFonts w:ascii="Times New Roman" w:hAnsi="Times New Roman" w:cs="Times New Roman"/>
          <w:bCs/>
        </w:rPr>
        <w:t xml:space="preserve">have decided to </w:t>
      </w:r>
      <w:r w:rsidR="00C87685" w:rsidRPr="0085013C">
        <w:rPr>
          <w:rFonts w:ascii="Times New Roman" w:hAnsi="Times New Roman" w:cs="Times New Roman"/>
          <w:bCs/>
        </w:rPr>
        <w:t>contradict</w:t>
      </w:r>
      <w:r w:rsidR="00A91E55" w:rsidRPr="0085013C">
        <w:rPr>
          <w:rFonts w:ascii="Times New Roman" w:hAnsi="Times New Roman" w:cs="Times New Roman"/>
          <w:bCs/>
        </w:rPr>
        <w:t xml:space="preserve"> this within</w:t>
      </w:r>
      <w:r w:rsidR="00C87685" w:rsidRPr="0085013C">
        <w:rPr>
          <w:rFonts w:ascii="Times New Roman" w:hAnsi="Times New Roman" w:cs="Times New Roman"/>
          <w:bCs/>
        </w:rPr>
        <w:t xml:space="preserve"> </w:t>
      </w:r>
      <w:r w:rsidR="00A91E55" w:rsidRPr="0085013C">
        <w:rPr>
          <w:rFonts w:ascii="Times New Roman" w:hAnsi="Times New Roman" w:cs="Times New Roman"/>
          <w:bCs/>
        </w:rPr>
        <w:t>its summary</w:t>
      </w:r>
      <w:r w:rsidR="00C87685" w:rsidRPr="0085013C">
        <w:rPr>
          <w:rFonts w:ascii="Times New Roman" w:hAnsi="Times New Roman" w:cs="Times New Roman"/>
          <w:bCs/>
        </w:rPr>
        <w:t>.</w:t>
      </w:r>
      <w:r w:rsidR="00A914EB" w:rsidRPr="0085013C">
        <w:rPr>
          <w:rFonts w:ascii="Times New Roman" w:hAnsi="Times New Roman" w:cs="Times New Roman"/>
          <w:bCs/>
        </w:rPr>
        <w:t xml:space="preserve"> </w:t>
      </w:r>
      <w:r w:rsidR="006C6917" w:rsidRPr="0085013C">
        <w:rPr>
          <w:rFonts w:ascii="Times New Roman" w:hAnsi="Times New Roman" w:cs="Times New Roman"/>
          <w:bCs/>
        </w:rPr>
        <w:t>Th</w:t>
      </w:r>
      <w:r w:rsidR="00C87685" w:rsidRPr="0085013C">
        <w:rPr>
          <w:rFonts w:ascii="Times New Roman" w:hAnsi="Times New Roman" w:cs="Times New Roman"/>
          <w:bCs/>
        </w:rPr>
        <w:t xml:space="preserve">e outcome of the SA would in fact </w:t>
      </w:r>
      <w:r w:rsidR="00423568" w:rsidRPr="0085013C">
        <w:rPr>
          <w:rFonts w:ascii="Times New Roman" w:hAnsi="Times New Roman" w:cs="Times New Roman"/>
          <w:bCs/>
        </w:rPr>
        <w:t>suggest</w:t>
      </w:r>
      <w:r w:rsidR="006C6917" w:rsidRPr="0085013C">
        <w:rPr>
          <w:rFonts w:ascii="Times New Roman" w:hAnsi="Times New Roman" w:cs="Times New Roman"/>
          <w:bCs/>
        </w:rPr>
        <w:t xml:space="preserve"> that</w:t>
      </w:r>
      <w:r w:rsidR="009921CB" w:rsidRPr="0085013C">
        <w:rPr>
          <w:rFonts w:ascii="Times New Roman" w:hAnsi="Times New Roman" w:cs="Times New Roman"/>
          <w:bCs/>
        </w:rPr>
        <w:t xml:space="preserve"> </w:t>
      </w:r>
      <w:r w:rsidR="0080558D" w:rsidRPr="0085013C">
        <w:rPr>
          <w:rFonts w:ascii="Times New Roman" w:hAnsi="Times New Roman" w:cs="Times New Roman"/>
          <w:bCs/>
        </w:rPr>
        <w:t xml:space="preserve">development in strategic gaps would have a net positive </w:t>
      </w:r>
      <w:r w:rsidR="00CB4993" w:rsidRPr="0085013C">
        <w:rPr>
          <w:rFonts w:ascii="Times New Roman" w:hAnsi="Times New Roman" w:cs="Times New Roman"/>
          <w:bCs/>
        </w:rPr>
        <w:t xml:space="preserve">benefit when considered against the harm </w:t>
      </w:r>
      <w:r w:rsidR="009921CB" w:rsidRPr="0085013C">
        <w:rPr>
          <w:rFonts w:ascii="Times New Roman" w:hAnsi="Times New Roman" w:cs="Times New Roman"/>
          <w:bCs/>
        </w:rPr>
        <w:t xml:space="preserve">and </w:t>
      </w:r>
      <w:r w:rsidR="00CB4993" w:rsidRPr="0085013C">
        <w:rPr>
          <w:rFonts w:ascii="Times New Roman" w:hAnsi="Times New Roman" w:cs="Times New Roman"/>
          <w:bCs/>
        </w:rPr>
        <w:t>it wo</w:t>
      </w:r>
      <w:r w:rsidR="008E543B" w:rsidRPr="0085013C">
        <w:rPr>
          <w:rFonts w:ascii="Times New Roman" w:hAnsi="Times New Roman" w:cs="Times New Roman"/>
          <w:bCs/>
        </w:rPr>
        <w:t xml:space="preserve">uld be unsound to dismiss development in such locations </w:t>
      </w:r>
      <w:r w:rsidR="002F01CA" w:rsidRPr="0085013C">
        <w:rPr>
          <w:rFonts w:ascii="Times New Roman" w:hAnsi="Times New Roman" w:cs="Times New Roman"/>
          <w:bCs/>
        </w:rPr>
        <w:t xml:space="preserve">and the potential to </w:t>
      </w:r>
      <w:r w:rsidR="009921CB" w:rsidRPr="0085013C">
        <w:rPr>
          <w:rFonts w:ascii="Times New Roman" w:hAnsi="Times New Roman" w:cs="Times New Roman"/>
          <w:bCs/>
        </w:rPr>
        <w:t xml:space="preserve">increase housing supply </w:t>
      </w:r>
      <w:r w:rsidR="00423568" w:rsidRPr="0085013C">
        <w:rPr>
          <w:rFonts w:ascii="Times New Roman" w:hAnsi="Times New Roman" w:cs="Times New Roman"/>
          <w:bCs/>
        </w:rPr>
        <w:t>sustainably</w:t>
      </w:r>
      <w:r w:rsidR="00436AB5" w:rsidRPr="0085013C">
        <w:rPr>
          <w:rFonts w:ascii="Times New Roman" w:hAnsi="Times New Roman" w:cs="Times New Roman"/>
          <w:bCs/>
        </w:rPr>
        <w:t>.</w:t>
      </w:r>
      <w:r w:rsidR="0064732A" w:rsidRPr="0085013C">
        <w:rPr>
          <w:rFonts w:ascii="Times New Roman" w:hAnsi="Times New Roman" w:cs="Times New Roman"/>
          <w:bCs/>
        </w:rPr>
        <w:t xml:space="preserve"> </w:t>
      </w:r>
    </w:p>
    <w:p w14:paraId="4C1023E3" w14:textId="77777777" w:rsidR="006C2812" w:rsidRPr="006C2812" w:rsidRDefault="006C2812" w:rsidP="006C2812">
      <w:pPr>
        <w:spacing w:after="240" w:line="360" w:lineRule="auto"/>
        <w:rPr>
          <w:rFonts w:ascii="Times New Roman" w:hAnsi="Times New Roman" w:cs="Times New Roman"/>
          <w:i/>
          <w:iCs/>
          <w:u w:val="single"/>
          <w:lang w:val="en-GB"/>
        </w:rPr>
      </w:pPr>
      <w:r w:rsidRPr="006C2812">
        <w:rPr>
          <w:rFonts w:ascii="Times New Roman" w:hAnsi="Times New Roman" w:cs="Times New Roman"/>
          <w:i/>
          <w:iCs/>
          <w:u w:val="single"/>
          <w:lang w:val="en-GB"/>
        </w:rPr>
        <w:t xml:space="preserve">Do you have any comments on the Council’s proposed Overall Development Strategy? </w:t>
      </w:r>
    </w:p>
    <w:p w14:paraId="08A64E6C" w14:textId="58831777" w:rsidR="00F068C0" w:rsidRPr="00F068C0" w:rsidRDefault="00A039A6" w:rsidP="00F068C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To start</w:t>
      </w:r>
      <w:r w:rsidR="00F068C0">
        <w:rPr>
          <w:rFonts w:ascii="Times New Roman" w:hAnsi="Times New Roman" w:cs="Times New Roman"/>
          <w:bCs/>
        </w:rPr>
        <w:t xml:space="preserve"> </w:t>
      </w:r>
      <w:r w:rsidR="00F068C0" w:rsidRPr="00F068C0">
        <w:rPr>
          <w:rFonts w:ascii="Times New Roman" w:hAnsi="Times New Roman" w:cs="Times New Roman"/>
          <w:bCs/>
        </w:rPr>
        <w:t xml:space="preserve">the proposed </w:t>
      </w:r>
      <w:r w:rsidR="00823AA2" w:rsidRPr="00F068C0">
        <w:rPr>
          <w:rFonts w:ascii="Times New Roman" w:hAnsi="Times New Roman" w:cs="Times New Roman"/>
          <w:bCs/>
        </w:rPr>
        <w:t>strategy,</w:t>
      </w:r>
      <w:r w:rsidR="00F068C0" w:rsidRPr="00F068C0">
        <w:rPr>
          <w:rFonts w:ascii="Times New Roman" w:hAnsi="Times New Roman" w:cs="Times New Roman"/>
          <w:bCs/>
        </w:rPr>
        <w:t xml:space="preserve"> </w:t>
      </w:r>
      <w:r w:rsidR="006804CC">
        <w:rPr>
          <w:rFonts w:ascii="Times New Roman" w:hAnsi="Times New Roman" w:cs="Times New Roman"/>
          <w:bCs/>
        </w:rPr>
        <w:t>we need</w:t>
      </w:r>
      <w:r w:rsidR="00687091">
        <w:rPr>
          <w:rFonts w:ascii="Times New Roman" w:hAnsi="Times New Roman" w:cs="Times New Roman"/>
          <w:bCs/>
        </w:rPr>
        <w:t xml:space="preserve"> to recognise the </w:t>
      </w:r>
      <w:r w:rsidR="00221F8C">
        <w:rPr>
          <w:rFonts w:ascii="Times New Roman" w:hAnsi="Times New Roman" w:cs="Times New Roman"/>
          <w:bCs/>
        </w:rPr>
        <w:t>significant</w:t>
      </w:r>
      <w:r w:rsidR="00687091">
        <w:rPr>
          <w:rFonts w:ascii="Times New Roman" w:hAnsi="Times New Roman" w:cs="Times New Roman"/>
          <w:bCs/>
        </w:rPr>
        <w:t xml:space="preserve"> shortfalls in ho</w:t>
      </w:r>
      <w:r w:rsidR="00221F8C">
        <w:rPr>
          <w:rFonts w:ascii="Times New Roman" w:hAnsi="Times New Roman" w:cs="Times New Roman"/>
          <w:bCs/>
        </w:rPr>
        <w:t>u</w:t>
      </w:r>
      <w:r w:rsidR="00687091">
        <w:rPr>
          <w:rFonts w:ascii="Times New Roman" w:hAnsi="Times New Roman" w:cs="Times New Roman"/>
          <w:bCs/>
        </w:rPr>
        <w:t xml:space="preserve">sing </w:t>
      </w:r>
      <w:r w:rsidR="00221F8C">
        <w:rPr>
          <w:rFonts w:ascii="Times New Roman" w:hAnsi="Times New Roman" w:cs="Times New Roman"/>
          <w:bCs/>
        </w:rPr>
        <w:t>that will be a result of this strategy</w:t>
      </w:r>
      <w:r w:rsidR="00687091">
        <w:rPr>
          <w:rFonts w:ascii="Times New Roman" w:hAnsi="Times New Roman" w:cs="Times New Roman"/>
          <w:bCs/>
        </w:rPr>
        <w:t xml:space="preserve">. At present the </w:t>
      </w:r>
      <w:r w:rsidR="00221F8C">
        <w:rPr>
          <w:rFonts w:ascii="Times New Roman" w:hAnsi="Times New Roman" w:cs="Times New Roman"/>
          <w:bCs/>
        </w:rPr>
        <w:t xml:space="preserve">proposed policy </w:t>
      </w:r>
      <w:r w:rsidR="00F068C0" w:rsidRPr="00F068C0">
        <w:rPr>
          <w:rFonts w:ascii="Times New Roman" w:hAnsi="Times New Roman" w:cs="Times New Roman"/>
          <w:bCs/>
        </w:rPr>
        <w:t>state</w:t>
      </w:r>
      <w:r w:rsidR="00F068C0">
        <w:rPr>
          <w:rFonts w:ascii="Times New Roman" w:hAnsi="Times New Roman" w:cs="Times New Roman"/>
          <w:bCs/>
        </w:rPr>
        <w:t>s</w:t>
      </w:r>
      <w:r w:rsidR="00F068C0" w:rsidRPr="00F068C0">
        <w:rPr>
          <w:rFonts w:ascii="Times New Roman" w:hAnsi="Times New Roman" w:cs="Times New Roman"/>
          <w:bCs/>
        </w:rPr>
        <w:t xml:space="preserve"> that the</w:t>
      </w:r>
      <w:r w:rsidR="00F068C0">
        <w:rPr>
          <w:rFonts w:ascii="Times New Roman" w:hAnsi="Times New Roman" w:cs="Times New Roman"/>
          <w:bCs/>
        </w:rPr>
        <w:t xml:space="preserve"> Council</w:t>
      </w:r>
      <w:r w:rsidR="00F068C0" w:rsidRPr="00F068C0">
        <w:rPr>
          <w:rFonts w:ascii="Times New Roman" w:hAnsi="Times New Roman" w:cs="Times New Roman"/>
          <w:bCs/>
        </w:rPr>
        <w:t xml:space="preserve"> will meet the local need for all forms of housing, jobs, facilities and services. As set out above and by the Council in the consultation document this is not the case. The proposed strategy will see housing supply fall short of housing need by over 7,000 homes. This will also mean that affordable housing needs will not be met as this is 65% of housing supply.</w:t>
      </w:r>
    </w:p>
    <w:p w14:paraId="7B380065" w14:textId="77777777" w:rsidR="00823AA2" w:rsidRDefault="00221F8C" w:rsidP="00823AA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Secondly, HBF considers the that the proposed strategy </w:t>
      </w:r>
      <w:r w:rsidR="00283916">
        <w:rPr>
          <w:rFonts w:ascii="Times New Roman" w:hAnsi="Times New Roman" w:cs="Times New Roman"/>
          <w:bCs/>
        </w:rPr>
        <w:t>should do</w:t>
      </w:r>
      <w:r>
        <w:rPr>
          <w:rFonts w:ascii="Times New Roman" w:hAnsi="Times New Roman" w:cs="Times New Roman"/>
          <w:bCs/>
        </w:rPr>
        <w:t xml:space="preserve"> more to increase the supply of housing in Rother</w:t>
      </w:r>
      <w:r w:rsidR="00283916">
        <w:rPr>
          <w:rFonts w:ascii="Times New Roman" w:hAnsi="Times New Roman" w:cs="Times New Roman"/>
          <w:bCs/>
        </w:rPr>
        <w:t xml:space="preserve"> and that such a strategy is supported by national policy.</w:t>
      </w:r>
      <w:r>
        <w:rPr>
          <w:rFonts w:ascii="Times New Roman" w:hAnsi="Times New Roman" w:cs="Times New Roman"/>
          <w:bCs/>
        </w:rPr>
        <w:t xml:space="preserve"> </w:t>
      </w:r>
      <w:r w:rsidR="00283916">
        <w:rPr>
          <w:rFonts w:ascii="Times New Roman" w:hAnsi="Times New Roman" w:cs="Times New Roman"/>
          <w:bCs/>
        </w:rPr>
        <w:t>T</w:t>
      </w:r>
      <w:r w:rsidR="000231C0">
        <w:rPr>
          <w:rFonts w:ascii="Times New Roman" w:hAnsi="Times New Roman" w:cs="Times New Roman"/>
          <w:bCs/>
        </w:rPr>
        <w:t xml:space="preserve">he proposed development strategy </w:t>
      </w:r>
      <w:r w:rsidR="00697543">
        <w:rPr>
          <w:rFonts w:ascii="Times New Roman" w:hAnsi="Times New Roman" w:cs="Times New Roman"/>
          <w:bCs/>
        </w:rPr>
        <w:t xml:space="preserve">includes </w:t>
      </w:r>
      <w:r w:rsidR="00140446">
        <w:rPr>
          <w:rFonts w:ascii="Times New Roman" w:hAnsi="Times New Roman" w:cs="Times New Roman"/>
          <w:bCs/>
        </w:rPr>
        <w:t>allocations</w:t>
      </w:r>
      <w:r w:rsidR="00697543">
        <w:rPr>
          <w:rFonts w:ascii="Times New Roman" w:hAnsi="Times New Roman" w:cs="Times New Roman"/>
          <w:bCs/>
        </w:rPr>
        <w:t xml:space="preserve"> for development around in and around </w:t>
      </w:r>
      <w:r w:rsidR="00140446">
        <w:rPr>
          <w:rFonts w:ascii="Times New Roman" w:hAnsi="Times New Roman" w:cs="Times New Roman"/>
          <w:bCs/>
        </w:rPr>
        <w:t>settlements</w:t>
      </w:r>
      <w:r w:rsidR="00697543">
        <w:rPr>
          <w:rFonts w:ascii="Times New Roman" w:hAnsi="Times New Roman" w:cs="Times New Roman"/>
          <w:bCs/>
        </w:rPr>
        <w:t xml:space="preserve"> within the HWNL. </w:t>
      </w:r>
      <w:r w:rsidR="00B9262E">
        <w:rPr>
          <w:rFonts w:ascii="Times New Roman" w:hAnsi="Times New Roman" w:cs="Times New Roman"/>
          <w:bCs/>
        </w:rPr>
        <w:t>This</w:t>
      </w:r>
      <w:r w:rsidR="00697543">
        <w:rPr>
          <w:rFonts w:ascii="Times New Roman" w:hAnsi="Times New Roman" w:cs="Times New Roman"/>
          <w:bCs/>
        </w:rPr>
        <w:t xml:space="preserve"> is </w:t>
      </w:r>
      <w:r w:rsidR="00B9262E">
        <w:rPr>
          <w:rFonts w:ascii="Times New Roman" w:hAnsi="Times New Roman" w:cs="Times New Roman"/>
          <w:bCs/>
        </w:rPr>
        <w:t>welcomed</w:t>
      </w:r>
      <w:r w:rsidR="00697543">
        <w:rPr>
          <w:rFonts w:ascii="Times New Roman" w:hAnsi="Times New Roman" w:cs="Times New Roman"/>
          <w:bCs/>
        </w:rPr>
        <w:t>. However,</w:t>
      </w:r>
      <w:r w:rsidR="00B9262E">
        <w:rPr>
          <w:rFonts w:ascii="Times New Roman" w:hAnsi="Times New Roman" w:cs="Times New Roman"/>
          <w:bCs/>
        </w:rPr>
        <w:t xml:space="preserve"> on the basis of the harm arising both social and economically </w:t>
      </w:r>
      <w:r w:rsidR="00C543C0">
        <w:rPr>
          <w:rFonts w:ascii="Times New Roman" w:hAnsi="Times New Roman" w:cs="Times New Roman"/>
          <w:bCs/>
        </w:rPr>
        <w:t>from</w:t>
      </w:r>
      <w:r w:rsidR="00B9262E">
        <w:rPr>
          <w:rFonts w:ascii="Times New Roman" w:hAnsi="Times New Roman" w:cs="Times New Roman"/>
          <w:bCs/>
        </w:rPr>
        <w:t xml:space="preserve"> the significant shortfalls in housing supply the Council, should look to allocate additional sites across the </w:t>
      </w:r>
      <w:r w:rsidR="00140446">
        <w:rPr>
          <w:rFonts w:ascii="Times New Roman" w:hAnsi="Times New Roman" w:cs="Times New Roman"/>
          <w:bCs/>
        </w:rPr>
        <w:t>district – including with the HWNL</w:t>
      </w:r>
      <w:r w:rsidR="00B9262E">
        <w:rPr>
          <w:rFonts w:ascii="Times New Roman" w:hAnsi="Times New Roman" w:cs="Times New Roman"/>
          <w:bCs/>
        </w:rPr>
        <w:t>.</w:t>
      </w:r>
      <w:r w:rsidR="00140446">
        <w:rPr>
          <w:rFonts w:ascii="Times New Roman" w:hAnsi="Times New Roman" w:cs="Times New Roman"/>
          <w:bCs/>
        </w:rPr>
        <w:t xml:space="preserve"> </w:t>
      </w:r>
    </w:p>
    <w:p w14:paraId="69983AB3" w14:textId="0FAAA5FA" w:rsidR="00823AA2" w:rsidRPr="006804CC" w:rsidRDefault="00823AA2" w:rsidP="006804C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As the Council note paragraph 189 of the NPPF notes that the scale of development should be limited, the Council need take into account circumstances set out in paragraph 190 such as the need for development and the degree to which any harmful effects can be moderated. While these considerations relate to assessment of planning applications, they are also relevant to plan making. Given the high level of need for homes, the inability of </w:t>
      </w:r>
      <w:r w:rsidR="00243841">
        <w:rPr>
          <w:rFonts w:ascii="Times New Roman" w:hAnsi="Times New Roman" w:cs="Times New Roman"/>
          <w:bCs/>
        </w:rPr>
        <w:t>other</w:t>
      </w:r>
      <w:r>
        <w:rPr>
          <w:rFonts w:ascii="Times New Roman" w:hAnsi="Times New Roman" w:cs="Times New Roman"/>
          <w:bCs/>
        </w:rPr>
        <w:t xml:space="preserve"> areas to help and severe negative consequences that are arising from past failures to meet needs HBF </w:t>
      </w:r>
      <w:r>
        <w:rPr>
          <w:rFonts w:ascii="Times New Roman" w:hAnsi="Times New Roman" w:cs="Times New Roman"/>
          <w:bCs/>
        </w:rPr>
        <w:lastRenderedPageBreak/>
        <w:t>would suggest that there is ample justification for increasing the supply of homes around settlement in the HWNL on those sites where there is potential for harm to moderated.</w:t>
      </w:r>
    </w:p>
    <w:p w14:paraId="12279946" w14:textId="5415F657" w:rsidR="00813DE5" w:rsidRDefault="00140446" w:rsidP="00B561F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w:t>
      </w:r>
      <w:r w:rsidR="00083C0F">
        <w:rPr>
          <w:rFonts w:ascii="Times New Roman" w:hAnsi="Times New Roman" w:cs="Times New Roman"/>
          <w:bCs/>
        </w:rPr>
        <w:t>n</w:t>
      </w:r>
      <w:r>
        <w:rPr>
          <w:rFonts w:ascii="Times New Roman" w:hAnsi="Times New Roman" w:cs="Times New Roman"/>
          <w:bCs/>
        </w:rPr>
        <w:t xml:space="preserve"> </w:t>
      </w:r>
      <w:r w:rsidR="00813DE5">
        <w:rPr>
          <w:rFonts w:ascii="Times New Roman" w:hAnsi="Times New Roman" w:cs="Times New Roman"/>
          <w:bCs/>
        </w:rPr>
        <w:t>addition,</w:t>
      </w:r>
      <w:r>
        <w:rPr>
          <w:rFonts w:ascii="Times New Roman" w:hAnsi="Times New Roman" w:cs="Times New Roman"/>
          <w:bCs/>
        </w:rPr>
        <w:t xml:space="preserve"> the Council should not be dismissing development in </w:t>
      </w:r>
      <w:r w:rsidR="00083C0F">
        <w:rPr>
          <w:rFonts w:ascii="Times New Roman" w:hAnsi="Times New Roman" w:cs="Times New Roman"/>
          <w:bCs/>
        </w:rPr>
        <w:t xml:space="preserve">those area sit has defined as strategic gaps. </w:t>
      </w:r>
      <w:r w:rsidR="00B9262E">
        <w:rPr>
          <w:rFonts w:ascii="Times New Roman" w:hAnsi="Times New Roman" w:cs="Times New Roman"/>
          <w:bCs/>
        </w:rPr>
        <w:t xml:space="preserve"> </w:t>
      </w:r>
      <w:r w:rsidR="00C543C0" w:rsidRPr="00C543C0">
        <w:rPr>
          <w:rFonts w:ascii="Times New Roman" w:hAnsi="Times New Roman" w:cs="Times New Roman"/>
          <w:bCs/>
        </w:rPr>
        <w:t>As the Council will be aware there is no mention outside of Green Belt policy that requires gaps to be maintained between settlements or for settlement patterns to be retained.</w:t>
      </w:r>
      <w:r w:rsidR="006813D8" w:rsidRPr="006813D8">
        <w:rPr>
          <w:rFonts w:ascii="Times New Roman" w:hAnsi="Times New Roman" w:cs="Times New Roman"/>
          <w:bCs/>
        </w:rPr>
        <w:t xml:space="preserve"> </w:t>
      </w:r>
      <w:r w:rsidR="006813D8" w:rsidRPr="006813D8">
        <w:rPr>
          <w:rFonts w:ascii="Times New Roman" w:hAnsi="Times New Roman" w:cs="Times New Roman"/>
          <w:bCs/>
        </w:rPr>
        <w:t>Where gaps fall outside the national landscape, it is necessary to consider paragraph 11b(ii) of the NPPF and whether the adverse impacts would significantly and demonstrably outweigh the benefits.</w:t>
      </w:r>
      <w:r w:rsidR="002701C0">
        <w:rPr>
          <w:rFonts w:ascii="Times New Roman" w:hAnsi="Times New Roman" w:cs="Times New Roman"/>
          <w:bCs/>
        </w:rPr>
        <w:t xml:space="preserve"> </w:t>
      </w:r>
      <w:r w:rsidR="0074702F">
        <w:rPr>
          <w:rFonts w:ascii="Times New Roman" w:hAnsi="Times New Roman" w:cs="Times New Roman"/>
          <w:bCs/>
        </w:rPr>
        <w:t xml:space="preserve">As </w:t>
      </w:r>
      <w:r w:rsidR="00C6602A">
        <w:rPr>
          <w:rFonts w:ascii="Times New Roman" w:hAnsi="Times New Roman" w:cs="Times New Roman"/>
          <w:bCs/>
        </w:rPr>
        <w:t>set</w:t>
      </w:r>
      <w:r w:rsidR="0074702F">
        <w:rPr>
          <w:rFonts w:ascii="Times New Roman" w:hAnsi="Times New Roman" w:cs="Times New Roman"/>
          <w:bCs/>
        </w:rPr>
        <w:t xml:space="preserve"> out above the harm from not meeting needs will be </w:t>
      </w:r>
      <w:r w:rsidR="00C6602A">
        <w:rPr>
          <w:rFonts w:ascii="Times New Roman" w:hAnsi="Times New Roman" w:cs="Times New Roman"/>
          <w:bCs/>
        </w:rPr>
        <w:t>significant</w:t>
      </w:r>
      <w:r w:rsidR="0074702F">
        <w:rPr>
          <w:rFonts w:ascii="Times New Roman" w:hAnsi="Times New Roman" w:cs="Times New Roman"/>
          <w:bCs/>
        </w:rPr>
        <w:t xml:space="preserve"> and HBF do not consider this to</w:t>
      </w:r>
      <w:r w:rsidR="00C6602A">
        <w:rPr>
          <w:rFonts w:ascii="Times New Roman" w:hAnsi="Times New Roman" w:cs="Times New Roman"/>
          <w:bCs/>
        </w:rPr>
        <w:t xml:space="preserve"> be outweighed by other harms.</w:t>
      </w:r>
    </w:p>
    <w:p w14:paraId="7C03A1E2" w14:textId="3BD3B48D"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1D450004" w14:textId="77777777" w:rsidR="00F0430A" w:rsidRDefault="00F0430A" w:rsidP="0043348C">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 Please use the contact details provided below for future correspondence.</w:t>
      </w:r>
    </w:p>
    <w:p w14:paraId="08C53D08" w14:textId="77777777" w:rsidR="0028345D" w:rsidRPr="004612EA" w:rsidRDefault="0028345D" w:rsidP="00C411E9">
      <w:pPr>
        <w:pStyle w:val="ListParagraph"/>
        <w:spacing w:line="360" w:lineRule="auto"/>
        <w:ind w:left="426"/>
        <w:rPr>
          <w:rFonts w:ascii="Times New Roman" w:hAnsi="Times New Roman" w:cs="Times New Roman"/>
          <w:b/>
        </w:rPr>
      </w:pPr>
    </w:p>
    <w:p w14:paraId="11C30352" w14:textId="77777777" w:rsidR="0028345D" w:rsidRPr="004612EA" w:rsidRDefault="0028345D" w:rsidP="00C411E9">
      <w:pPr>
        <w:spacing w:line="360" w:lineRule="auto"/>
        <w:rPr>
          <w:rFonts w:ascii="Times New Roman" w:hAnsi="Times New Roman" w:cs="Times New Roman"/>
          <w:b/>
        </w:rPr>
      </w:pP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1"/>
          <w:headerReference w:type="first" r:id="rId12"/>
          <w:footerReference w:type="first" r:id="rId13"/>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22C9" w14:textId="77777777" w:rsidR="008C546A" w:rsidRDefault="008C546A">
      <w:r>
        <w:separator/>
      </w:r>
    </w:p>
  </w:endnote>
  <w:endnote w:type="continuationSeparator" w:id="0">
    <w:p w14:paraId="13A18A5C" w14:textId="77777777" w:rsidR="008C546A" w:rsidRDefault="008C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04886852"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2B01" w14:textId="77777777" w:rsidR="008C546A" w:rsidRDefault="008C546A">
      <w:r>
        <w:rPr>
          <w:color w:val="000000"/>
        </w:rPr>
        <w:separator/>
      </w:r>
    </w:p>
  </w:footnote>
  <w:footnote w:type="continuationSeparator" w:id="0">
    <w:p w14:paraId="4B8116F8" w14:textId="77777777" w:rsidR="008C546A" w:rsidRDefault="008C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0"/>
  </w:num>
  <w:num w:numId="2" w16cid:durableId="1235816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0A64"/>
    <w:rsid w:val="00015877"/>
    <w:rsid w:val="00017AC5"/>
    <w:rsid w:val="000231C0"/>
    <w:rsid w:val="000248D0"/>
    <w:rsid w:val="00024933"/>
    <w:rsid w:val="00030E5E"/>
    <w:rsid w:val="00030FE4"/>
    <w:rsid w:val="00042BCC"/>
    <w:rsid w:val="00044843"/>
    <w:rsid w:val="00045D2E"/>
    <w:rsid w:val="00050FFD"/>
    <w:rsid w:val="00056303"/>
    <w:rsid w:val="000623BB"/>
    <w:rsid w:val="000647B2"/>
    <w:rsid w:val="00064F64"/>
    <w:rsid w:val="00070733"/>
    <w:rsid w:val="00083C0F"/>
    <w:rsid w:val="00084B2B"/>
    <w:rsid w:val="0008537B"/>
    <w:rsid w:val="00086584"/>
    <w:rsid w:val="0009188D"/>
    <w:rsid w:val="00093A83"/>
    <w:rsid w:val="000B0402"/>
    <w:rsid w:val="000C0DF2"/>
    <w:rsid w:val="000C72EB"/>
    <w:rsid w:val="000D7947"/>
    <w:rsid w:val="000F445B"/>
    <w:rsid w:val="000F6874"/>
    <w:rsid w:val="000F741D"/>
    <w:rsid w:val="00100123"/>
    <w:rsid w:val="00107374"/>
    <w:rsid w:val="0011389E"/>
    <w:rsid w:val="00117F0D"/>
    <w:rsid w:val="00131948"/>
    <w:rsid w:val="00140446"/>
    <w:rsid w:val="00155364"/>
    <w:rsid w:val="00155505"/>
    <w:rsid w:val="00156F60"/>
    <w:rsid w:val="00157532"/>
    <w:rsid w:val="00160EEC"/>
    <w:rsid w:val="00175371"/>
    <w:rsid w:val="001776E7"/>
    <w:rsid w:val="001814C4"/>
    <w:rsid w:val="00182C9E"/>
    <w:rsid w:val="001905CB"/>
    <w:rsid w:val="00191B0D"/>
    <w:rsid w:val="00193226"/>
    <w:rsid w:val="0019356E"/>
    <w:rsid w:val="00193727"/>
    <w:rsid w:val="001B0D69"/>
    <w:rsid w:val="001B33A3"/>
    <w:rsid w:val="001B64BC"/>
    <w:rsid w:val="001C3D75"/>
    <w:rsid w:val="001E46F7"/>
    <w:rsid w:val="001E60EC"/>
    <w:rsid w:val="001F0F58"/>
    <w:rsid w:val="001F4519"/>
    <w:rsid w:val="001F6025"/>
    <w:rsid w:val="00207C3C"/>
    <w:rsid w:val="002136ED"/>
    <w:rsid w:val="00213982"/>
    <w:rsid w:val="00215C07"/>
    <w:rsid w:val="002203F0"/>
    <w:rsid w:val="00221F8C"/>
    <w:rsid w:val="002248D1"/>
    <w:rsid w:val="0022501D"/>
    <w:rsid w:val="00225638"/>
    <w:rsid w:val="00237DC1"/>
    <w:rsid w:val="00243841"/>
    <w:rsid w:val="00243BE2"/>
    <w:rsid w:val="00245497"/>
    <w:rsid w:val="00250EA6"/>
    <w:rsid w:val="00263DB2"/>
    <w:rsid w:val="002662DD"/>
    <w:rsid w:val="002701C0"/>
    <w:rsid w:val="00271B2A"/>
    <w:rsid w:val="002733A0"/>
    <w:rsid w:val="00282421"/>
    <w:rsid w:val="0028345D"/>
    <w:rsid w:val="00283916"/>
    <w:rsid w:val="00294506"/>
    <w:rsid w:val="002945A2"/>
    <w:rsid w:val="002A0174"/>
    <w:rsid w:val="002A0C8F"/>
    <w:rsid w:val="002A3703"/>
    <w:rsid w:val="002A46ED"/>
    <w:rsid w:val="002B3F17"/>
    <w:rsid w:val="002B578E"/>
    <w:rsid w:val="002C1EF1"/>
    <w:rsid w:val="002D1FFC"/>
    <w:rsid w:val="002D2604"/>
    <w:rsid w:val="002D5F85"/>
    <w:rsid w:val="002D6741"/>
    <w:rsid w:val="002E4409"/>
    <w:rsid w:val="002F01CA"/>
    <w:rsid w:val="002F767B"/>
    <w:rsid w:val="00302697"/>
    <w:rsid w:val="0032050C"/>
    <w:rsid w:val="003205C3"/>
    <w:rsid w:val="0032482D"/>
    <w:rsid w:val="00327936"/>
    <w:rsid w:val="00333EF5"/>
    <w:rsid w:val="00337273"/>
    <w:rsid w:val="00340311"/>
    <w:rsid w:val="00346828"/>
    <w:rsid w:val="0036102D"/>
    <w:rsid w:val="00362CC5"/>
    <w:rsid w:val="00375E21"/>
    <w:rsid w:val="003806ED"/>
    <w:rsid w:val="00381C3F"/>
    <w:rsid w:val="00384ED6"/>
    <w:rsid w:val="00393C00"/>
    <w:rsid w:val="00393D94"/>
    <w:rsid w:val="003A125E"/>
    <w:rsid w:val="003A2030"/>
    <w:rsid w:val="003B083F"/>
    <w:rsid w:val="003B24FE"/>
    <w:rsid w:val="003B7B26"/>
    <w:rsid w:val="003C0113"/>
    <w:rsid w:val="003C1929"/>
    <w:rsid w:val="003C5D78"/>
    <w:rsid w:val="003D004F"/>
    <w:rsid w:val="003D5AA8"/>
    <w:rsid w:val="003D7D88"/>
    <w:rsid w:val="003E4561"/>
    <w:rsid w:val="003F11FA"/>
    <w:rsid w:val="00423568"/>
    <w:rsid w:val="004316B9"/>
    <w:rsid w:val="0043348C"/>
    <w:rsid w:val="00434791"/>
    <w:rsid w:val="00436AB5"/>
    <w:rsid w:val="00442C19"/>
    <w:rsid w:val="004452DC"/>
    <w:rsid w:val="00447F82"/>
    <w:rsid w:val="004612EA"/>
    <w:rsid w:val="00462C9C"/>
    <w:rsid w:val="00472FEB"/>
    <w:rsid w:val="00474E4E"/>
    <w:rsid w:val="00476B3B"/>
    <w:rsid w:val="00480737"/>
    <w:rsid w:val="004B7896"/>
    <w:rsid w:val="004C2285"/>
    <w:rsid w:val="004C4BA1"/>
    <w:rsid w:val="004C7CAB"/>
    <w:rsid w:val="004C7FF9"/>
    <w:rsid w:val="004D0A90"/>
    <w:rsid w:val="004D45DB"/>
    <w:rsid w:val="004D79B6"/>
    <w:rsid w:val="004E1154"/>
    <w:rsid w:val="004F3825"/>
    <w:rsid w:val="005001DA"/>
    <w:rsid w:val="00512D6C"/>
    <w:rsid w:val="0051526E"/>
    <w:rsid w:val="0052203A"/>
    <w:rsid w:val="00527E57"/>
    <w:rsid w:val="00531A41"/>
    <w:rsid w:val="00543DDD"/>
    <w:rsid w:val="00545DF5"/>
    <w:rsid w:val="005518BB"/>
    <w:rsid w:val="005529CD"/>
    <w:rsid w:val="005541F9"/>
    <w:rsid w:val="00555AE2"/>
    <w:rsid w:val="0055646F"/>
    <w:rsid w:val="00577931"/>
    <w:rsid w:val="00585FAE"/>
    <w:rsid w:val="005862DC"/>
    <w:rsid w:val="00587513"/>
    <w:rsid w:val="00594D02"/>
    <w:rsid w:val="005A2427"/>
    <w:rsid w:val="005B06D1"/>
    <w:rsid w:val="005B5264"/>
    <w:rsid w:val="005C2D69"/>
    <w:rsid w:val="005F6292"/>
    <w:rsid w:val="0060119F"/>
    <w:rsid w:val="006142C9"/>
    <w:rsid w:val="00626471"/>
    <w:rsid w:val="00636819"/>
    <w:rsid w:val="006421E8"/>
    <w:rsid w:val="006427E6"/>
    <w:rsid w:val="0064732A"/>
    <w:rsid w:val="00647A35"/>
    <w:rsid w:val="006533D0"/>
    <w:rsid w:val="00656E81"/>
    <w:rsid w:val="00657641"/>
    <w:rsid w:val="00663AF1"/>
    <w:rsid w:val="00671989"/>
    <w:rsid w:val="0067663A"/>
    <w:rsid w:val="006804CC"/>
    <w:rsid w:val="006813D8"/>
    <w:rsid w:val="00687091"/>
    <w:rsid w:val="00690B3A"/>
    <w:rsid w:val="006965D9"/>
    <w:rsid w:val="00697543"/>
    <w:rsid w:val="006A4E79"/>
    <w:rsid w:val="006A4F7B"/>
    <w:rsid w:val="006B51F8"/>
    <w:rsid w:val="006C09F5"/>
    <w:rsid w:val="006C20EB"/>
    <w:rsid w:val="006C20F6"/>
    <w:rsid w:val="006C2812"/>
    <w:rsid w:val="006C5B3B"/>
    <w:rsid w:val="006C66E0"/>
    <w:rsid w:val="006C6917"/>
    <w:rsid w:val="006D4D2A"/>
    <w:rsid w:val="006D533D"/>
    <w:rsid w:val="006E1688"/>
    <w:rsid w:val="006E289E"/>
    <w:rsid w:val="006E4500"/>
    <w:rsid w:val="006F1E21"/>
    <w:rsid w:val="006F4424"/>
    <w:rsid w:val="00703B3B"/>
    <w:rsid w:val="007148B3"/>
    <w:rsid w:val="00722207"/>
    <w:rsid w:val="00723D67"/>
    <w:rsid w:val="007354B9"/>
    <w:rsid w:val="00741286"/>
    <w:rsid w:val="007418AA"/>
    <w:rsid w:val="00741F75"/>
    <w:rsid w:val="007421D1"/>
    <w:rsid w:val="00745B86"/>
    <w:rsid w:val="0074702F"/>
    <w:rsid w:val="007556C8"/>
    <w:rsid w:val="007702F8"/>
    <w:rsid w:val="00773888"/>
    <w:rsid w:val="00776C38"/>
    <w:rsid w:val="007839EE"/>
    <w:rsid w:val="0079245A"/>
    <w:rsid w:val="007C679F"/>
    <w:rsid w:val="007D2621"/>
    <w:rsid w:val="007E02F9"/>
    <w:rsid w:val="007E1916"/>
    <w:rsid w:val="007E41B9"/>
    <w:rsid w:val="007E58D9"/>
    <w:rsid w:val="007F3F23"/>
    <w:rsid w:val="0080558D"/>
    <w:rsid w:val="00810153"/>
    <w:rsid w:val="00813DE5"/>
    <w:rsid w:val="008172DB"/>
    <w:rsid w:val="00817670"/>
    <w:rsid w:val="00823113"/>
    <w:rsid w:val="00823185"/>
    <w:rsid w:val="00823AA2"/>
    <w:rsid w:val="00824690"/>
    <w:rsid w:val="008348B4"/>
    <w:rsid w:val="0085013C"/>
    <w:rsid w:val="00852732"/>
    <w:rsid w:val="008671E8"/>
    <w:rsid w:val="0087548F"/>
    <w:rsid w:val="00876E38"/>
    <w:rsid w:val="0088393D"/>
    <w:rsid w:val="00897060"/>
    <w:rsid w:val="008A3E33"/>
    <w:rsid w:val="008B045F"/>
    <w:rsid w:val="008B060E"/>
    <w:rsid w:val="008C2762"/>
    <w:rsid w:val="008C546A"/>
    <w:rsid w:val="008C5505"/>
    <w:rsid w:val="008C6A1B"/>
    <w:rsid w:val="008C6E6F"/>
    <w:rsid w:val="008D26CA"/>
    <w:rsid w:val="008D56F2"/>
    <w:rsid w:val="008E011E"/>
    <w:rsid w:val="008E1440"/>
    <w:rsid w:val="008E1CB6"/>
    <w:rsid w:val="008E3A2E"/>
    <w:rsid w:val="008E543B"/>
    <w:rsid w:val="008F542E"/>
    <w:rsid w:val="009049AA"/>
    <w:rsid w:val="0090625D"/>
    <w:rsid w:val="00907348"/>
    <w:rsid w:val="00907FBD"/>
    <w:rsid w:val="009159E2"/>
    <w:rsid w:val="00935F32"/>
    <w:rsid w:val="0093671D"/>
    <w:rsid w:val="00936B77"/>
    <w:rsid w:val="00951FF7"/>
    <w:rsid w:val="009527F8"/>
    <w:rsid w:val="009668D6"/>
    <w:rsid w:val="00967B75"/>
    <w:rsid w:val="00970FB1"/>
    <w:rsid w:val="00973D34"/>
    <w:rsid w:val="009745DA"/>
    <w:rsid w:val="00976694"/>
    <w:rsid w:val="00981A56"/>
    <w:rsid w:val="0098314B"/>
    <w:rsid w:val="0098330A"/>
    <w:rsid w:val="009921CB"/>
    <w:rsid w:val="009A0ED1"/>
    <w:rsid w:val="009A65C1"/>
    <w:rsid w:val="009A7C8D"/>
    <w:rsid w:val="009B3078"/>
    <w:rsid w:val="009B7D8F"/>
    <w:rsid w:val="009C1019"/>
    <w:rsid w:val="009D3116"/>
    <w:rsid w:val="009D6EB1"/>
    <w:rsid w:val="009D74E9"/>
    <w:rsid w:val="009E0084"/>
    <w:rsid w:val="009F0E44"/>
    <w:rsid w:val="009F586F"/>
    <w:rsid w:val="009F7485"/>
    <w:rsid w:val="00A039A6"/>
    <w:rsid w:val="00A10793"/>
    <w:rsid w:val="00A12CB5"/>
    <w:rsid w:val="00A13FD0"/>
    <w:rsid w:val="00A33529"/>
    <w:rsid w:val="00A36116"/>
    <w:rsid w:val="00A37CB4"/>
    <w:rsid w:val="00A41428"/>
    <w:rsid w:val="00A45D0D"/>
    <w:rsid w:val="00A52914"/>
    <w:rsid w:val="00A53879"/>
    <w:rsid w:val="00A53954"/>
    <w:rsid w:val="00A74866"/>
    <w:rsid w:val="00A74ABC"/>
    <w:rsid w:val="00A80AB2"/>
    <w:rsid w:val="00A8410E"/>
    <w:rsid w:val="00A90995"/>
    <w:rsid w:val="00A914EB"/>
    <w:rsid w:val="00A91E55"/>
    <w:rsid w:val="00A92837"/>
    <w:rsid w:val="00A93A63"/>
    <w:rsid w:val="00A97BFD"/>
    <w:rsid w:val="00AB4E39"/>
    <w:rsid w:val="00AC01DE"/>
    <w:rsid w:val="00AC6A5A"/>
    <w:rsid w:val="00AD70EB"/>
    <w:rsid w:val="00AD7C6E"/>
    <w:rsid w:val="00AE3893"/>
    <w:rsid w:val="00AE704A"/>
    <w:rsid w:val="00AE7197"/>
    <w:rsid w:val="00AF2505"/>
    <w:rsid w:val="00B16D08"/>
    <w:rsid w:val="00B26970"/>
    <w:rsid w:val="00B411EC"/>
    <w:rsid w:val="00B507A7"/>
    <w:rsid w:val="00B561F1"/>
    <w:rsid w:val="00B56212"/>
    <w:rsid w:val="00B61C9A"/>
    <w:rsid w:val="00B737EB"/>
    <w:rsid w:val="00B770D3"/>
    <w:rsid w:val="00B918C1"/>
    <w:rsid w:val="00B9262E"/>
    <w:rsid w:val="00B93060"/>
    <w:rsid w:val="00BA53B7"/>
    <w:rsid w:val="00BB1004"/>
    <w:rsid w:val="00BC5747"/>
    <w:rsid w:val="00BC62DD"/>
    <w:rsid w:val="00BC75B0"/>
    <w:rsid w:val="00BD455D"/>
    <w:rsid w:val="00BE305C"/>
    <w:rsid w:val="00BE7593"/>
    <w:rsid w:val="00BF0D89"/>
    <w:rsid w:val="00C241D9"/>
    <w:rsid w:val="00C26455"/>
    <w:rsid w:val="00C2781A"/>
    <w:rsid w:val="00C3013B"/>
    <w:rsid w:val="00C304DC"/>
    <w:rsid w:val="00C40268"/>
    <w:rsid w:val="00C411E9"/>
    <w:rsid w:val="00C5049A"/>
    <w:rsid w:val="00C53978"/>
    <w:rsid w:val="00C543C0"/>
    <w:rsid w:val="00C62A9E"/>
    <w:rsid w:val="00C6602A"/>
    <w:rsid w:val="00C7216E"/>
    <w:rsid w:val="00C7620F"/>
    <w:rsid w:val="00C8099F"/>
    <w:rsid w:val="00C81BCA"/>
    <w:rsid w:val="00C824E7"/>
    <w:rsid w:val="00C847F7"/>
    <w:rsid w:val="00C87685"/>
    <w:rsid w:val="00C93245"/>
    <w:rsid w:val="00CB4993"/>
    <w:rsid w:val="00CC2187"/>
    <w:rsid w:val="00CC7457"/>
    <w:rsid w:val="00CD3C62"/>
    <w:rsid w:val="00CE16B6"/>
    <w:rsid w:val="00CE41D7"/>
    <w:rsid w:val="00D10671"/>
    <w:rsid w:val="00D11BAD"/>
    <w:rsid w:val="00D12028"/>
    <w:rsid w:val="00D25D0D"/>
    <w:rsid w:val="00D26617"/>
    <w:rsid w:val="00D26886"/>
    <w:rsid w:val="00D4035F"/>
    <w:rsid w:val="00D43A87"/>
    <w:rsid w:val="00D47030"/>
    <w:rsid w:val="00D531C3"/>
    <w:rsid w:val="00D53BC8"/>
    <w:rsid w:val="00D616B9"/>
    <w:rsid w:val="00D717FA"/>
    <w:rsid w:val="00D96FAB"/>
    <w:rsid w:val="00DA7AE8"/>
    <w:rsid w:val="00DA7B86"/>
    <w:rsid w:val="00DB1FAC"/>
    <w:rsid w:val="00DB2A59"/>
    <w:rsid w:val="00DB2EE6"/>
    <w:rsid w:val="00DC14F2"/>
    <w:rsid w:val="00DC6406"/>
    <w:rsid w:val="00DD3689"/>
    <w:rsid w:val="00DD41B3"/>
    <w:rsid w:val="00DD6A14"/>
    <w:rsid w:val="00DD75AD"/>
    <w:rsid w:val="00DE3FA6"/>
    <w:rsid w:val="00DF052B"/>
    <w:rsid w:val="00E04E85"/>
    <w:rsid w:val="00E06DB6"/>
    <w:rsid w:val="00E10388"/>
    <w:rsid w:val="00E168E3"/>
    <w:rsid w:val="00E34840"/>
    <w:rsid w:val="00E36C3E"/>
    <w:rsid w:val="00E370C9"/>
    <w:rsid w:val="00E4347F"/>
    <w:rsid w:val="00E539DA"/>
    <w:rsid w:val="00E53A9F"/>
    <w:rsid w:val="00E53DCE"/>
    <w:rsid w:val="00E62E75"/>
    <w:rsid w:val="00E6458E"/>
    <w:rsid w:val="00E64C62"/>
    <w:rsid w:val="00E65E5E"/>
    <w:rsid w:val="00E6636D"/>
    <w:rsid w:val="00E720DC"/>
    <w:rsid w:val="00E77EC8"/>
    <w:rsid w:val="00E900FE"/>
    <w:rsid w:val="00E97DDC"/>
    <w:rsid w:val="00EA33BF"/>
    <w:rsid w:val="00EB241B"/>
    <w:rsid w:val="00EC0726"/>
    <w:rsid w:val="00EC67BB"/>
    <w:rsid w:val="00EC67FB"/>
    <w:rsid w:val="00EC7D07"/>
    <w:rsid w:val="00ED2F3F"/>
    <w:rsid w:val="00EE0409"/>
    <w:rsid w:val="00EE0F3D"/>
    <w:rsid w:val="00EF069F"/>
    <w:rsid w:val="00EF1E18"/>
    <w:rsid w:val="00F0430A"/>
    <w:rsid w:val="00F068C0"/>
    <w:rsid w:val="00F0761E"/>
    <w:rsid w:val="00F4043C"/>
    <w:rsid w:val="00F4085B"/>
    <w:rsid w:val="00F40CAB"/>
    <w:rsid w:val="00F57C3E"/>
    <w:rsid w:val="00F65F96"/>
    <w:rsid w:val="00F66BA7"/>
    <w:rsid w:val="00F70354"/>
    <w:rsid w:val="00F71CFB"/>
    <w:rsid w:val="00F7309B"/>
    <w:rsid w:val="00F8177E"/>
    <w:rsid w:val="00F86A1B"/>
    <w:rsid w:val="00F9462B"/>
    <w:rsid w:val="00FA611F"/>
    <w:rsid w:val="00FA7C8F"/>
    <w:rsid w:val="00FB169F"/>
    <w:rsid w:val="00FB2E2E"/>
    <w:rsid w:val="00FB3D18"/>
    <w:rsid w:val="00FC57B0"/>
    <w:rsid w:val="00FC57D3"/>
    <w:rsid w:val="00FD2BD8"/>
    <w:rsid w:val="00FD6208"/>
    <w:rsid w:val="00FD74F8"/>
    <w:rsid w:val="00FE79A0"/>
    <w:rsid w:val="00FF686D"/>
    <w:rsid w:val="00FF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table" w:styleId="TableGrid">
    <w:name w:val="Table Grid"/>
    <w:basedOn w:val="TableNormal"/>
    <w:uiPriority w:val="39"/>
    <w:rsid w:val="001E4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726"/>
    <w:pPr>
      <w:widowControl/>
      <w:autoSpaceDE/>
      <w:autoSpaceDN/>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a5c7bb56c8e65b4ad1421a23854a6e7a">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1a3be9b80c18f69632e21e3859a4f9d1"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2.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3.xml><?xml version="1.0" encoding="utf-8"?>
<ds:datastoreItem xmlns:ds="http://schemas.openxmlformats.org/officeDocument/2006/customXml" ds:itemID="{D7E5D255-0A4D-452C-976A-73E7B394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2251</Words>
  <Characters>11459</Characters>
  <Application>Microsoft Office Word</Application>
  <DocSecurity>0</DocSecurity>
  <Lines>194</Lines>
  <Paragraphs>85</Paragraphs>
  <ScaleCrop>false</ScaleCrop>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Calder</dc:creator>
  <cp:lastModifiedBy>Mark Behrendt</cp:lastModifiedBy>
  <cp:revision>46</cp:revision>
  <dcterms:created xsi:type="dcterms:W3CDTF">2026-03-18T10:35:00Z</dcterms:created>
  <dcterms:modified xsi:type="dcterms:W3CDTF">2026-03-18T11:12:00Z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