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Pr="00C411E9" w:rsidRDefault="0028345D"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14EC42C8" w:rsidR="00F0430A" w:rsidRDefault="008107A0" w:rsidP="00F0430A">
      <w:pPr>
        <w:pStyle w:val="Heading3"/>
        <w:spacing w:after="240" w:line="276" w:lineRule="auto"/>
        <w:rPr>
          <w:rFonts w:ascii="Arial" w:hAnsi="Arial" w:cs="Arial"/>
          <w:sz w:val="22"/>
          <w:szCs w:val="22"/>
        </w:rPr>
      </w:pPr>
      <w:r>
        <w:rPr>
          <w:rFonts w:ascii="Arial" w:hAnsi="Arial" w:cs="Arial"/>
          <w:sz w:val="22"/>
          <w:szCs w:val="22"/>
        </w:rPr>
        <w:t xml:space="preserve">SWALE </w:t>
      </w:r>
      <w:r w:rsidR="00F0430A">
        <w:rPr>
          <w:rFonts w:ascii="Arial" w:hAnsi="Arial" w:cs="Arial"/>
          <w:sz w:val="22"/>
          <w:szCs w:val="22"/>
        </w:rPr>
        <w:t>LOCAL PLAN</w:t>
      </w:r>
    </w:p>
    <w:p w14:paraId="4F9A4834" w14:textId="560D9C31"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8107A0">
        <w:rPr>
          <w:rFonts w:ascii="Times New Roman" w:hAnsi="Times New Roman" w:cs="Times New Roman"/>
          <w:bCs/>
        </w:rPr>
        <w:t>Swale</w:t>
      </w:r>
      <w:r>
        <w:rPr>
          <w:rFonts w:ascii="Times New Roman" w:hAnsi="Times New Roman" w:cs="Times New Roman"/>
          <w:bCs/>
        </w:rPr>
        <w:t xml:space="preserve"> Local Plan.</w:t>
      </w:r>
    </w:p>
    <w:p w14:paraId="6CD0CD54" w14:textId="5004413C"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w:t>
      </w:r>
    </w:p>
    <w:p w14:paraId="31E8A152" w14:textId="2D04F10C" w:rsidR="00294506" w:rsidRPr="007E02F9" w:rsidRDefault="00294506" w:rsidP="00FB3D18">
      <w:pPr>
        <w:widowControl/>
        <w:suppressAutoHyphens w:val="0"/>
        <w:autoSpaceDE/>
        <w:spacing w:after="240" w:line="360" w:lineRule="auto"/>
        <w:jc w:val="both"/>
        <w:rPr>
          <w:rFonts w:ascii="Times New Roman" w:hAnsi="Times New Roman" w:cs="Times New Roman"/>
          <w:b/>
        </w:rPr>
      </w:pPr>
      <w:r w:rsidRPr="007E02F9">
        <w:rPr>
          <w:rFonts w:ascii="Times New Roman" w:hAnsi="Times New Roman" w:cs="Times New Roman"/>
          <w:b/>
        </w:rPr>
        <w:t xml:space="preserve">Question 2: Do you have any comments </w:t>
      </w:r>
      <w:r w:rsidR="00FD74F8" w:rsidRPr="007E02F9">
        <w:rPr>
          <w:rFonts w:ascii="Times New Roman" w:hAnsi="Times New Roman" w:cs="Times New Roman"/>
          <w:b/>
        </w:rPr>
        <w:t>on section 2 of the draft local plan which will inform the plan’s progression</w:t>
      </w:r>
    </w:p>
    <w:p w14:paraId="2EF6F577" w14:textId="6A509ECA" w:rsidR="00FB3D18" w:rsidRPr="00A52914" w:rsidRDefault="00FB3D18" w:rsidP="00FB3D18">
      <w:pPr>
        <w:widowControl/>
        <w:suppressAutoHyphens w:val="0"/>
        <w:autoSpaceDE/>
        <w:spacing w:after="240" w:line="360" w:lineRule="auto"/>
        <w:jc w:val="both"/>
        <w:rPr>
          <w:rFonts w:ascii="Times New Roman" w:hAnsi="Times New Roman" w:cs="Times New Roman"/>
          <w:bCs/>
          <w:i/>
          <w:iCs/>
          <w:u w:val="single"/>
        </w:rPr>
      </w:pPr>
      <w:r w:rsidRPr="00A52914">
        <w:rPr>
          <w:rFonts w:ascii="Times New Roman" w:hAnsi="Times New Roman" w:cs="Times New Roman"/>
          <w:bCs/>
          <w:i/>
          <w:iCs/>
          <w:u w:val="single"/>
        </w:rPr>
        <w:t>NPPF consultation</w:t>
      </w:r>
    </w:p>
    <w:p w14:paraId="04418D76" w14:textId="77777777" w:rsidR="006421E8" w:rsidRDefault="007E02F9" w:rsidP="008107A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Council will need to give</w:t>
      </w:r>
      <w:r w:rsidR="00BB1004">
        <w:rPr>
          <w:rFonts w:ascii="Times New Roman" w:hAnsi="Times New Roman" w:cs="Times New Roman"/>
          <w:bCs/>
        </w:rPr>
        <w:t xml:space="preserve"> consideration to the new NPPF when it is published</w:t>
      </w:r>
      <w:r w:rsidR="00935F32">
        <w:rPr>
          <w:rFonts w:ascii="Times New Roman" w:hAnsi="Times New Roman" w:cs="Times New Roman"/>
          <w:bCs/>
        </w:rPr>
        <w:t xml:space="preserve"> later this year </w:t>
      </w:r>
      <w:r w:rsidR="00D4035F">
        <w:rPr>
          <w:rFonts w:ascii="Times New Roman" w:hAnsi="Times New Roman" w:cs="Times New Roman"/>
          <w:bCs/>
        </w:rPr>
        <w:t>as based on the time</w:t>
      </w:r>
      <w:r w:rsidR="00936B77">
        <w:rPr>
          <w:rFonts w:ascii="Times New Roman" w:hAnsi="Times New Roman" w:cs="Times New Roman"/>
          <w:bCs/>
        </w:rPr>
        <w:t xml:space="preserve">table on page 20 </w:t>
      </w:r>
      <w:r w:rsidR="008A3E33">
        <w:rPr>
          <w:rFonts w:ascii="Times New Roman" w:hAnsi="Times New Roman" w:cs="Times New Roman"/>
          <w:bCs/>
        </w:rPr>
        <w:t xml:space="preserve">it may well have been </w:t>
      </w:r>
      <w:r w:rsidR="002A0C8F">
        <w:rPr>
          <w:rFonts w:ascii="Times New Roman" w:hAnsi="Times New Roman" w:cs="Times New Roman"/>
          <w:bCs/>
        </w:rPr>
        <w:t xml:space="preserve">published prior to the regulation 19 consultation and submission of the Swale Local Plan for examination. </w:t>
      </w:r>
      <w:r w:rsidR="00FB3D18" w:rsidRPr="00FB3D18">
        <w:rPr>
          <w:rFonts w:ascii="Times New Roman" w:hAnsi="Times New Roman" w:cs="Times New Roman"/>
          <w:bCs/>
        </w:rPr>
        <w:t xml:space="preserve">HBF recognise this will have no weight until it is formally </w:t>
      </w:r>
      <w:r w:rsidR="00E370C9" w:rsidRPr="00FB3D18">
        <w:rPr>
          <w:rFonts w:ascii="Times New Roman" w:hAnsi="Times New Roman" w:cs="Times New Roman"/>
          <w:bCs/>
        </w:rPr>
        <w:t>adopted</w:t>
      </w:r>
      <w:r w:rsidR="00E370C9">
        <w:rPr>
          <w:rFonts w:ascii="Times New Roman" w:hAnsi="Times New Roman" w:cs="Times New Roman"/>
          <w:bCs/>
        </w:rPr>
        <w:t xml:space="preserve"> but</w:t>
      </w:r>
      <w:r w:rsidR="00FB3D18" w:rsidRPr="00FB3D18">
        <w:rPr>
          <w:rFonts w:ascii="Times New Roman" w:hAnsi="Times New Roman" w:cs="Times New Roman"/>
          <w:bCs/>
        </w:rPr>
        <w:t xml:space="preserve"> once adopted the Council will need to give weight to this iteration of </w:t>
      </w:r>
      <w:r w:rsidR="00E370C9">
        <w:rPr>
          <w:rFonts w:ascii="Times New Roman" w:hAnsi="Times New Roman" w:cs="Times New Roman"/>
          <w:bCs/>
        </w:rPr>
        <w:t xml:space="preserve">the Framework. </w:t>
      </w:r>
      <w:r w:rsidR="00056303">
        <w:rPr>
          <w:rFonts w:ascii="Times New Roman" w:hAnsi="Times New Roman" w:cs="Times New Roman"/>
          <w:bCs/>
        </w:rPr>
        <w:t xml:space="preserve"> </w:t>
      </w:r>
      <w:r w:rsidR="00E370C9">
        <w:rPr>
          <w:rFonts w:ascii="Times New Roman" w:hAnsi="Times New Roman" w:cs="Times New Roman"/>
          <w:bCs/>
        </w:rPr>
        <w:t>O</w:t>
      </w:r>
      <w:r w:rsidR="00056303">
        <w:rPr>
          <w:rFonts w:ascii="Times New Roman" w:hAnsi="Times New Roman" w:cs="Times New Roman"/>
          <w:bCs/>
        </w:rPr>
        <w:t>n</w:t>
      </w:r>
      <w:r w:rsidR="00FB3D18" w:rsidRPr="00FB3D18">
        <w:rPr>
          <w:rFonts w:ascii="Times New Roman" w:hAnsi="Times New Roman" w:cs="Times New Roman"/>
          <w:bCs/>
        </w:rPr>
        <w:t xml:space="preserve"> the basis of paragraph 4 and 8 in Annex A of the draft NPPF being consulted on</w:t>
      </w:r>
      <w:r w:rsidR="00DB1FAC">
        <w:rPr>
          <w:rFonts w:ascii="Times New Roman" w:hAnsi="Times New Roman" w:cs="Times New Roman"/>
          <w:bCs/>
        </w:rPr>
        <w:t xml:space="preserve"> </w:t>
      </w:r>
      <w:r w:rsidR="00FB3D18" w:rsidRPr="00FB3D18">
        <w:rPr>
          <w:rFonts w:ascii="Times New Roman" w:hAnsi="Times New Roman" w:cs="Times New Roman"/>
          <w:bCs/>
        </w:rPr>
        <w:t xml:space="preserve">this local plan, which the Council propose to submit under the current plan making process, will be examined under the NPPF24. </w:t>
      </w:r>
    </w:p>
    <w:p w14:paraId="5333B264" w14:textId="544C5DD7" w:rsidR="00FB3D18" w:rsidRPr="00FB3D18" w:rsidRDefault="00FB3D18" w:rsidP="008107A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FB3D18">
        <w:rPr>
          <w:rFonts w:ascii="Times New Roman" w:hAnsi="Times New Roman" w:cs="Times New Roman"/>
          <w:bCs/>
        </w:rPr>
        <w:t>However, it is also notable that in relation to decision making Annex A also states that from the date the new NPPF is published local plan policies that are “</w:t>
      </w:r>
      <w:r w:rsidRPr="00DB1FAC">
        <w:rPr>
          <w:rFonts w:ascii="Times New Roman" w:hAnsi="Times New Roman" w:cs="Times New Roman"/>
          <w:bCs/>
          <w:i/>
          <w:iCs/>
        </w:rPr>
        <w:t xml:space="preserve">…any way inconsistent with national decision making policies in this Framework should be </w:t>
      </w:r>
      <w:r w:rsidRPr="008107A0">
        <w:rPr>
          <w:rFonts w:ascii="Times New Roman" w:hAnsi="Times New Roman" w:cs="Times New Roman"/>
          <w:bCs/>
        </w:rPr>
        <w:t>given</w:t>
      </w:r>
      <w:r w:rsidRPr="00DB1FAC">
        <w:rPr>
          <w:rFonts w:ascii="Times New Roman" w:hAnsi="Times New Roman" w:cs="Times New Roman"/>
          <w:bCs/>
          <w:i/>
          <w:iCs/>
        </w:rPr>
        <w:t xml:space="preserve"> very limited weight, except where they have been examined and adopted against this Framework</w:t>
      </w:r>
      <w:r w:rsidRPr="00FB3D18">
        <w:rPr>
          <w:rFonts w:ascii="Times New Roman" w:hAnsi="Times New Roman" w:cs="Times New Roman"/>
          <w:bCs/>
        </w:rPr>
        <w:t>”. Therefore, should this new iteration of the NPPF be adopted unchanged the Council will need to have regard to na</w:t>
      </w:r>
      <w:r>
        <w:rPr>
          <w:rFonts w:ascii="Times New Roman" w:hAnsi="Times New Roman" w:cs="Times New Roman"/>
          <w:bCs/>
        </w:rPr>
        <w:t>t</w:t>
      </w:r>
      <w:r w:rsidRPr="00FB3D18">
        <w:rPr>
          <w:rFonts w:ascii="Times New Roman" w:hAnsi="Times New Roman" w:cs="Times New Roman"/>
          <w:bCs/>
        </w:rPr>
        <w:t xml:space="preserve">ional policies for decision making given that any inconsistency would effectively render </w:t>
      </w:r>
      <w:r w:rsidR="006421E8">
        <w:rPr>
          <w:rFonts w:ascii="Times New Roman" w:hAnsi="Times New Roman" w:cs="Times New Roman"/>
          <w:bCs/>
        </w:rPr>
        <w:t xml:space="preserve">many of the development management </w:t>
      </w:r>
      <w:r w:rsidRPr="00FB3D18">
        <w:rPr>
          <w:rFonts w:ascii="Times New Roman" w:hAnsi="Times New Roman" w:cs="Times New Roman"/>
          <w:bCs/>
        </w:rPr>
        <w:t xml:space="preserve">policies </w:t>
      </w:r>
      <w:r w:rsidR="006421E8">
        <w:rPr>
          <w:rFonts w:ascii="Times New Roman" w:hAnsi="Times New Roman" w:cs="Times New Roman"/>
          <w:bCs/>
        </w:rPr>
        <w:t xml:space="preserve">proposed in this </w:t>
      </w:r>
      <w:r w:rsidR="00C824E7">
        <w:rPr>
          <w:rFonts w:ascii="Times New Roman" w:hAnsi="Times New Roman" w:cs="Times New Roman"/>
          <w:bCs/>
        </w:rPr>
        <w:t xml:space="preserve">consultation </w:t>
      </w:r>
      <w:r w:rsidRPr="00FB3D18">
        <w:rPr>
          <w:rFonts w:ascii="Times New Roman" w:hAnsi="Times New Roman" w:cs="Times New Roman"/>
          <w:bCs/>
        </w:rPr>
        <w:t xml:space="preserve">that are not consistent with the new Framework redundant as soon as the local plan is adopted. </w:t>
      </w:r>
    </w:p>
    <w:p w14:paraId="493E0D36" w14:textId="44E5E813" w:rsidR="003D7D88" w:rsidRDefault="00FB3D18" w:rsidP="008107A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FB3D18">
        <w:rPr>
          <w:rFonts w:ascii="Times New Roman" w:hAnsi="Times New Roman" w:cs="Times New Roman"/>
          <w:bCs/>
        </w:rPr>
        <w:t xml:space="preserve">It is clear from the draft NPPF and the decision to establish national decision making policies that the Government are seeking to limit the number of development management policies in local plans that look to gold plate policies and go beyond national standards which place significant burdens on applicants as well as their own officers. As such, </w:t>
      </w:r>
      <w:r w:rsidR="00C241D9">
        <w:rPr>
          <w:rFonts w:ascii="Times New Roman" w:hAnsi="Times New Roman" w:cs="Times New Roman"/>
          <w:bCs/>
        </w:rPr>
        <w:t>when the final version of the NPPF</w:t>
      </w:r>
      <w:r w:rsidR="008C2762">
        <w:rPr>
          <w:rFonts w:ascii="Times New Roman" w:hAnsi="Times New Roman" w:cs="Times New Roman"/>
          <w:bCs/>
        </w:rPr>
        <w:t xml:space="preserve"> is published any</w:t>
      </w:r>
      <w:r w:rsidRPr="00FB3D18">
        <w:rPr>
          <w:rFonts w:ascii="Times New Roman" w:hAnsi="Times New Roman" w:cs="Times New Roman"/>
          <w:bCs/>
        </w:rPr>
        <w:t xml:space="preserve"> policies </w:t>
      </w:r>
      <w:r w:rsidR="008C2762">
        <w:rPr>
          <w:rFonts w:ascii="Times New Roman" w:hAnsi="Times New Roman" w:cs="Times New Roman"/>
          <w:bCs/>
        </w:rPr>
        <w:t xml:space="preserve">which </w:t>
      </w:r>
      <w:r w:rsidRPr="00FB3D18">
        <w:rPr>
          <w:rFonts w:ascii="Times New Roman" w:hAnsi="Times New Roman" w:cs="Times New Roman"/>
          <w:bCs/>
        </w:rPr>
        <w:t xml:space="preserve">are inconsistent with the </w:t>
      </w:r>
      <w:r w:rsidRPr="00FB3D18">
        <w:rPr>
          <w:rFonts w:ascii="Times New Roman" w:hAnsi="Times New Roman" w:cs="Times New Roman"/>
          <w:bCs/>
        </w:rPr>
        <w:lastRenderedPageBreak/>
        <w:t xml:space="preserve">new framework </w:t>
      </w:r>
      <w:r w:rsidR="008C2762">
        <w:rPr>
          <w:rFonts w:ascii="Times New Roman" w:hAnsi="Times New Roman" w:cs="Times New Roman"/>
          <w:bCs/>
        </w:rPr>
        <w:t>should be</w:t>
      </w:r>
      <w:r w:rsidRPr="00FB3D18">
        <w:rPr>
          <w:rFonts w:ascii="Times New Roman" w:hAnsi="Times New Roman" w:cs="Times New Roman"/>
          <w:bCs/>
        </w:rPr>
        <w:t xml:space="preserve"> deleted in order to avoid unnecessary and length discussions on an application by application basis as to the weight that should be attached to the</w:t>
      </w:r>
      <w:r w:rsidR="008E3A2E">
        <w:rPr>
          <w:rFonts w:ascii="Times New Roman" w:hAnsi="Times New Roman" w:cs="Times New Roman"/>
          <w:bCs/>
        </w:rPr>
        <w:t xml:space="preserve"> policies </w:t>
      </w:r>
      <w:r w:rsidR="00AE704A">
        <w:rPr>
          <w:rFonts w:ascii="Times New Roman" w:hAnsi="Times New Roman" w:cs="Times New Roman"/>
          <w:bCs/>
        </w:rPr>
        <w:t>in t</w:t>
      </w:r>
      <w:r w:rsidR="008E3A2E">
        <w:rPr>
          <w:rFonts w:ascii="Times New Roman" w:hAnsi="Times New Roman" w:cs="Times New Roman"/>
          <w:bCs/>
        </w:rPr>
        <w:t xml:space="preserve">he </w:t>
      </w:r>
      <w:r w:rsidR="00AE704A">
        <w:rPr>
          <w:rFonts w:ascii="Times New Roman" w:hAnsi="Times New Roman" w:cs="Times New Roman"/>
          <w:bCs/>
        </w:rPr>
        <w:t>adopted local plan</w:t>
      </w:r>
      <w:r w:rsidRPr="00FB3D18">
        <w:rPr>
          <w:rFonts w:ascii="Times New Roman" w:hAnsi="Times New Roman" w:cs="Times New Roman"/>
          <w:bCs/>
        </w:rPr>
        <w:t>.</w:t>
      </w:r>
    </w:p>
    <w:p w14:paraId="335E8250" w14:textId="291DAEFE" w:rsidR="00AE704A" w:rsidRPr="00AE704A" w:rsidRDefault="00AE704A" w:rsidP="00FB3D18">
      <w:pPr>
        <w:widowControl/>
        <w:suppressAutoHyphens w:val="0"/>
        <w:autoSpaceDE/>
        <w:spacing w:after="240" w:line="360" w:lineRule="auto"/>
        <w:jc w:val="both"/>
        <w:rPr>
          <w:rFonts w:ascii="Times New Roman" w:hAnsi="Times New Roman" w:cs="Times New Roman"/>
          <w:bCs/>
          <w:i/>
          <w:iCs/>
          <w:u w:val="single"/>
        </w:rPr>
      </w:pPr>
      <w:r w:rsidRPr="00AE704A">
        <w:rPr>
          <w:rFonts w:ascii="Times New Roman" w:hAnsi="Times New Roman" w:cs="Times New Roman"/>
          <w:bCs/>
          <w:i/>
          <w:iCs/>
          <w:u w:val="single"/>
        </w:rPr>
        <w:t xml:space="preserve">Plan period </w:t>
      </w:r>
    </w:p>
    <w:p w14:paraId="0C2A4294" w14:textId="472DD8A2" w:rsidR="00AE704A" w:rsidRDefault="00AE704A" w:rsidP="008107A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In paragraph 2.1.7 of </w:t>
      </w:r>
      <w:r w:rsidR="00D25D0D">
        <w:rPr>
          <w:rFonts w:ascii="Times New Roman" w:hAnsi="Times New Roman" w:cs="Times New Roman"/>
          <w:bCs/>
        </w:rPr>
        <w:t>the</w:t>
      </w:r>
      <w:r>
        <w:rPr>
          <w:rFonts w:ascii="Times New Roman" w:hAnsi="Times New Roman" w:cs="Times New Roman"/>
          <w:bCs/>
        </w:rPr>
        <w:t xml:space="preserve"> local plan the </w:t>
      </w:r>
      <w:r w:rsidR="00086584">
        <w:rPr>
          <w:rFonts w:ascii="Times New Roman" w:hAnsi="Times New Roman" w:cs="Times New Roman"/>
          <w:bCs/>
        </w:rPr>
        <w:t xml:space="preserve">Council state that the plan period will be 2027 to 2042. HBF do not consider this to be a sound approach as it will mean </w:t>
      </w:r>
      <w:r w:rsidR="008D56F2">
        <w:rPr>
          <w:rFonts w:ascii="Times New Roman" w:hAnsi="Times New Roman" w:cs="Times New Roman"/>
          <w:bCs/>
        </w:rPr>
        <w:t xml:space="preserve">the plan period not stating in the year in which </w:t>
      </w:r>
      <w:r w:rsidR="003B083F">
        <w:rPr>
          <w:rFonts w:ascii="Times New Roman" w:hAnsi="Times New Roman" w:cs="Times New Roman"/>
          <w:bCs/>
        </w:rPr>
        <w:t>the housing needs assessment is undertaken.</w:t>
      </w:r>
      <w:r w:rsidR="00A74ABC">
        <w:rPr>
          <w:rFonts w:ascii="Times New Roman" w:hAnsi="Times New Roman" w:cs="Times New Roman"/>
          <w:bCs/>
        </w:rPr>
        <w:t xml:space="preserve"> </w:t>
      </w:r>
      <w:r w:rsidR="00327936" w:rsidRPr="00327936">
        <w:rPr>
          <w:rFonts w:ascii="Times New Roman" w:hAnsi="Times New Roman" w:cs="Times New Roman"/>
          <w:bCs/>
        </w:rPr>
        <w:t>Local plans are meant to look forward at what needs to be delivered with past delivery being taken into account through the standard method. This is clear from paragraph 2a-00</w:t>
      </w:r>
      <w:r w:rsidR="00B56212">
        <w:rPr>
          <w:rFonts w:ascii="Times New Roman" w:hAnsi="Times New Roman" w:cs="Times New Roman"/>
          <w:bCs/>
        </w:rPr>
        <w:t>6</w:t>
      </w:r>
      <w:r w:rsidR="00327936" w:rsidRPr="00327936">
        <w:rPr>
          <w:rFonts w:ascii="Times New Roman" w:hAnsi="Times New Roman" w:cs="Times New Roman"/>
          <w:bCs/>
        </w:rPr>
        <w:t xml:space="preserve"> notes that </w:t>
      </w:r>
      <w:r w:rsidR="009049AA">
        <w:rPr>
          <w:rFonts w:ascii="Times New Roman" w:hAnsi="Times New Roman" w:cs="Times New Roman"/>
          <w:bCs/>
        </w:rPr>
        <w:t xml:space="preserve">the most recent year is used with regard to housing stock and </w:t>
      </w:r>
      <w:r w:rsidR="00327936" w:rsidRPr="00327936">
        <w:rPr>
          <w:rFonts w:ascii="Times New Roman" w:hAnsi="Times New Roman" w:cs="Times New Roman"/>
          <w:bCs/>
        </w:rPr>
        <w:t>requires the affordability adjustment</w:t>
      </w:r>
      <w:r w:rsidR="00A10793">
        <w:rPr>
          <w:rFonts w:ascii="Times New Roman" w:hAnsi="Times New Roman" w:cs="Times New Roman"/>
          <w:bCs/>
        </w:rPr>
        <w:t xml:space="preserve"> is the five year average </w:t>
      </w:r>
      <w:r w:rsidR="00636819">
        <w:rPr>
          <w:rFonts w:ascii="Times New Roman" w:hAnsi="Times New Roman" w:cs="Times New Roman"/>
          <w:bCs/>
        </w:rPr>
        <w:t>in the year the assessment is undertaken</w:t>
      </w:r>
      <w:r w:rsidR="00327936" w:rsidRPr="00327936">
        <w:rPr>
          <w:rFonts w:ascii="Times New Roman" w:hAnsi="Times New Roman" w:cs="Times New Roman"/>
          <w:bCs/>
        </w:rPr>
        <w:t xml:space="preserve">. This adjustment is to reflect the price signals in the market and ensure that housing needs are responding to these </w:t>
      </w:r>
      <w:r w:rsidR="00636819" w:rsidRPr="00327936">
        <w:rPr>
          <w:rFonts w:ascii="Times New Roman" w:hAnsi="Times New Roman" w:cs="Times New Roman"/>
          <w:bCs/>
        </w:rPr>
        <w:t>signals,</w:t>
      </w:r>
      <w:r w:rsidR="00327936" w:rsidRPr="00327936">
        <w:rPr>
          <w:rFonts w:ascii="Times New Roman" w:hAnsi="Times New Roman" w:cs="Times New Roman"/>
          <w:bCs/>
        </w:rPr>
        <w:t xml:space="preserve"> which suggests that the starting point for any plan should be the year to which the </w:t>
      </w:r>
      <w:r w:rsidR="00636819">
        <w:rPr>
          <w:rFonts w:ascii="Times New Roman" w:hAnsi="Times New Roman" w:cs="Times New Roman"/>
          <w:bCs/>
        </w:rPr>
        <w:t xml:space="preserve">assessment is </w:t>
      </w:r>
      <w:r w:rsidR="00D25D0D">
        <w:rPr>
          <w:rFonts w:ascii="Times New Roman" w:hAnsi="Times New Roman" w:cs="Times New Roman"/>
          <w:bCs/>
        </w:rPr>
        <w:t>undertaken</w:t>
      </w:r>
      <w:r w:rsidR="00636819">
        <w:rPr>
          <w:rFonts w:ascii="Times New Roman" w:hAnsi="Times New Roman" w:cs="Times New Roman"/>
          <w:bCs/>
        </w:rPr>
        <w:t xml:space="preserve"> not the year in which the Council </w:t>
      </w:r>
      <w:r w:rsidR="00D25D0D">
        <w:rPr>
          <w:rFonts w:ascii="Times New Roman" w:hAnsi="Times New Roman" w:cs="Times New Roman"/>
          <w:bCs/>
        </w:rPr>
        <w:t>expects</w:t>
      </w:r>
      <w:r w:rsidR="00636819">
        <w:rPr>
          <w:rFonts w:ascii="Times New Roman" w:hAnsi="Times New Roman" w:cs="Times New Roman"/>
          <w:bCs/>
        </w:rPr>
        <w:t xml:space="preserve"> to adopt the local plan</w:t>
      </w:r>
      <w:r w:rsidR="00327936" w:rsidRPr="00327936">
        <w:rPr>
          <w:rFonts w:ascii="Times New Roman" w:hAnsi="Times New Roman" w:cs="Times New Roman"/>
          <w:bCs/>
        </w:rPr>
        <w:t>. As such it is neither logical nor consistent with national policy for the plan period to start in 202</w:t>
      </w:r>
      <w:r w:rsidR="00D25D0D">
        <w:rPr>
          <w:rFonts w:ascii="Times New Roman" w:hAnsi="Times New Roman" w:cs="Times New Roman"/>
          <w:bCs/>
        </w:rPr>
        <w:t>7</w:t>
      </w:r>
      <w:r w:rsidR="00327936" w:rsidRPr="00327936">
        <w:rPr>
          <w:rFonts w:ascii="Times New Roman" w:hAnsi="Times New Roman" w:cs="Times New Roman"/>
          <w:bCs/>
        </w:rPr>
        <w:t xml:space="preserve">. It should start in </w:t>
      </w:r>
      <w:r w:rsidR="00D25D0D" w:rsidRPr="00327936">
        <w:rPr>
          <w:rFonts w:ascii="Times New Roman" w:hAnsi="Times New Roman" w:cs="Times New Roman"/>
          <w:bCs/>
        </w:rPr>
        <w:t>202</w:t>
      </w:r>
      <w:r w:rsidR="00D25D0D">
        <w:rPr>
          <w:rFonts w:ascii="Times New Roman" w:hAnsi="Times New Roman" w:cs="Times New Roman"/>
          <w:bCs/>
        </w:rPr>
        <w:t>6,</w:t>
      </w:r>
      <w:r w:rsidR="00327936" w:rsidRPr="00327936">
        <w:rPr>
          <w:rFonts w:ascii="Times New Roman" w:hAnsi="Times New Roman" w:cs="Times New Roman"/>
          <w:bCs/>
        </w:rPr>
        <w:t xml:space="preserve"> the year in which the assessment </w:t>
      </w:r>
      <w:r w:rsidR="00D25D0D">
        <w:rPr>
          <w:rFonts w:ascii="Times New Roman" w:hAnsi="Times New Roman" w:cs="Times New Roman"/>
          <w:bCs/>
        </w:rPr>
        <w:t>is</w:t>
      </w:r>
      <w:r w:rsidR="00327936" w:rsidRPr="00327936">
        <w:rPr>
          <w:rFonts w:ascii="Times New Roman" w:hAnsi="Times New Roman" w:cs="Times New Roman"/>
          <w:bCs/>
        </w:rPr>
        <w:t xml:space="preserve"> calculated.</w:t>
      </w:r>
    </w:p>
    <w:p w14:paraId="7A3210F9" w14:textId="406C380A" w:rsidR="00C3013B" w:rsidRDefault="001776E7" w:rsidP="008107A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plan period is also inconsistent with paragraph 22 of the NPPF which requires plan to look ahead for at least 15 years </w:t>
      </w:r>
      <w:r w:rsidR="00FF686D">
        <w:rPr>
          <w:rFonts w:ascii="Times New Roman" w:hAnsi="Times New Roman" w:cs="Times New Roman"/>
          <w:bCs/>
        </w:rPr>
        <w:t>from the</w:t>
      </w:r>
      <w:r>
        <w:rPr>
          <w:rFonts w:ascii="Times New Roman" w:hAnsi="Times New Roman" w:cs="Times New Roman"/>
          <w:bCs/>
        </w:rPr>
        <w:t xml:space="preserve"> </w:t>
      </w:r>
      <w:r w:rsidR="00FF686D">
        <w:rPr>
          <w:rFonts w:ascii="Times New Roman" w:hAnsi="Times New Roman" w:cs="Times New Roman"/>
          <w:bCs/>
        </w:rPr>
        <w:t>point</w:t>
      </w:r>
      <w:r>
        <w:rPr>
          <w:rFonts w:ascii="Times New Roman" w:hAnsi="Times New Roman" w:cs="Times New Roman"/>
          <w:bCs/>
        </w:rPr>
        <w:t xml:space="preserve"> of adoption. </w:t>
      </w:r>
      <w:r w:rsidR="00FF686D">
        <w:rPr>
          <w:rFonts w:ascii="Times New Roman" w:hAnsi="Times New Roman" w:cs="Times New Roman"/>
          <w:bCs/>
        </w:rPr>
        <w:t xml:space="preserve">If the plan is adopted at the end of 2027 this will </w:t>
      </w:r>
      <w:r w:rsidR="00E04E85">
        <w:rPr>
          <w:rFonts w:ascii="Times New Roman" w:hAnsi="Times New Roman" w:cs="Times New Roman"/>
          <w:bCs/>
        </w:rPr>
        <w:t xml:space="preserve">mean that the plan has less than 15 years to run from it adoption. </w:t>
      </w:r>
      <w:r w:rsidR="005001DA">
        <w:rPr>
          <w:rFonts w:ascii="Times New Roman" w:hAnsi="Times New Roman" w:cs="Times New Roman"/>
          <w:bCs/>
        </w:rPr>
        <w:t xml:space="preserve">There will also be some uncertainty as to whether a plan submitted in </w:t>
      </w:r>
      <w:r w:rsidR="00512D6C">
        <w:rPr>
          <w:rFonts w:ascii="Times New Roman" w:hAnsi="Times New Roman" w:cs="Times New Roman"/>
          <w:bCs/>
        </w:rPr>
        <w:t>December</w:t>
      </w:r>
      <w:r w:rsidR="0087548F">
        <w:rPr>
          <w:rFonts w:ascii="Times New Roman" w:hAnsi="Times New Roman" w:cs="Times New Roman"/>
          <w:bCs/>
        </w:rPr>
        <w:t xml:space="preserve"> 2026 will be adopted 12 months later</w:t>
      </w:r>
      <w:r w:rsidR="00225638">
        <w:rPr>
          <w:rFonts w:ascii="Times New Roman" w:hAnsi="Times New Roman" w:cs="Times New Roman"/>
          <w:bCs/>
        </w:rPr>
        <w:t xml:space="preserve"> given the number of plans that are expected to be submitted later this year. As such HBF would suggest that an extra year is added to the plan period to ensure that it is consistent with paragraph 22 of the NPPF.</w:t>
      </w:r>
    </w:p>
    <w:p w14:paraId="5245C75A" w14:textId="0C19E834" w:rsidR="00225638" w:rsidRDefault="008D78BF" w:rsidP="00FB3D18">
      <w:pPr>
        <w:widowControl/>
        <w:suppressAutoHyphens w:val="0"/>
        <w:autoSpaceDE/>
        <w:spacing w:after="240" w:line="360" w:lineRule="auto"/>
        <w:jc w:val="both"/>
        <w:rPr>
          <w:rFonts w:ascii="Times New Roman" w:hAnsi="Times New Roman" w:cs="Times New Roman"/>
          <w:b/>
          <w:lang w:val="en-GB"/>
        </w:rPr>
      </w:pPr>
      <w:r w:rsidRPr="008D78BF">
        <w:rPr>
          <w:rFonts w:ascii="Times New Roman" w:hAnsi="Times New Roman" w:cs="Times New Roman"/>
          <w:b/>
          <w:lang w:val="en-GB"/>
        </w:rPr>
        <w:t xml:space="preserve">Question 4: </w:t>
      </w:r>
      <w:r w:rsidR="001C2E66" w:rsidRPr="008D78BF">
        <w:rPr>
          <w:rFonts w:ascii="Times New Roman" w:hAnsi="Times New Roman" w:cs="Times New Roman"/>
          <w:b/>
          <w:lang w:val="en-GB"/>
        </w:rPr>
        <w:t>Is the vision positive, clear, realistic and ambitious and does it identify the right priorities for Swale?</w:t>
      </w:r>
    </w:p>
    <w:p w14:paraId="376C5877" w14:textId="1B01549D" w:rsidR="008D78BF" w:rsidRDefault="008D78BF" w:rsidP="001A337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Th opening sentence stat</w:t>
      </w:r>
      <w:r w:rsidR="00965B1C">
        <w:rPr>
          <w:rFonts w:ascii="Times New Roman" w:hAnsi="Times New Roman" w:cs="Times New Roman"/>
          <w:bCs/>
          <w:lang w:val="en-GB"/>
        </w:rPr>
        <w:t>ing that development will come forward to meet “</w:t>
      </w:r>
      <w:r w:rsidR="00965B1C" w:rsidRPr="008076AC">
        <w:rPr>
          <w:rFonts w:ascii="Times New Roman" w:hAnsi="Times New Roman" w:cs="Times New Roman"/>
          <w:bCs/>
          <w:i/>
          <w:iCs/>
          <w:lang w:val="en-GB"/>
        </w:rPr>
        <w:t>… imposed Government targets</w:t>
      </w:r>
      <w:r w:rsidR="00965B1C">
        <w:rPr>
          <w:rFonts w:ascii="Times New Roman" w:hAnsi="Times New Roman" w:cs="Times New Roman"/>
          <w:bCs/>
          <w:lang w:val="en-GB"/>
        </w:rPr>
        <w:t xml:space="preserve">”. </w:t>
      </w:r>
      <w:r w:rsidR="007143A1">
        <w:rPr>
          <w:rFonts w:ascii="Times New Roman" w:hAnsi="Times New Roman" w:cs="Times New Roman"/>
          <w:bCs/>
          <w:lang w:val="en-GB"/>
        </w:rPr>
        <w:t>This is</w:t>
      </w:r>
      <w:r w:rsidR="008076AC">
        <w:rPr>
          <w:rFonts w:ascii="Times New Roman" w:hAnsi="Times New Roman" w:cs="Times New Roman"/>
          <w:bCs/>
          <w:lang w:val="en-GB"/>
        </w:rPr>
        <w:t xml:space="preserve"> </w:t>
      </w:r>
      <w:r w:rsidR="007143A1">
        <w:rPr>
          <w:rFonts w:ascii="Times New Roman" w:hAnsi="Times New Roman" w:cs="Times New Roman"/>
          <w:bCs/>
          <w:lang w:val="en-GB"/>
        </w:rPr>
        <w:t xml:space="preserve">not </w:t>
      </w:r>
      <w:r w:rsidR="008076AC">
        <w:rPr>
          <w:rFonts w:ascii="Times New Roman" w:hAnsi="Times New Roman" w:cs="Times New Roman"/>
          <w:bCs/>
          <w:lang w:val="en-GB"/>
        </w:rPr>
        <w:t xml:space="preserve">a </w:t>
      </w:r>
      <w:r w:rsidR="007143A1">
        <w:rPr>
          <w:rFonts w:ascii="Times New Roman" w:hAnsi="Times New Roman" w:cs="Times New Roman"/>
          <w:bCs/>
          <w:lang w:val="en-GB"/>
        </w:rPr>
        <w:t>positive</w:t>
      </w:r>
      <w:r w:rsidR="008076AC">
        <w:rPr>
          <w:rFonts w:ascii="Times New Roman" w:hAnsi="Times New Roman" w:cs="Times New Roman"/>
          <w:bCs/>
          <w:lang w:val="en-GB"/>
        </w:rPr>
        <w:t xml:space="preserve"> statement and fails to </w:t>
      </w:r>
      <w:r w:rsidR="007143A1">
        <w:rPr>
          <w:rFonts w:ascii="Times New Roman" w:hAnsi="Times New Roman" w:cs="Times New Roman"/>
          <w:bCs/>
          <w:lang w:val="en-GB"/>
        </w:rPr>
        <w:t>recognise</w:t>
      </w:r>
      <w:r w:rsidR="008076AC">
        <w:rPr>
          <w:rFonts w:ascii="Times New Roman" w:hAnsi="Times New Roman" w:cs="Times New Roman"/>
          <w:bCs/>
          <w:lang w:val="en-GB"/>
        </w:rPr>
        <w:t xml:space="preserve"> that </w:t>
      </w:r>
      <w:r w:rsidR="007143A1">
        <w:rPr>
          <w:rFonts w:ascii="Times New Roman" w:hAnsi="Times New Roman" w:cs="Times New Roman"/>
          <w:bCs/>
          <w:lang w:val="en-GB"/>
        </w:rPr>
        <w:t>there</w:t>
      </w:r>
      <w:r w:rsidR="00B24D41">
        <w:rPr>
          <w:rFonts w:ascii="Times New Roman" w:hAnsi="Times New Roman" w:cs="Times New Roman"/>
          <w:bCs/>
          <w:lang w:val="en-GB"/>
        </w:rPr>
        <w:t xml:space="preserve"> is a </w:t>
      </w:r>
      <w:r w:rsidR="007143A1">
        <w:rPr>
          <w:rFonts w:ascii="Times New Roman" w:hAnsi="Times New Roman" w:cs="Times New Roman"/>
          <w:bCs/>
          <w:lang w:val="en-GB"/>
        </w:rPr>
        <w:t>significant</w:t>
      </w:r>
      <w:r w:rsidR="00B24D41">
        <w:rPr>
          <w:rFonts w:ascii="Times New Roman" w:hAnsi="Times New Roman" w:cs="Times New Roman"/>
          <w:bCs/>
          <w:lang w:val="en-GB"/>
        </w:rPr>
        <w:t xml:space="preserve"> needs for new homes both in Swale and across the </w:t>
      </w:r>
      <w:r w:rsidR="00B24D41" w:rsidRPr="001A3372">
        <w:rPr>
          <w:rFonts w:ascii="Times New Roman" w:hAnsi="Times New Roman" w:cs="Times New Roman"/>
          <w:bCs/>
        </w:rPr>
        <w:t>country</w:t>
      </w:r>
      <w:r w:rsidR="00B24D41">
        <w:rPr>
          <w:rFonts w:ascii="Times New Roman" w:hAnsi="Times New Roman" w:cs="Times New Roman"/>
          <w:bCs/>
          <w:lang w:val="en-GB"/>
        </w:rPr>
        <w:t xml:space="preserve">. The Council should be setting out a positive vision for development </w:t>
      </w:r>
      <w:r w:rsidR="007143A1">
        <w:rPr>
          <w:rFonts w:ascii="Times New Roman" w:hAnsi="Times New Roman" w:cs="Times New Roman"/>
          <w:bCs/>
          <w:lang w:val="en-GB"/>
        </w:rPr>
        <w:t>recognising</w:t>
      </w:r>
      <w:r w:rsidR="00B24D41">
        <w:rPr>
          <w:rFonts w:ascii="Times New Roman" w:hAnsi="Times New Roman" w:cs="Times New Roman"/>
          <w:bCs/>
          <w:lang w:val="en-GB"/>
        </w:rPr>
        <w:t xml:space="preserve"> that </w:t>
      </w:r>
      <w:r w:rsidR="003345BF">
        <w:rPr>
          <w:rFonts w:ascii="Times New Roman" w:hAnsi="Times New Roman" w:cs="Times New Roman"/>
          <w:bCs/>
          <w:lang w:val="en-GB"/>
        </w:rPr>
        <w:t xml:space="preserve">more </w:t>
      </w:r>
      <w:r w:rsidR="006531B6">
        <w:rPr>
          <w:rFonts w:ascii="Times New Roman" w:hAnsi="Times New Roman" w:cs="Times New Roman"/>
          <w:bCs/>
          <w:lang w:val="en-GB"/>
        </w:rPr>
        <w:t>residential</w:t>
      </w:r>
      <w:r w:rsidR="003345BF">
        <w:rPr>
          <w:rFonts w:ascii="Times New Roman" w:hAnsi="Times New Roman" w:cs="Times New Roman"/>
          <w:bCs/>
          <w:lang w:val="en-GB"/>
        </w:rPr>
        <w:t xml:space="preserve"> development is needed </w:t>
      </w:r>
      <w:r w:rsidR="006531B6">
        <w:rPr>
          <w:rFonts w:ascii="Times New Roman" w:hAnsi="Times New Roman" w:cs="Times New Roman"/>
          <w:bCs/>
          <w:lang w:val="en-GB"/>
        </w:rPr>
        <w:t>meet the needs of families and young people</w:t>
      </w:r>
      <w:r w:rsidR="0093627B">
        <w:rPr>
          <w:rFonts w:ascii="Times New Roman" w:hAnsi="Times New Roman" w:cs="Times New Roman"/>
          <w:bCs/>
          <w:lang w:val="en-GB"/>
        </w:rPr>
        <w:t xml:space="preserve"> and provide the </w:t>
      </w:r>
      <w:r w:rsidR="005118CF">
        <w:rPr>
          <w:rFonts w:ascii="Times New Roman" w:hAnsi="Times New Roman" w:cs="Times New Roman"/>
          <w:bCs/>
          <w:lang w:val="en-GB"/>
        </w:rPr>
        <w:t>affordable</w:t>
      </w:r>
      <w:r w:rsidR="0093627B">
        <w:rPr>
          <w:rFonts w:ascii="Times New Roman" w:hAnsi="Times New Roman" w:cs="Times New Roman"/>
          <w:bCs/>
          <w:lang w:val="en-GB"/>
        </w:rPr>
        <w:t xml:space="preserve"> required to address the </w:t>
      </w:r>
      <w:r w:rsidR="005118CF">
        <w:rPr>
          <w:rFonts w:ascii="Times New Roman" w:hAnsi="Times New Roman" w:cs="Times New Roman"/>
          <w:bCs/>
          <w:lang w:val="en-GB"/>
        </w:rPr>
        <w:t>Council’s</w:t>
      </w:r>
      <w:r w:rsidR="0093627B">
        <w:rPr>
          <w:rFonts w:ascii="Times New Roman" w:hAnsi="Times New Roman" w:cs="Times New Roman"/>
          <w:bCs/>
          <w:lang w:val="en-GB"/>
        </w:rPr>
        <w:t xml:space="preserve"> </w:t>
      </w:r>
      <w:r w:rsidR="005118CF">
        <w:rPr>
          <w:rFonts w:ascii="Times New Roman" w:hAnsi="Times New Roman" w:cs="Times New Roman"/>
          <w:bCs/>
          <w:lang w:val="en-GB"/>
        </w:rPr>
        <w:t>self-declared</w:t>
      </w:r>
      <w:r w:rsidR="0093627B">
        <w:rPr>
          <w:rFonts w:ascii="Times New Roman" w:hAnsi="Times New Roman" w:cs="Times New Roman"/>
          <w:bCs/>
          <w:lang w:val="en-GB"/>
        </w:rPr>
        <w:t xml:space="preserve"> </w:t>
      </w:r>
      <w:r w:rsidR="005118CF">
        <w:rPr>
          <w:rFonts w:ascii="Times New Roman" w:hAnsi="Times New Roman" w:cs="Times New Roman"/>
          <w:bCs/>
          <w:lang w:val="en-GB"/>
        </w:rPr>
        <w:t xml:space="preserve">affordable housing emergency. </w:t>
      </w:r>
      <w:r w:rsidR="00D97D11">
        <w:rPr>
          <w:rFonts w:ascii="Times New Roman" w:hAnsi="Times New Roman" w:cs="Times New Roman"/>
          <w:bCs/>
          <w:lang w:val="en-GB"/>
        </w:rPr>
        <w:t xml:space="preserve">The vision must be amended to provide </w:t>
      </w:r>
      <w:r w:rsidR="007B7EDE">
        <w:rPr>
          <w:rFonts w:ascii="Times New Roman" w:hAnsi="Times New Roman" w:cs="Times New Roman"/>
          <w:bCs/>
          <w:lang w:val="en-GB"/>
        </w:rPr>
        <w:t>positive vision recognising that development at the scale being proposed by</w:t>
      </w:r>
      <w:r w:rsidR="00A80D93">
        <w:rPr>
          <w:rFonts w:ascii="Times New Roman" w:hAnsi="Times New Roman" w:cs="Times New Roman"/>
          <w:bCs/>
          <w:lang w:val="en-GB"/>
        </w:rPr>
        <w:t xml:space="preserve"> the</w:t>
      </w:r>
      <w:r w:rsidR="007B7EDE">
        <w:rPr>
          <w:rFonts w:ascii="Times New Roman" w:hAnsi="Times New Roman" w:cs="Times New Roman"/>
          <w:bCs/>
          <w:lang w:val="en-GB"/>
        </w:rPr>
        <w:t xml:space="preserve"> Government bri</w:t>
      </w:r>
      <w:r w:rsidR="00A80D93">
        <w:rPr>
          <w:rFonts w:ascii="Times New Roman" w:hAnsi="Times New Roman" w:cs="Times New Roman"/>
          <w:bCs/>
          <w:lang w:val="en-GB"/>
        </w:rPr>
        <w:t>n</w:t>
      </w:r>
      <w:r w:rsidR="007B7EDE">
        <w:rPr>
          <w:rFonts w:ascii="Times New Roman" w:hAnsi="Times New Roman" w:cs="Times New Roman"/>
          <w:bCs/>
          <w:lang w:val="en-GB"/>
        </w:rPr>
        <w:t xml:space="preserve">gs </w:t>
      </w:r>
      <w:r w:rsidR="00A80D93">
        <w:rPr>
          <w:rFonts w:ascii="Times New Roman" w:hAnsi="Times New Roman" w:cs="Times New Roman"/>
          <w:bCs/>
          <w:lang w:val="en-GB"/>
        </w:rPr>
        <w:t>significant</w:t>
      </w:r>
      <w:r w:rsidR="007B7EDE">
        <w:rPr>
          <w:rFonts w:ascii="Times New Roman" w:hAnsi="Times New Roman" w:cs="Times New Roman"/>
          <w:bCs/>
          <w:lang w:val="en-GB"/>
        </w:rPr>
        <w:t xml:space="preserve"> benefits to Swale</w:t>
      </w:r>
      <w:r w:rsidR="00A80D93">
        <w:rPr>
          <w:rFonts w:ascii="Times New Roman" w:hAnsi="Times New Roman" w:cs="Times New Roman"/>
          <w:bCs/>
          <w:lang w:val="en-GB"/>
        </w:rPr>
        <w:t>’s residents.</w:t>
      </w:r>
    </w:p>
    <w:p w14:paraId="43852BFE" w14:textId="39577396" w:rsidR="00812CC4" w:rsidRDefault="0001786E" w:rsidP="0001786E">
      <w:pPr>
        <w:widowControl/>
        <w:suppressAutoHyphens w:val="0"/>
        <w:autoSpaceDE/>
        <w:spacing w:after="240" w:line="360" w:lineRule="auto"/>
        <w:jc w:val="both"/>
        <w:rPr>
          <w:rFonts w:ascii="Times New Roman" w:hAnsi="Times New Roman" w:cs="Times New Roman"/>
          <w:b/>
          <w:bCs/>
          <w:lang w:val="en-GB"/>
        </w:rPr>
      </w:pPr>
      <w:r w:rsidRPr="0001786E">
        <w:rPr>
          <w:rFonts w:ascii="Times New Roman" w:hAnsi="Times New Roman" w:cs="Times New Roman"/>
          <w:b/>
          <w:bCs/>
          <w:lang w:val="en-GB"/>
        </w:rPr>
        <w:t>Question 8</w:t>
      </w:r>
      <w:r>
        <w:rPr>
          <w:rFonts w:ascii="Times New Roman" w:hAnsi="Times New Roman" w:cs="Times New Roman"/>
          <w:b/>
          <w:bCs/>
          <w:lang w:val="en-GB"/>
        </w:rPr>
        <w:t>:</w:t>
      </w:r>
      <w:r w:rsidRPr="0001786E">
        <w:rPr>
          <w:rFonts w:ascii="Times New Roman" w:hAnsi="Times New Roman" w:cs="Times New Roman"/>
          <w:b/>
          <w:bCs/>
          <w:lang w:val="en-GB"/>
        </w:rPr>
        <w:t xml:space="preserve"> Do you support or object to Policy G1? What would you add, remove or amend to support it further or to remove your objection?</w:t>
      </w:r>
    </w:p>
    <w:p w14:paraId="78CBB33D" w14:textId="29B8AF00" w:rsidR="007E73B2" w:rsidRPr="007E73B2" w:rsidRDefault="000B5007" w:rsidP="007E73B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It is not clear why this </w:t>
      </w:r>
      <w:r w:rsidR="00FA558D">
        <w:rPr>
          <w:rFonts w:ascii="Times New Roman" w:hAnsi="Times New Roman" w:cs="Times New Roman"/>
          <w:lang w:val="en-GB"/>
        </w:rPr>
        <w:t>policy</w:t>
      </w:r>
      <w:r>
        <w:rPr>
          <w:rFonts w:ascii="Times New Roman" w:hAnsi="Times New Roman" w:cs="Times New Roman"/>
          <w:lang w:val="en-GB"/>
        </w:rPr>
        <w:t xml:space="preserve"> is necessary as it </w:t>
      </w:r>
      <w:r w:rsidR="00FA558D">
        <w:rPr>
          <w:rFonts w:ascii="Times New Roman" w:hAnsi="Times New Roman" w:cs="Times New Roman"/>
          <w:lang w:val="en-GB"/>
        </w:rPr>
        <w:t xml:space="preserve">just states development must accord with </w:t>
      </w:r>
      <w:r w:rsidR="00996641">
        <w:rPr>
          <w:rFonts w:ascii="Times New Roman" w:hAnsi="Times New Roman" w:cs="Times New Roman"/>
          <w:lang w:val="en-GB"/>
        </w:rPr>
        <w:t>policies</w:t>
      </w:r>
      <w:r w:rsidR="00FA558D">
        <w:rPr>
          <w:rFonts w:ascii="Times New Roman" w:hAnsi="Times New Roman" w:cs="Times New Roman"/>
          <w:lang w:val="en-GB"/>
        </w:rPr>
        <w:t xml:space="preserve"> in the local plan</w:t>
      </w:r>
      <w:r w:rsidR="00996641">
        <w:rPr>
          <w:rFonts w:ascii="Times New Roman" w:hAnsi="Times New Roman" w:cs="Times New Roman"/>
          <w:lang w:val="en-GB"/>
        </w:rPr>
        <w:t xml:space="preserve"> and then broadly </w:t>
      </w:r>
      <w:r>
        <w:rPr>
          <w:rFonts w:ascii="Times New Roman" w:hAnsi="Times New Roman" w:cs="Times New Roman"/>
          <w:lang w:val="en-GB"/>
        </w:rPr>
        <w:t xml:space="preserve">reiterates the </w:t>
      </w:r>
      <w:r w:rsidR="00996641">
        <w:rPr>
          <w:rFonts w:ascii="Times New Roman" w:hAnsi="Times New Roman" w:cs="Times New Roman"/>
          <w:lang w:val="en-GB"/>
        </w:rPr>
        <w:t>requirements</w:t>
      </w:r>
      <w:r>
        <w:rPr>
          <w:rFonts w:ascii="Times New Roman" w:hAnsi="Times New Roman" w:cs="Times New Roman"/>
          <w:lang w:val="en-GB"/>
        </w:rPr>
        <w:t xml:space="preserve"> of </w:t>
      </w:r>
      <w:r w:rsidR="00996641">
        <w:rPr>
          <w:rFonts w:ascii="Times New Roman" w:hAnsi="Times New Roman" w:cs="Times New Roman"/>
          <w:lang w:val="en-GB"/>
        </w:rPr>
        <w:t xml:space="preserve">specific policies in the local plan. </w:t>
      </w:r>
      <w:r>
        <w:rPr>
          <w:rFonts w:ascii="Times New Roman" w:hAnsi="Times New Roman" w:cs="Times New Roman"/>
          <w:lang w:val="en-GB"/>
        </w:rPr>
        <w:t xml:space="preserve"> </w:t>
      </w:r>
      <w:r w:rsidR="008B57E3">
        <w:rPr>
          <w:rFonts w:ascii="Times New Roman" w:hAnsi="Times New Roman" w:cs="Times New Roman"/>
          <w:lang w:val="en-GB"/>
        </w:rPr>
        <w:t xml:space="preserve">HBF would recommend it is deleted as it is unnecessary. </w:t>
      </w:r>
      <w:r w:rsidR="007E73B2" w:rsidRPr="007E73B2">
        <w:rPr>
          <w:rFonts w:ascii="Times New Roman" w:hAnsi="Times New Roman" w:cs="Times New Roman"/>
          <w:lang w:val="en-GB"/>
        </w:rPr>
        <w:t xml:space="preserve">However, if it is maintained certain elements would need to be deleted as they are unsound. </w:t>
      </w:r>
    </w:p>
    <w:p w14:paraId="188CD6D4" w14:textId="234D9760" w:rsidR="0001786E" w:rsidRDefault="00D05B47" w:rsidP="001A337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lastRenderedPageBreak/>
        <w:t xml:space="preserve">With regard to part 3, </w:t>
      </w:r>
      <w:r w:rsidR="00143CBB">
        <w:rPr>
          <w:rFonts w:ascii="Times New Roman" w:hAnsi="Times New Roman" w:cs="Times New Roman"/>
          <w:lang w:val="en-GB"/>
        </w:rPr>
        <w:t xml:space="preserve">the Council should be aware supplementary </w:t>
      </w:r>
      <w:r w:rsidR="00ED6DB0">
        <w:rPr>
          <w:rFonts w:ascii="Times New Roman" w:hAnsi="Times New Roman" w:cs="Times New Roman"/>
          <w:lang w:val="en-GB"/>
        </w:rPr>
        <w:t>planning</w:t>
      </w:r>
      <w:r w:rsidR="00143CBB">
        <w:rPr>
          <w:rFonts w:ascii="Times New Roman" w:hAnsi="Times New Roman" w:cs="Times New Roman"/>
          <w:lang w:val="en-GB"/>
        </w:rPr>
        <w:t xml:space="preserve"> documents </w:t>
      </w:r>
      <w:r w:rsidR="00ED6DB0">
        <w:rPr>
          <w:rFonts w:ascii="Times New Roman" w:hAnsi="Times New Roman" w:cs="Times New Roman"/>
          <w:lang w:val="en-GB"/>
        </w:rPr>
        <w:t xml:space="preserve">and guidance and not planning policy. The </w:t>
      </w:r>
      <w:r w:rsidR="00ED6DB0" w:rsidRPr="001A3372">
        <w:rPr>
          <w:rFonts w:ascii="Times New Roman" w:hAnsi="Times New Roman" w:cs="Times New Roman"/>
          <w:bCs/>
        </w:rPr>
        <w:t>Council</w:t>
      </w:r>
      <w:r w:rsidR="00ED6DB0">
        <w:rPr>
          <w:rFonts w:ascii="Times New Roman" w:hAnsi="Times New Roman" w:cs="Times New Roman"/>
          <w:lang w:val="en-GB"/>
        </w:rPr>
        <w:t xml:space="preserve"> can </w:t>
      </w:r>
      <w:r w:rsidR="00E16589">
        <w:rPr>
          <w:rFonts w:ascii="Times New Roman" w:hAnsi="Times New Roman" w:cs="Times New Roman"/>
          <w:lang w:val="en-GB"/>
        </w:rPr>
        <w:t xml:space="preserve">state that all development should have regard to supplementary guidance, but it cannot seek to give them the status of a local plan policy. This distinction must be recognised in G1. </w:t>
      </w:r>
    </w:p>
    <w:p w14:paraId="394CF46A" w14:textId="1DC310EA" w:rsidR="003E28B5" w:rsidRDefault="005A3564" w:rsidP="001A337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The </w:t>
      </w:r>
      <w:r w:rsidR="008E581C">
        <w:rPr>
          <w:rFonts w:ascii="Times New Roman" w:hAnsi="Times New Roman" w:cs="Times New Roman"/>
          <w:lang w:val="en-GB"/>
        </w:rPr>
        <w:t>Council</w:t>
      </w:r>
      <w:r>
        <w:rPr>
          <w:rFonts w:ascii="Times New Roman" w:hAnsi="Times New Roman" w:cs="Times New Roman"/>
          <w:lang w:val="en-GB"/>
        </w:rPr>
        <w:t xml:space="preserve"> </w:t>
      </w:r>
      <w:r w:rsidR="008E581C">
        <w:rPr>
          <w:rFonts w:ascii="Times New Roman" w:hAnsi="Times New Roman" w:cs="Times New Roman"/>
          <w:lang w:val="en-GB"/>
        </w:rPr>
        <w:t>should</w:t>
      </w:r>
      <w:r>
        <w:rPr>
          <w:rFonts w:ascii="Times New Roman" w:hAnsi="Times New Roman" w:cs="Times New Roman"/>
          <w:lang w:val="en-GB"/>
        </w:rPr>
        <w:t xml:space="preserve"> </w:t>
      </w:r>
      <w:r w:rsidR="008E581C">
        <w:rPr>
          <w:rFonts w:ascii="Times New Roman" w:hAnsi="Times New Roman" w:cs="Times New Roman"/>
          <w:lang w:val="en-GB"/>
        </w:rPr>
        <w:t>delete</w:t>
      </w:r>
      <w:r w:rsidR="00D05B47">
        <w:rPr>
          <w:rFonts w:ascii="Times New Roman" w:hAnsi="Times New Roman" w:cs="Times New Roman"/>
          <w:lang w:val="en-GB"/>
        </w:rPr>
        <w:t xml:space="preserve"> </w:t>
      </w:r>
      <w:r w:rsidR="005003F9">
        <w:rPr>
          <w:rFonts w:ascii="Times New Roman" w:hAnsi="Times New Roman" w:cs="Times New Roman"/>
          <w:lang w:val="en-GB"/>
        </w:rPr>
        <w:t xml:space="preserve">part 4 which </w:t>
      </w:r>
      <w:r w:rsidR="008E581C">
        <w:rPr>
          <w:rFonts w:ascii="Times New Roman" w:hAnsi="Times New Roman" w:cs="Times New Roman"/>
          <w:lang w:val="en-GB"/>
        </w:rPr>
        <w:t>requir</w:t>
      </w:r>
      <w:r w:rsidR="005003F9">
        <w:rPr>
          <w:rFonts w:ascii="Times New Roman" w:hAnsi="Times New Roman" w:cs="Times New Roman"/>
          <w:lang w:val="en-GB"/>
        </w:rPr>
        <w:t>es</w:t>
      </w:r>
      <w:r>
        <w:rPr>
          <w:rFonts w:ascii="Times New Roman" w:hAnsi="Times New Roman" w:cs="Times New Roman"/>
          <w:lang w:val="en-GB"/>
        </w:rPr>
        <w:t xml:space="preserve"> a statement </w:t>
      </w:r>
      <w:r w:rsidR="008E581C">
        <w:rPr>
          <w:rFonts w:ascii="Times New Roman" w:hAnsi="Times New Roman" w:cs="Times New Roman"/>
          <w:lang w:val="en-GB"/>
        </w:rPr>
        <w:t>demonstrating</w:t>
      </w:r>
      <w:r>
        <w:rPr>
          <w:rFonts w:ascii="Times New Roman" w:hAnsi="Times New Roman" w:cs="Times New Roman"/>
          <w:lang w:val="en-GB"/>
        </w:rPr>
        <w:t xml:space="preserve"> </w:t>
      </w:r>
      <w:r w:rsidR="008E581C">
        <w:rPr>
          <w:rFonts w:ascii="Times New Roman" w:hAnsi="Times New Roman" w:cs="Times New Roman"/>
          <w:lang w:val="en-GB"/>
        </w:rPr>
        <w:t>the</w:t>
      </w:r>
      <w:r>
        <w:rPr>
          <w:rFonts w:ascii="Times New Roman" w:hAnsi="Times New Roman" w:cs="Times New Roman"/>
          <w:lang w:val="en-GB"/>
        </w:rPr>
        <w:t xml:space="preserve"> degree to which a development meet the TCPAs health homes </w:t>
      </w:r>
      <w:r w:rsidR="008E581C">
        <w:rPr>
          <w:rFonts w:ascii="Times New Roman" w:hAnsi="Times New Roman" w:cs="Times New Roman"/>
          <w:lang w:val="en-GB"/>
        </w:rPr>
        <w:t xml:space="preserve">principles. </w:t>
      </w:r>
      <w:r w:rsidR="003A2EE5">
        <w:rPr>
          <w:rFonts w:ascii="Times New Roman" w:hAnsi="Times New Roman" w:cs="Times New Roman"/>
          <w:lang w:val="en-GB"/>
        </w:rPr>
        <w:t xml:space="preserve">Development must provide evidence as to how it </w:t>
      </w:r>
      <w:r w:rsidR="006777F0">
        <w:rPr>
          <w:rFonts w:ascii="Times New Roman" w:hAnsi="Times New Roman" w:cs="Times New Roman"/>
          <w:lang w:val="en-GB"/>
        </w:rPr>
        <w:t>meets</w:t>
      </w:r>
      <w:r w:rsidR="003A2EE5">
        <w:rPr>
          <w:rFonts w:ascii="Times New Roman" w:hAnsi="Times New Roman" w:cs="Times New Roman"/>
          <w:lang w:val="en-GB"/>
        </w:rPr>
        <w:t xml:space="preserve"> national and loca</w:t>
      </w:r>
      <w:r w:rsidR="006777F0">
        <w:rPr>
          <w:rFonts w:ascii="Times New Roman" w:hAnsi="Times New Roman" w:cs="Times New Roman"/>
          <w:lang w:val="en-GB"/>
        </w:rPr>
        <w:t>l planning</w:t>
      </w:r>
      <w:r w:rsidR="003A2EE5">
        <w:rPr>
          <w:rFonts w:ascii="Times New Roman" w:hAnsi="Times New Roman" w:cs="Times New Roman"/>
          <w:lang w:val="en-GB"/>
        </w:rPr>
        <w:t xml:space="preserve"> policy </w:t>
      </w:r>
      <w:r w:rsidR="006777F0">
        <w:rPr>
          <w:rFonts w:ascii="Times New Roman" w:hAnsi="Times New Roman" w:cs="Times New Roman"/>
          <w:lang w:val="en-GB"/>
        </w:rPr>
        <w:t>which have been assessed a</w:t>
      </w:r>
      <w:r w:rsidR="00EA01C4">
        <w:rPr>
          <w:rFonts w:ascii="Times New Roman" w:hAnsi="Times New Roman" w:cs="Times New Roman"/>
          <w:lang w:val="en-GB"/>
        </w:rPr>
        <w:t xml:space="preserve">s being sound. When taken </w:t>
      </w:r>
      <w:r w:rsidR="0074673D">
        <w:rPr>
          <w:rFonts w:ascii="Times New Roman" w:hAnsi="Times New Roman" w:cs="Times New Roman"/>
          <w:lang w:val="en-GB"/>
        </w:rPr>
        <w:t>together</w:t>
      </w:r>
      <w:r w:rsidR="00EA01C4">
        <w:rPr>
          <w:rFonts w:ascii="Times New Roman" w:hAnsi="Times New Roman" w:cs="Times New Roman"/>
          <w:lang w:val="en-GB"/>
        </w:rPr>
        <w:t xml:space="preserve"> these po</w:t>
      </w:r>
      <w:r w:rsidR="0074673D">
        <w:rPr>
          <w:rFonts w:ascii="Times New Roman" w:hAnsi="Times New Roman" w:cs="Times New Roman"/>
          <w:lang w:val="en-GB"/>
        </w:rPr>
        <w:t>licies</w:t>
      </w:r>
      <w:r w:rsidR="00EA01C4">
        <w:rPr>
          <w:rFonts w:ascii="Times New Roman" w:hAnsi="Times New Roman" w:cs="Times New Roman"/>
          <w:lang w:val="en-GB"/>
        </w:rPr>
        <w:t xml:space="preserve"> </w:t>
      </w:r>
      <w:r w:rsidR="0074673D">
        <w:rPr>
          <w:rFonts w:ascii="Times New Roman" w:hAnsi="Times New Roman" w:cs="Times New Roman"/>
          <w:lang w:val="en-GB"/>
        </w:rPr>
        <w:t>should</w:t>
      </w:r>
      <w:r w:rsidR="00EA01C4">
        <w:rPr>
          <w:rFonts w:ascii="Times New Roman" w:hAnsi="Times New Roman" w:cs="Times New Roman"/>
          <w:lang w:val="en-GB"/>
        </w:rPr>
        <w:t xml:space="preserve"> ensure that </w:t>
      </w:r>
      <w:r w:rsidR="0074673D">
        <w:rPr>
          <w:rFonts w:ascii="Times New Roman" w:hAnsi="Times New Roman" w:cs="Times New Roman"/>
          <w:lang w:val="en-GB"/>
        </w:rPr>
        <w:t>development</w:t>
      </w:r>
      <w:r w:rsidR="00EA01C4">
        <w:rPr>
          <w:rFonts w:ascii="Times New Roman" w:hAnsi="Times New Roman" w:cs="Times New Roman"/>
          <w:lang w:val="en-GB"/>
        </w:rPr>
        <w:t xml:space="preserve"> deliver</w:t>
      </w:r>
      <w:r w:rsidR="0074673D">
        <w:rPr>
          <w:rFonts w:ascii="Times New Roman" w:hAnsi="Times New Roman" w:cs="Times New Roman"/>
          <w:lang w:val="en-GB"/>
        </w:rPr>
        <w:t xml:space="preserve">s </w:t>
      </w:r>
      <w:r w:rsidR="00313024">
        <w:rPr>
          <w:rFonts w:ascii="Times New Roman" w:hAnsi="Times New Roman" w:cs="Times New Roman"/>
          <w:lang w:val="en-GB"/>
        </w:rPr>
        <w:t xml:space="preserve">against both national and local objectives without the need for </w:t>
      </w:r>
      <w:r w:rsidR="0037722C">
        <w:rPr>
          <w:rFonts w:ascii="Times New Roman" w:hAnsi="Times New Roman" w:cs="Times New Roman"/>
          <w:lang w:val="en-GB"/>
        </w:rPr>
        <w:t>further</w:t>
      </w:r>
      <w:r w:rsidR="00313024">
        <w:rPr>
          <w:rFonts w:ascii="Times New Roman" w:hAnsi="Times New Roman" w:cs="Times New Roman"/>
          <w:lang w:val="en-GB"/>
        </w:rPr>
        <w:t xml:space="preserve"> statements relating to </w:t>
      </w:r>
      <w:r w:rsidR="0037722C">
        <w:rPr>
          <w:rFonts w:ascii="Times New Roman" w:hAnsi="Times New Roman" w:cs="Times New Roman"/>
          <w:lang w:val="en-GB"/>
        </w:rPr>
        <w:t>principles put forward by the TCPA.</w:t>
      </w:r>
      <w:r w:rsidR="00CC2CE3">
        <w:rPr>
          <w:rFonts w:ascii="Times New Roman" w:hAnsi="Times New Roman" w:cs="Times New Roman"/>
          <w:lang w:val="en-GB"/>
        </w:rPr>
        <w:t xml:space="preserve"> </w:t>
      </w:r>
    </w:p>
    <w:p w14:paraId="063DD05B" w14:textId="2B1F914A" w:rsidR="00D24E04" w:rsidRDefault="00D24E04" w:rsidP="00ED46EF">
      <w:pPr>
        <w:widowControl/>
        <w:suppressAutoHyphens w:val="0"/>
        <w:autoSpaceDE/>
        <w:spacing w:after="240" w:line="360" w:lineRule="auto"/>
        <w:jc w:val="both"/>
        <w:rPr>
          <w:rFonts w:ascii="Times New Roman" w:hAnsi="Times New Roman" w:cs="Times New Roman"/>
          <w:b/>
          <w:bCs/>
          <w:lang w:val="en-GB"/>
        </w:rPr>
      </w:pPr>
      <w:r>
        <w:rPr>
          <w:rFonts w:ascii="Times New Roman" w:hAnsi="Times New Roman" w:cs="Times New Roman"/>
          <w:b/>
          <w:bCs/>
          <w:lang w:val="en-GB"/>
        </w:rPr>
        <w:t xml:space="preserve">Question 10: </w:t>
      </w:r>
      <w:r w:rsidR="00ED46EF" w:rsidRPr="00D24E04">
        <w:rPr>
          <w:rFonts w:ascii="Times New Roman" w:hAnsi="Times New Roman" w:cs="Times New Roman"/>
          <w:b/>
          <w:bCs/>
          <w:lang w:val="en-GB"/>
        </w:rPr>
        <w:t>Do you support or object to Policy GD1? What would you add, remove or amend to support it further or to remove your objection?</w:t>
      </w:r>
    </w:p>
    <w:p w14:paraId="56511668" w14:textId="1DA0FD40" w:rsidR="00914A4B" w:rsidRDefault="00914A4B" w:rsidP="00321E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There is a potential for conflict in the approach being set out by the Council that </w:t>
      </w:r>
      <w:r w:rsidR="00A50BD0">
        <w:rPr>
          <w:rFonts w:ascii="Times New Roman" w:hAnsi="Times New Roman" w:cs="Times New Roman"/>
          <w:lang w:val="en-GB"/>
        </w:rPr>
        <w:t>should be</w:t>
      </w:r>
      <w:r>
        <w:rPr>
          <w:rFonts w:ascii="Times New Roman" w:hAnsi="Times New Roman" w:cs="Times New Roman"/>
          <w:lang w:val="en-GB"/>
        </w:rPr>
        <w:t xml:space="preserve"> addressed in the local plan. For </w:t>
      </w:r>
      <w:r w:rsidR="00F41324">
        <w:rPr>
          <w:rFonts w:ascii="Times New Roman" w:hAnsi="Times New Roman" w:cs="Times New Roman"/>
          <w:lang w:val="en-GB"/>
        </w:rPr>
        <w:t>example,</w:t>
      </w:r>
      <w:r>
        <w:rPr>
          <w:rFonts w:ascii="Times New Roman" w:hAnsi="Times New Roman" w:cs="Times New Roman"/>
          <w:lang w:val="en-GB"/>
        </w:rPr>
        <w:t xml:space="preserve"> there is a strong focus on </w:t>
      </w:r>
      <w:r w:rsidR="00EA6F8A">
        <w:rPr>
          <w:rFonts w:ascii="Times New Roman" w:hAnsi="Times New Roman" w:cs="Times New Roman"/>
          <w:lang w:val="en-GB"/>
        </w:rPr>
        <w:t xml:space="preserve">high quality design that respects the </w:t>
      </w:r>
      <w:r w:rsidR="00A50BD0">
        <w:rPr>
          <w:rFonts w:ascii="Times New Roman" w:hAnsi="Times New Roman" w:cs="Times New Roman"/>
          <w:lang w:val="en-GB"/>
        </w:rPr>
        <w:t>local</w:t>
      </w:r>
      <w:r w:rsidR="00EA6F8A">
        <w:rPr>
          <w:rFonts w:ascii="Times New Roman" w:hAnsi="Times New Roman" w:cs="Times New Roman"/>
          <w:lang w:val="en-GB"/>
        </w:rPr>
        <w:t xml:space="preserve"> character of the area (part 2 and </w:t>
      </w:r>
      <w:r w:rsidR="00B6275C">
        <w:rPr>
          <w:rFonts w:ascii="Times New Roman" w:hAnsi="Times New Roman" w:cs="Times New Roman"/>
          <w:lang w:val="en-GB"/>
        </w:rPr>
        <w:t xml:space="preserve">8) whilst also required development to </w:t>
      </w:r>
      <w:r w:rsidR="00A50BD0">
        <w:rPr>
          <w:rFonts w:ascii="Times New Roman" w:hAnsi="Times New Roman" w:cs="Times New Roman"/>
          <w:lang w:val="en-GB"/>
        </w:rPr>
        <w:t>minimise</w:t>
      </w:r>
      <w:r w:rsidR="00B6275C">
        <w:rPr>
          <w:rFonts w:ascii="Times New Roman" w:hAnsi="Times New Roman" w:cs="Times New Roman"/>
          <w:lang w:val="en-GB"/>
        </w:rPr>
        <w:t xml:space="preserve"> energy consumption</w:t>
      </w:r>
      <w:r w:rsidR="00A50BD0">
        <w:rPr>
          <w:rFonts w:ascii="Times New Roman" w:hAnsi="Times New Roman" w:cs="Times New Roman"/>
          <w:lang w:val="en-GB"/>
        </w:rPr>
        <w:t xml:space="preserve">. The Council must </w:t>
      </w:r>
      <w:r w:rsidR="00F41324">
        <w:rPr>
          <w:rFonts w:ascii="Times New Roman" w:hAnsi="Times New Roman" w:cs="Times New Roman"/>
          <w:lang w:val="en-GB"/>
        </w:rPr>
        <w:t>recognise</w:t>
      </w:r>
      <w:r w:rsidR="00A50BD0">
        <w:rPr>
          <w:rFonts w:ascii="Times New Roman" w:hAnsi="Times New Roman" w:cs="Times New Roman"/>
          <w:lang w:val="en-GB"/>
        </w:rPr>
        <w:t xml:space="preserve"> that it is not always possible to </w:t>
      </w:r>
      <w:r w:rsidR="00F41324">
        <w:rPr>
          <w:rFonts w:ascii="Times New Roman" w:hAnsi="Times New Roman" w:cs="Times New Roman"/>
          <w:lang w:val="en-GB"/>
        </w:rPr>
        <w:t>resolve both of these matters. Minimising energy consu</w:t>
      </w:r>
      <w:r w:rsidR="00E714DB">
        <w:rPr>
          <w:rFonts w:ascii="Times New Roman" w:hAnsi="Times New Roman" w:cs="Times New Roman"/>
          <w:lang w:val="en-GB"/>
        </w:rPr>
        <w:t>mption</w:t>
      </w:r>
      <w:r w:rsidR="00F41324">
        <w:rPr>
          <w:rFonts w:ascii="Times New Roman" w:hAnsi="Times New Roman" w:cs="Times New Roman"/>
          <w:lang w:val="en-GB"/>
        </w:rPr>
        <w:t xml:space="preserve"> and the provision of renewable technologies can </w:t>
      </w:r>
      <w:r w:rsidR="00E714DB">
        <w:rPr>
          <w:rFonts w:ascii="Times New Roman" w:hAnsi="Times New Roman" w:cs="Times New Roman"/>
          <w:lang w:val="en-GB"/>
        </w:rPr>
        <w:t>require</w:t>
      </w:r>
      <w:r w:rsidR="00F41324">
        <w:rPr>
          <w:rFonts w:ascii="Times New Roman" w:hAnsi="Times New Roman" w:cs="Times New Roman"/>
          <w:lang w:val="en-GB"/>
        </w:rPr>
        <w:t xml:space="preserve"> the use of materials that are </w:t>
      </w:r>
      <w:r w:rsidR="00E714DB">
        <w:rPr>
          <w:rFonts w:ascii="Times New Roman" w:hAnsi="Times New Roman" w:cs="Times New Roman"/>
          <w:lang w:val="en-GB"/>
        </w:rPr>
        <w:t>not</w:t>
      </w:r>
      <w:r w:rsidR="00F41324">
        <w:rPr>
          <w:rFonts w:ascii="Times New Roman" w:hAnsi="Times New Roman" w:cs="Times New Roman"/>
          <w:lang w:val="en-GB"/>
        </w:rPr>
        <w:t xml:space="preserve"> in keeping with the character of the area</w:t>
      </w:r>
      <w:r w:rsidR="002D7045">
        <w:rPr>
          <w:rFonts w:ascii="Times New Roman" w:hAnsi="Times New Roman" w:cs="Times New Roman"/>
          <w:lang w:val="en-GB"/>
        </w:rPr>
        <w:t xml:space="preserve">. </w:t>
      </w:r>
      <w:r w:rsidR="00356371">
        <w:rPr>
          <w:rFonts w:ascii="Times New Roman" w:hAnsi="Times New Roman" w:cs="Times New Roman"/>
          <w:lang w:val="en-GB"/>
        </w:rPr>
        <w:t xml:space="preserve">The use of solar panels on roofs </w:t>
      </w:r>
      <w:r w:rsidR="00011983">
        <w:rPr>
          <w:rFonts w:ascii="Times New Roman" w:hAnsi="Times New Roman" w:cs="Times New Roman"/>
          <w:lang w:val="en-GB"/>
        </w:rPr>
        <w:t xml:space="preserve">or materials that are lower in embodied carbon may not be </w:t>
      </w:r>
      <w:r w:rsidR="00356371">
        <w:rPr>
          <w:rFonts w:ascii="Times New Roman" w:hAnsi="Times New Roman" w:cs="Times New Roman"/>
          <w:lang w:val="en-GB"/>
        </w:rPr>
        <w:t xml:space="preserve">may not be in keeping with the character of the area but </w:t>
      </w:r>
      <w:r w:rsidR="00011983">
        <w:rPr>
          <w:rFonts w:ascii="Times New Roman" w:hAnsi="Times New Roman" w:cs="Times New Roman"/>
          <w:lang w:val="en-GB"/>
        </w:rPr>
        <w:t>will</w:t>
      </w:r>
      <w:r w:rsidR="00356371">
        <w:rPr>
          <w:rFonts w:ascii="Times New Roman" w:hAnsi="Times New Roman" w:cs="Times New Roman"/>
          <w:lang w:val="en-GB"/>
        </w:rPr>
        <w:t xml:space="preserve"> be necessary to reduce </w:t>
      </w:r>
      <w:r w:rsidR="00011983">
        <w:rPr>
          <w:rFonts w:ascii="Times New Roman" w:hAnsi="Times New Roman" w:cs="Times New Roman"/>
          <w:lang w:val="en-GB"/>
        </w:rPr>
        <w:t xml:space="preserve">carbon emissions. </w:t>
      </w:r>
      <w:r w:rsidR="00112374">
        <w:rPr>
          <w:rFonts w:ascii="Times New Roman" w:hAnsi="Times New Roman" w:cs="Times New Roman"/>
          <w:lang w:val="en-GB"/>
        </w:rPr>
        <w:t xml:space="preserve">The Council must be clear that it will take a flexible approach to decision making with regard to local design principles, or other </w:t>
      </w:r>
      <w:r w:rsidR="00406F58">
        <w:rPr>
          <w:rFonts w:ascii="Times New Roman" w:hAnsi="Times New Roman" w:cs="Times New Roman"/>
          <w:lang w:val="en-GB"/>
        </w:rPr>
        <w:t>policies</w:t>
      </w:r>
      <w:r w:rsidR="00112374">
        <w:rPr>
          <w:rFonts w:ascii="Times New Roman" w:hAnsi="Times New Roman" w:cs="Times New Roman"/>
          <w:lang w:val="en-GB"/>
        </w:rPr>
        <w:t xml:space="preserve">, </w:t>
      </w:r>
      <w:r w:rsidR="00406F58">
        <w:rPr>
          <w:rFonts w:ascii="Times New Roman" w:hAnsi="Times New Roman" w:cs="Times New Roman"/>
          <w:lang w:val="en-GB"/>
        </w:rPr>
        <w:t>where</w:t>
      </w:r>
      <w:r w:rsidR="00112374">
        <w:rPr>
          <w:rFonts w:ascii="Times New Roman" w:hAnsi="Times New Roman" w:cs="Times New Roman"/>
          <w:lang w:val="en-GB"/>
        </w:rPr>
        <w:t xml:space="preserve"> there</w:t>
      </w:r>
      <w:r w:rsidR="00406F58">
        <w:rPr>
          <w:rFonts w:ascii="Times New Roman" w:hAnsi="Times New Roman" w:cs="Times New Roman"/>
          <w:lang w:val="en-GB"/>
        </w:rPr>
        <w:t xml:space="preserve"> is a conflict. </w:t>
      </w:r>
    </w:p>
    <w:p w14:paraId="2552D6E1" w14:textId="58FD21FA" w:rsidR="00406F58" w:rsidRDefault="00406F58" w:rsidP="00321E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HBF would also recommend that the reference to robust material s is removed from part 8</w:t>
      </w:r>
      <w:r w:rsidR="00524A2F">
        <w:rPr>
          <w:rFonts w:ascii="Times New Roman" w:hAnsi="Times New Roman" w:cs="Times New Roman"/>
          <w:lang w:val="en-GB"/>
        </w:rPr>
        <w:t xml:space="preserve"> as there is no agreed definition as to what robust would constitute </w:t>
      </w:r>
      <w:r w:rsidR="00701068">
        <w:rPr>
          <w:rFonts w:ascii="Times New Roman" w:hAnsi="Times New Roman" w:cs="Times New Roman"/>
          <w:lang w:val="en-GB"/>
        </w:rPr>
        <w:t xml:space="preserve">with regard to building materials </w:t>
      </w:r>
      <w:r w:rsidR="00524A2F">
        <w:rPr>
          <w:rFonts w:ascii="Times New Roman" w:hAnsi="Times New Roman" w:cs="Times New Roman"/>
          <w:lang w:val="en-GB"/>
        </w:rPr>
        <w:t xml:space="preserve">and this could prevent developers from using new materials </w:t>
      </w:r>
      <w:r w:rsidR="00701068">
        <w:rPr>
          <w:rFonts w:ascii="Times New Roman" w:hAnsi="Times New Roman" w:cs="Times New Roman"/>
          <w:lang w:val="en-GB"/>
        </w:rPr>
        <w:t xml:space="preserve">and design processes that speed up delivery or reduce embodied carbon. </w:t>
      </w:r>
    </w:p>
    <w:p w14:paraId="700D9C4C" w14:textId="7D59A518" w:rsidR="00CC34B3" w:rsidRDefault="00CC34B3" w:rsidP="00321EB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Finally, it is not clear </w:t>
      </w:r>
      <w:r w:rsidR="00080483">
        <w:rPr>
          <w:rFonts w:ascii="Times New Roman" w:hAnsi="Times New Roman" w:cs="Times New Roman"/>
          <w:lang w:val="en-GB"/>
        </w:rPr>
        <w:t xml:space="preserve">why part 10 of the policy includes refence to the approval of new postal addresses and why this needs to be included as a policy in the local plan. </w:t>
      </w:r>
    </w:p>
    <w:p w14:paraId="196B91F8" w14:textId="645A781B" w:rsidR="00080483" w:rsidRPr="00C66F4E" w:rsidRDefault="00C66F4E" w:rsidP="00C66F4E">
      <w:pPr>
        <w:widowControl/>
        <w:suppressAutoHyphens w:val="0"/>
        <w:autoSpaceDE/>
        <w:spacing w:after="240" w:line="360" w:lineRule="auto"/>
        <w:jc w:val="both"/>
        <w:rPr>
          <w:rFonts w:ascii="Times New Roman" w:hAnsi="Times New Roman" w:cs="Times New Roman"/>
          <w:b/>
          <w:bCs/>
          <w:lang w:val="en-GB"/>
        </w:rPr>
      </w:pPr>
      <w:r w:rsidRPr="00C66F4E">
        <w:rPr>
          <w:rFonts w:ascii="Times New Roman" w:hAnsi="Times New Roman" w:cs="Times New Roman"/>
          <w:b/>
          <w:bCs/>
          <w:lang w:val="en-GB"/>
        </w:rPr>
        <w:t>Question 16: Do you support or object to Policy H1? What would you add, remove or amend to support it further or to remove your objection?</w:t>
      </w:r>
    </w:p>
    <w:p w14:paraId="2DACA7E3" w14:textId="58B74783" w:rsidR="00135E74" w:rsidRDefault="00295399" w:rsidP="00912F5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With regard to need for affordable housing t</w:t>
      </w:r>
      <w:r w:rsidR="005522C5">
        <w:rPr>
          <w:rFonts w:ascii="Times New Roman" w:hAnsi="Times New Roman" w:cs="Times New Roman"/>
          <w:lang w:val="en-GB"/>
        </w:rPr>
        <w:t xml:space="preserve">he </w:t>
      </w:r>
      <w:r w:rsidR="00114759">
        <w:rPr>
          <w:rFonts w:ascii="Times New Roman" w:hAnsi="Times New Roman" w:cs="Times New Roman"/>
          <w:lang w:val="en-GB"/>
        </w:rPr>
        <w:t xml:space="preserve">Strategic Housing Market Assessment is now 6 years old and will need to be updated to ensure that any requirements in H1 are justified by evidence of need. </w:t>
      </w:r>
    </w:p>
    <w:p w14:paraId="5C9C300A" w14:textId="77777777" w:rsidR="00D76CEC" w:rsidRDefault="001317C7" w:rsidP="00912F5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The Council are proposing </w:t>
      </w:r>
      <w:r w:rsidR="005E6EBC">
        <w:rPr>
          <w:rFonts w:ascii="Times New Roman" w:hAnsi="Times New Roman" w:cs="Times New Roman"/>
          <w:lang w:val="en-GB"/>
        </w:rPr>
        <w:t xml:space="preserve">a variable </w:t>
      </w:r>
      <w:r w:rsidR="00BF5100">
        <w:rPr>
          <w:rFonts w:ascii="Times New Roman" w:hAnsi="Times New Roman" w:cs="Times New Roman"/>
          <w:lang w:val="en-GB"/>
        </w:rPr>
        <w:t>affordable</w:t>
      </w:r>
      <w:r w:rsidR="005E6EBC">
        <w:rPr>
          <w:rFonts w:ascii="Times New Roman" w:hAnsi="Times New Roman" w:cs="Times New Roman"/>
          <w:lang w:val="en-GB"/>
        </w:rPr>
        <w:t xml:space="preserve"> housing rate of 10% for brownfield sites and 30% for green field sites. While HBF welcome the decision to include a variable rate given the clear </w:t>
      </w:r>
      <w:r w:rsidR="00506E16">
        <w:rPr>
          <w:rFonts w:ascii="Times New Roman" w:hAnsi="Times New Roman" w:cs="Times New Roman"/>
          <w:lang w:val="en-GB"/>
        </w:rPr>
        <w:t>viability</w:t>
      </w:r>
      <w:r w:rsidR="005E6EBC">
        <w:rPr>
          <w:rFonts w:ascii="Times New Roman" w:hAnsi="Times New Roman" w:cs="Times New Roman"/>
          <w:lang w:val="en-GB"/>
        </w:rPr>
        <w:t xml:space="preserve"> challenges </w:t>
      </w:r>
      <w:r w:rsidR="00506E16">
        <w:rPr>
          <w:rFonts w:ascii="Times New Roman" w:hAnsi="Times New Roman" w:cs="Times New Roman"/>
          <w:lang w:val="en-GB"/>
        </w:rPr>
        <w:t>facing</w:t>
      </w:r>
      <w:r w:rsidR="005E6EBC">
        <w:rPr>
          <w:rFonts w:ascii="Times New Roman" w:hAnsi="Times New Roman" w:cs="Times New Roman"/>
          <w:lang w:val="en-GB"/>
        </w:rPr>
        <w:t xml:space="preserve"> </w:t>
      </w:r>
      <w:r w:rsidR="00506E16">
        <w:rPr>
          <w:rFonts w:ascii="Times New Roman" w:hAnsi="Times New Roman" w:cs="Times New Roman"/>
          <w:lang w:val="en-GB"/>
        </w:rPr>
        <w:t xml:space="preserve">brownfield sites in Swale we are concerned that the 30% requirement may well be challenging on </w:t>
      </w:r>
      <w:r w:rsidR="00BF5100">
        <w:rPr>
          <w:rFonts w:ascii="Times New Roman" w:hAnsi="Times New Roman" w:cs="Times New Roman"/>
          <w:lang w:val="en-GB"/>
        </w:rPr>
        <w:t xml:space="preserve">some greenfield sites. </w:t>
      </w:r>
      <w:r w:rsidR="00A21DC4">
        <w:rPr>
          <w:rFonts w:ascii="Times New Roman" w:hAnsi="Times New Roman" w:cs="Times New Roman"/>
          <w:lang w:val="en-GB"/>
        </w:rPr>
        <w:t xml:space="preserve">It is notable that the </w:t>
      </w:r>
      <w:r w:rsidR="00E8726D">
        <w:rPr>
          <w:rFonts w:ascii="Times New Roman" w:hAnsi="Times New Roman" w:cs="Times New Roman"/>
          <w:lang w:val="en-GB"/>
        </w:rPr>
        <w:t>viability testing of the specific allocations s</w:t>
      </w:r>
      <w:r w:rsidR="00913C5F">
        <w:rPr>
          <w:rFonts w:ascii="Times New Roman" w:hAnsi="Times New Roman" w:cs="Times New Roman"/>
          <w:lang w:val="en-GB"/>
        </w:rPr>
        <w:t xml:space="preserve">hows that these are either unviable </w:t>
      </w:r>
      <w:r w:rsidR="00913C5F">
        <w:rPr>
          <w:rFonts w:ascii="Times New Roman" w:hAnsi="Times New Roman" w:cs="Times New Roman"/>
          <w:lang w:val="en-GB"/>
        </w:rPr>
        <w:lastRenderedPageBreak/>
        <w:t xml:space="preserve">or marginal. </w:t>
      </w:r>
      <w:r w:rsidR="008E08F0">
        <w:rPr>
          <w:rFonts w:ascii="Times New Roman" w:hAnsi="Times New Roman" w:cs="Times New Roman"/>
          <w:lang w:val="en-GB"/>
        </w:rPr>
        <w:t>The Council will need to work with the promoters of any strategic site to ensure that the costs being placed on these developments does not make the undeliverable.</w:t>
      </w:r>
    </w:p>
    <w:p w14:paraId="5037515E" w14:textId="30532FEB" w:rsidR="008E26C6" w:rsidRPr="008E26C6" w:rsidRDefault="000A3F36" w:rsidP="00912F5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HBF s</w:t>
      </w:r>
      <w:r w:rsidR="008E26C6" w:rsidRPr="008E26C6">
        <w:rPr>
          <w:rFonts w:ascii="Times New Roman" w:hAnsi="Times New Roman" w:cs="Times New Roman"/>
          <w:lang w:val="en-GB"/>
        </w:rPr>
        <w:t xml:space="preserve">upport </w:t>
      </w:r>
      <w:r>
        <w:rPr>
          <w:rFonts w:ascii="Times New Roman" w:hAnsi="Times New Roman" w:cs="Times New Roman"/>
          <w:lang w:val="en-GB"/>
        </w:rPr>
        <w:t xml:space="preserve">the inclusion of a cascade </w:t>
      </w:r>
      <w:r w:rsidR="00A6381C">
        <w:rPr>
          <w:rFonts w:ascii="Times New Roman" w:hAnsi="Times New Roman" w:cs="Times New Roman"/>
          <w:lang w:val="en-GB"/>
        </w:rPr>
        <w:t>mechanism</w:t>
      </w:r>
      <w:r>
        <w:rPr>
          <w:rFonts w:ascii="Times New Roman" w:hAnsi="Times New Roman" w:cs="Times New Roman"/>
          <w:lang w:val="en-GB"/>
        </w:rPr>
        <w:t xml:space="preserve"> in </w:t>
      </w:r>
      <w:r w:rsidR="0063255B">
        <w:rPr>
          <w:rFonts w:ascii="Times New Roman" w:hAnsi="Times New Roman" w:cs="Times New Roman"/>
          <w:lang w:val="en-GB"/>
        </w:rPr>
        <w:t xml:space="preserve">this policy. At present there are difficulties in </w:t>
      </w:r>
      <w:r w:rsidR="00D844CC">
        <w:rPr>
          <w:rFonts w:ascii="Times New Roman" w:hAnsi="Times New Roman" w:cs="Times New Roman"/>
          <w:lang w:val="en-GB"/>
        </w:rPr>
        <w:t xml:space="preserve">finding RSLs to acquire section 106 plots and in such </w:t>
      </w:r>
      <w:r w:rsidR="00A6381C">
        <w:rPr>
          <w:rFonts w:ascii="Times New Roman" w:hAnsi="Times New Roman" w:cs="Times New Roman"/>
          <w:lang w:val="en-GB"/>
        </w:rPr>
        <w:t>circumstances,</w:t>
      </w:r>
      <w:r w:rsidR="00D844CC">
        <w:rPr>
          <w:rFonts w:ascii="Times New Roman" w:hAnsi="Times New Roman" w:cs="Times New Roman"/>
          <w:lang w:val="en-GB"/>
        </w:rPr>
        <w:t xml:space="preserve"> there must be a clear </w:t>
      </w:r>
      <w:r w:rsidR="00A6381C">
        <w:rPr>
          <w:rFonts w:ascii="Times New Roman" w:hAnsi="Times New Roman" w:cs="Times New Roman"/>
          <w:lang w:val="en-GB"/>
        </w:rPr>
        <w:t>mechanism</w:t>
      </w:r>
      <w:r w:rsidR="00D844CC">
        <w:rPr>
          <w:rFonts w:ascii="Times New Roman" w:hAnsi="Times New Roman" w:cs="Times New Roman"/>
          <w:lang w:val="en-GB"/>
        </w:rPr>
        <w:t xml:space="preserve"> for </w:t>
      </w:r>
      <w:r w:rsidR="00A6381C">
        <w:rPr>
          <w:rFonts w:ascii="Times New Roman" w:hAnsi="Times New Roman" w:cs="Times New Roman"/>
          <w:lang w:val="en-GB"/>
        </w:rPr>
        <w:t>addressing this situation</w:t>
      </w:r>
      <w:r w:rsidR="005F05E4">
        <w:rPr>
          <w:rFonts w:ascii="Times New Roman" w:hAnsi="Times New Roman" w:cs="Times New Roman"/>
          <w:lang w:val="en-GB"/>
        </w:rPr>
        <w:t xml:space="preserve">. </w:t>
      </w:r>
      <w:r w:rsidR="00A6381C">
        <w:rPr>
          <w:rFonts w:ascii="Times New Roman" w:hAnsi="Times New Roman" w:cs="Times New Roman"/>
          <w:lang w:val="en-GB"/>
        </w:rPr>
        <w:t xml:space="preserve"> </w:t>
      </w:r>
    </w:p>
    <w:p w14:paraId="22E1FB78" w14:textId="753975A3" w:rsidR="008E26C6" w:rsidRDefault="008E26C6" w:rsidP="00912F5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sidRPr="008E26C6">
        <w:rPr>
          <w:rFonts w:ascii="Times New Roman" w:hAnsi="Times New Roman" w:cs="Times New Roman"/>
          <w:lang w:val="en-GB"/>
        </w:rPr>
        <w:t>Part 3 sets out that in exceptional circumstances the council will consider varying the affordable housing requirement on the basis of viability. Firstly, HBF would consider the use of the term exceptional to be consistent with national policy. Paragraph 59 of the NPPF states that there will be particular circumstances that justify the need for a viability assessment but makes no comment that these will be exceptional. HBF would therefore recommend that exceptional is deleted from part 3. Secondly part 3 states the any variation will need to be in accordance with an SPD that is still to be published. Again, an applicant will need to have regard to this guidance, but the local plan cannot require accordance with guidance. Such an approach would seek to give the weight of a local plan policy to an unwritten document which is not consistent with legislation on plan making.</w:t>
      </w:r>
    </w:p>
    <w:p w14:paraId="518B48D7" w14:textId="78990AE8" w:rsidR="00D40D23" w:rsidRPr="00D40D23" w:rsidRDefault="00D40D23" w:rsidP="008E26C6">
      <w:pPr>
        <w:widowControl/>
        <w:suppressAutoHyphens w:val="0"/>
        <w:autoSpaceDE/>
        <w:spacing w:after="240" w:line="360" w:lineRule="auto"/>
        <w:jc w:val="both"/>
        <w:rPr>
          <w:rFonts w:ascii="Times New Roman" w:hAnsi="Times New Roman" w:cs="Times New Roman"/>
          <w:i/>
          <w:iCs/>
          <w:lang w:val="en-GB"/>
        </w:rPr>
      </w:pPr>
      <w:r w:rsidRPr="00D40D23">
        <w:rPr>
          <w:rFonts w:ascii="Times New Roman" w:hAnsi="Times New Roman" w:cs="Times New Roman"/>
          <w:i/>
          <w:iCs/>
          <w:lang w:val="en-GB"/>
        </w:rPr>
        <w:t>Viability</w:t>
      </w:r>
      <w:r>
        <w:rPr>
          <w:rFonts w:ascii="Times New Roman" w:hAnsi="Times New Roman" w:cs="Times New Roman"/>
          <w:i/>
          <w:iCs/>
          <w:lang w:val="en-GB"/>
        </w:rPr>
        <w:t xml:space="preserve"> testing</w:t>
      </w:r>
    </w:p>
    <w:p w14:paraId="4633E39B" w14:textId="0425220C" w:rsidR="003B5D9E" w:rsidRPr="003B5D9E" w:rsidRDefault="00D40D23" w:rsidP="003B5D9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i/>
          <w:iCs/>
          <w:lang w:val="en-GB"/>
        </w:rPr>
      </w:pPr>
      <w:r w:rsidRPr="00D40D23">
        <w:rPr>
          <w:rFonts w:ascii="Times New Roman" w:hAnsi="Times New Roman" w:cs="Times New Roman"/>
          <w:lang w:val="en-GB"/>
        </w:rPr>
        <w:t xml:space="preserve">As set out later on in our comments HBF are also concerned that the costs relating to policy C2 on net zero carbon homes and B1 on biodiversity net gains have also been underestimated and the cost of these policies will be higher potentially impacting on viability of development in Swale. These higher costs will need to be tested in the </w:t>
      </w:r>
      <w:r w:rsidR="00C851B2">
        <w:rPr>
          <w:rFonts w:ascii="Times New Roman" w:hAnsi="Times New Roman" w:cs="Times New Roman"/>
          <w:lang w:val="en-GB"/>
        </w:rPr>
        <w:t>Whole Plan Viability Assessment (WPVA)</w:t>
      </w:r>
      <w:r w:rsidR="00315118">
        <w:rPr>
          <w:rFonts w:ascii="Times New Roman" w:hAnsi="Times New Roman" w:cs="Times New Roman"/>
          <w:lang w:val="en-GB"/>
        </w:rPr>
        <w:t xml:space="preserve">. </w:t>
      </w:r>
    </w:p>
    <w:p w14:paraId="067E1D22" w14:textId="61BFC641" w:rsidR="008E6D6C" w:rsidRDefault="002D7B3A" w:rsidP="00912F5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I</w:t>
      </w:r>
      <w:r w:rsidR="00DB59D0">
        <w:rPr>
          <w:rFonts w:ascii="Times New Roman" w:hAnsi="Times New Roman" w:cs="Times New Roman"/>
          <w:lang w:val="en-GB"/>
        </w:rPr>
        <w:t>n</w:t>
      </w:r>
      <w:r>
        <w:rPr>
          <w:rFonts w:ascii="Times New Roman" w:hAnsi="Times New Roman" w:cs="Times New Roman"/>
          <w:lang w:val="en-GB"/>
        </w:rPr>
        <w:t xml:space="preserve"> addition to</w:t>
      </w:r>
      <w:r w:rsidR="003F28D2">
        <w:rPr>
          <w:rFonts w:ascii="Times New Roman" w:hAnsi="Times New Roman" w:cs="Times New Roman"/>
          <w:lang w:val="en-GB"/>
        </w:rPr>
        <w:t xml:space="preserve"> specific</w:t>
      </w:r>
      <w:r>
        <w:rPr>
          <w:rFonts w:ascii="Times New Roman" w:hAnsi="Times New Roman" w:cs="Times New Roman"/>
          <w:lang w:val="en-GB"/>
        </w:rPr>
        <w:t xml:space="preserve"> </w:t>
      </w:r>
      <w:r w:rsidR="00B872B3">
        <w:rPr>
          <w:rFonts w:ascii="Times New Roman" w:hAnsi="Times New Roman" w:cs="Times New Roman"/>
          <w:lang w:val="en-GB"/>
        </w:rPr>
        <w:t xml:space="preserve">policy </w:t>
      </w:r>
      <w:r>
        <w:rPr>
          <w:rFonts w:ascii="Times New Roman" w:hAnsi="Times New Roman" w:cs="Times New Roman"/>
          <w:lang w:val="en-GB"/>
        </w:rPr>
        <w:t xml:space="preserve">costs HBF are also concerned as to how the approach in </w:t>
      </w:r>
      <w:r w:rsidR="00C851B2">
        <w:rPr>
          <w:rFonts w:ascii="Times New Roman" w:hAnsi="Times New Roman" w:cs="Times New Roman"/>
          <w:lang w:val="en-GB"/>
        </w:rPr>
        <w:t>WPVA</w:t>
      </w:r>
      <w:r>
        <w:rPr>
          <w:rFonts w:ascii="Times New Roman" w:hAnsi="Times New Roman" w:cs="Times New Roman"/>
          <w:lang w:val="en-GB"/>
        </w:rPr>
        <w:t xml:space="preserve"> in relation to older people’s housing. </w:t>
      </w:r>
      <w:r w:rsidR="00EC3DE0">
        <w:rPr>
          <w:rFonts w:ascii="Times New Roman" w:hAnsi="Times New Roman" w:cs="Times New Roman"/>
          <w:lang w:val="en-GB"/>
        </w:rPr>
        <w:t>Paragraph</w:t>
      </w:r>
      <w:r w:rsidR="00DB59D0">
        <w:rPr>
          <w:rFonts w:ascii="Times New Roman" w:hAnsi="Times New Roman" w:cs="Times New Roman"/>
          <w:lang w:val="en-GB"/>
        </w:rPr>
        <w:t xml:space="preserve"> 9.13 sets out the </w:t>
      </w:r>
      <w:r w:rsidR="00EC3DE0">
        <w:rPr>
          <w:rFonts w:ascii="Times New Roman" w:hAnsi="Times New Roman" w:cs="Times New Roman"/>
          <w:lang w:val="en-GB"/>
        </w:rPr>
        <w:t xml:space="preserve">typology tested with regard to </w:t>
      </w:r>
      <w:r w:rsidR="003B13DF">
        <w:rPr>
          <w:rFonts w:ascii="Times New Roman" w:hAnsi="Times New Roman" w:cs="Times New Roman"/>
          <w:lang w:val="en-GB"/>
        </w:rPr>
        <w:t>unit sizes</w:t>
      </w:r>
      <w:r w:rsidR="008B32F6">
        <w:rPr>
          <w:rFonts w:ascii="Times New Roman" w:hAnsi="Times New Roman" w:cs="Times New Roman"/>
          <w:lang w:val="en-GB"/>
        </w:rPr>
        <w:t xml:space="preserve"> </w:t>
      </w:r>
      <w:r w:rsidR="006A7054">
        <w:rPr>
          <w:rFonts w:ascii="Times New Roman" w:hAnsi="Times New Roman" w:cs="Times New Roman"/>
          <w:lang w:val="en-GB"/>
        </w:rPr>
        <w:t xml:space="preserve">but the additional costs facing older people’s housing has not been factored into the assessment. </w:t>
      </w:r>
      <w:r w:rsidR="008054B8">
        <w:rPr>
          <w:rFonts w:ascii="Times New Roman" w:hAnsi="Times New Roman" w:cs="Times New Roman"/>
          <w:lang w:val="en-GB"/>
        </w:rPr>
        <w:t xml:space="preserve">Turning to the size of the units in the typologies HBF would suggest that </w:t>
      </w:r>
      <w:r w:rsidR="002F360E">
        <w:rPr>
          <w:rFonts w:ascii="Times New Roman" w:hAnsi="Times New Roman" w:cs="Times New Roman"/>
          <w:lang w:val="en-GB"/>
        </w:rPr>
        <w:t xml:space="preserve">in relation to </w:t>
      </w:r>
      <w:r w:rsidR="0061289D">
        <w:rPr>
          <w:rFonts w:ascii="Times New Roman" w:hAnsi="Times New Roman" w:cs="Times New Roman"/>
          <w:lang w:val="en-GB"/>
        </w:rPr>
        <w:t>sheltered/retirement</w:t>
      </w:r>
      <w:r w:rsidR="002F360E">
        <w:rPr>
          <w:rFonts w:ascii="Times New Roman" w:hAnsi="Times New Roman" w:cs="Times New Roman"/>
          <w:lang w:val="en-GB"/>
        </w:rPr>
        <w:t xml:space="preserve"> housing the unit sizes are too small. </w:t>
      </w:r>
      <w:r w:rsidR="008054B8">
        <w:rPr>
          <w:rFonts w:ascii="Times New Roman" w:hAnsi="Times New Roman" w:cs="Times New Roman"/>
          <w:lang w:val="en-GB"/>
        </w:rPr>
        <w:t xml:space="preserve"> </w:t>
      </w:r>
      <w:r w:rsidR="00391DDE" w:rsidRPr="00391DDE">
        <w:rPr>
          <w:rFonts w:ascii="Times New Roman" w:hAnsi="Times New Roman" w:cs="Times New Roman"/>
          <w:lang w:val="en-GB"/>
        </w:rPr>
        <w:t>These have evolved in recent years with the National Space Standards and M4(2) requirements and allow for additional storage and circulation space to facilitate downsizing</w:t>
      </w:r>
      <w:r w:rsidR="00391DDE">
        <w:rPr>
          <w:rFonts w:ascii="Times New Roman" w:hAnsi="Times New Roman" w:cs="Times New Roman"/>
          <w:lang w:val="en-GB"/>
        </w:rPr>
        <w:t xml:space="preserve">. </w:t>
      </w:r>
      <w:r w:rsidR="006E6258">
        <w:rPr>
          <w:rFonts w:ascii="Times New Roman" w:hAnsi="Times New Roman" w:cs="Times New Roman"/>
          <w:lang w:val="en-GB"/>
        </w:rPr>
        <w:t>These should be amended to 55</w:t>
      </w:r>
      <w:r w:rsidR="00EA1837">
        <w:rPr>
          <w:rFonts w:ascii="Times New Roman" w:hAnsi="Times New Roman" w:cs="Times New Roman"/>
          <w:lang w:val="en-GB"/>
        </w:rPr>
        <w:t>m</w:t>
      </w:r>
      <w:r w:rsidR="00EA1837" w:rsidRPr="00DD01BC">
        <w:rPr>
          <w:rFonts w:ascii="Times New Roman" w:hAnsi="Times New Roman" w:cs="Times New Roman"/>
          <w:vertAlign w:val="superscript"/>
          <w:lang w:val="en-GB"/>
        </w:rPr>
        <w:t>2</w:t>
      </w:r>
      <w:r w:rsidR="006E6258">
        <w:rPr>
          <w:rFonts w:ascii="Times New Roman" w:hAnsi="Times New Roman" w:cs="Times New Roman"/>
          <w:lang w:val="en-GB"/>
        </w:rPr>
        <w:t xml:space="preserve"> for </w:t>
      </w:r>
      <w:r w:rsidR="00EA1837">
        <w:rPr>
          <w:rFonts w:ascii="Times New Roman" w:hAnsi="Times New Roman" w:cs="Times New Roman"/>
          <w:lang w:val="en-GB"/>
        </w:rPr>
        <w:t>a one bedroomed unit and 75m</w:t>
      </w:r>
      <w:r w:rsidR="00EA1837" w:rsidRPr="00DD01BC">
        <w:rPr>
          <w:rFonts w:ascii="Times New Roman" w:hAnsi="Times New Roman" w:cs="Times New Roman"/>
          <w:vertAlign w:val="superscript"/>
          <w:lang w:val="en-GB"/>
        </w:rPr>
        <w:t>2</w:t>
      </w:r>
      <w:r w:rsidR="00EA1837">
        <w:rPr>
          <w:rFonts w:ascii="Times New Roman" w:hAnsi="Times New Roman" w:cs="Times New Roman"/>
          <w:lang w:val="en-GB"/>
        </w:rPr>
        <w:t xml:space="preserve"> for a two bedroomed unit. </w:t>
      </w:r>
      <w:r w:rsidR="00441932">
        <w:rPr>
          <w:rFonts w:ascii="Times New Roman" w:hAnsi="Times New Roman" w:cs="Times New Roman"/>
          <w:lang w:val="en-GB"/>
        </w:rPr>
        <w:t>For extra care schemes the one bedroomed unit should be 60m</w:t>
      </w:r>
      <w:r w:rsidR="00441932" w:rsidRPr="00DD01BC">
        <w:rPr>
          <w:rFonts w:ascii="Times New Roman" w:hAnsi="Times New Roman" w:cs="Times New Roman"/>
          <w:vertAlign w:val="superscript"/>
          <w:lang w:val="en-GB"/>
        </w:rPr>
        <w:t>2</w:t>
      </w:r>
      <w:r w:rsidR="00441932">
        <w:rPr>
          <w:rFonts w:ascii="Times New Roman" w:hAnsi="Times New Roman" w:cs="Times New Roman"/>
          <w:lang w:val="en-GB"/>
        </w:rPr>
        <w:t xml:space="preserve"> and the 2 bedroomed unit </w:t>
      </w:r>
      <w:r w:rsidR="00DD01BC">
        <w:rPr>
          <w:rFonts w:ascii="Times New Roman" w:hAnsi="Times New Roman" w:cs="Times New Roman"/>
          <w:lang w:val="en-GB"/>
        </w:rPr>
        <w:t>80m</w:t>
      </w:r>
      <w:r w:rsidR="00DD01BC" w:rsidRPr="00DD01BC">
        <w:rPr>
          <w:rFonts w:ascii="Times New Roman" w:hAnsi="Times New Roman" w:cs="Times New Roman"/>
          <w:vertAlign w:val="superscript"/>
          <w:lang w:val="en-GB"/>
        </w:rPr>
        <w:t>2</w:t>
      </w:r>
      <w:r w:rsidR="00DD01BC">
        <w:rPr>
          <w:rFonts w:ascii="Times New Roman" w:hAnsi="Times New Roman" w:cs="Times New Roman"/>
          <w:lang w:val="en-GB"/>
        </w:rPr>
        <w:t xml:space="preserve">. </w:t>
      </w:r>
      <w:r w:rsidR="00F83C3E">
        <w:rPr>
          <w:rFonts w:ascii="Times New Roman" w:hAnsi="Times New Roman" w:cs="Times New Roman"/>
          <w:lang w:val="en-GB"/>
        </w:rPr>
        <w:t xml:space="preserve">HBF would also recommend that the </w:t>
      </w:r>
      <w:r w:rsidR="00FA13C2">
        <w:rPr>
          <w:rFonts w:ascii="Times New Roman" w:hAnsi="Times New Roman" w:cs="Times New Roman"/>
          <w:lang w:val="en-GB"/>
        </w:rPr>
        <w:t>density</w:t>
      </w:r>
      <w:r w:rsidR="00F83C3E">
        <w:rPr>
          <w:rFonts w:ascii="Times New Roman" w:hAnsi="Times New Roman" w:cs="Times New Roman"/>
          <w:lang w:val="en-GB"/>
        </w:rPr>
        <w:t xml:space="preserve"> of the sites is modelled at 100 dpa. </w:t>
      </w:r>
      <w:r w:rsidR="00137784">
        <w:rPr>
          <w:rFonts w:ascii="Times New Roman" w:hAnsi="Times New Roman" w:cs="Times New Roman"/>
          <w:lang w:val="en-GB"/>
        </w:rPr>
        <w:t>Typically,</w:t>
      </w:r>
      <w:r w:rsidR="00F83C3E">
        <w:rPr>
          <w:rFonts w:ascii="Times New Roman" w:hAnsi="Times New Roman" w:cs="Times New Roman"/>
          <w:lang w:val="en-GB"/>
        </w:rPr>
        <w:t xml:space="preserve"> </w:t>
      </w:r>
      <w:r w:rsidR="00FA13C2">
        <w:rPr>
          <w:rFonts w:ascii="Times New Roman" w:hAnsi="Times New Roman" w:cs="Times New Roman"/>
          <w:lang w:val="en-GB"/>
        </w:rPr>
        <w:t>retirement</w:t>
      </w:r>
      <w:r w:rsidR="00C64AFC">
        <w:rPr>
          <w:rFonts w:ascii="Times New Roman" w:hAnsi="Times New Roman" w:cs="Times New Roman"/>
          <w:lang w:val="en-GB"/>
        </w:rPr>
        <w:t xml:space="preserve"> accommodation </w:t>
      </w:r>
      <w:r w:rsidR="00FA13C2">
        <w:rPr>
          <w:rFonts w:ascii="Times New Roman" w:hAnsi="Times New Roman" w:cs="Times New Roman"/>
          <w:lang w:val="en-GB"/>
        </w:rPr>
        <w:t>consists</w:t>
      </w:r>
      <w:r w:rsidR="00C64AFC">
        <w:rPr>
          <w:rFonts w:ascii="Times New Roman" w:hAnsi="Times New Roman" w:cs="Times New Roman"/>
          <w:lang w:val="en-GB"/>
        </w:rPr>
        <w:t xml:space="preserve"> of 45 </w:t>
      </w:r>
      <w:r w:rsidR="00FA13C2">
        <w:rPr>
          <w:rFonts w:ascii="Times New Roman" w:hAnsi="Times New Roman" w:cs="Times New Roman"/>
          <w:lang w:val="en-GB"/>
        </w:rPr>
        <w:t>dwelling</w:t>
      </w:r>
      <w:r w:rsidR="00C64AFC">
        <w:rPr>
          <w:rFonts w:ascii="Times New Roman" w:hAnsi="Times New Roman" w:cs="Times New Roman"/>
          <w:lang w:val="en-GB"/>
        </w:rPr>
        <w:t xml:space="preserve"> on site area</w:t>
      </w:r>
      <w:r w:rsidR="00FA13C2">
        <w:rPr>
          <w:rFonts w:ascii="Times New Roman" w:hAnsi="Times New Roman" w:cs="Times New Roman"/>
          <w:lang w:val="en-GB"/>
        </w:rPr>
        <w:t xml:space="preserve"> </w:t>
      </w:r>
      <w:r w:rsidR="00C64AFC">
        <w:rPr>
          <w:rFonts w:ascii="Times New Roman" w:hAnsi="Times New Roman" w:cs="Times New Roman"/>
          <w:lang w:val="en-GB"/>
        </w:rPr>
        <w:t xml:space="preserve">of around </w:t>
      </w:r>
      <w:r w:rsidR="00FA13C2">
        <w:rPr>
          <w:rFonts w:ascii="Times New Roman" w:hAnsi="Times New Roman" w:cs="Times New Roman"/>
          <w:lang w:val="en-GB"/>
        </w:rPr>
        <w:t xml:space="preserve">0.45 to </w:t>
      </w:r>
      <w:r w:rsidR="00C64AFC">
        <w:rPr>
          <w:rFonts w:ascii="Times New Roman" w:hAnsi="Times New Roman" w:cs="Times New Roman"/>
          <w:lang w:val="en-GB"/>
        </w:rPr>
        <w:t xml:space="preserve">0.5 </w:t>
      </w:r>
      <w:r w:rsidR="008E6D6C">
        <w:rPr>
          <w:rFonts w:ascii="Times New Roman" w:hAnsi="Times New Roman" w:cs="Times New Roman"/>
          <w:lang w:val="en-GB"/>
        </w:rPr>
        <w:t>hectares, and we would recommend the viability assessment test</w:t>
      </w:r>
      <w:r w:rsidR="00FA13C2">
        <w:rPr>
          <w:rFonts w:ascii="Times New Roman" w:hAnsi="Times New Roman" w:cs="Times New Roman"/>
          <w:lang w:val="en-GB"/>
        </w:rPr>
        <w:t xml:space="preserve"> </w:t>
      </w:r>
      <w:r w:rsidR="008E6D6C" w:rsidRPr="008E6D6C">
        <w:rPr>
          <w:rFonts w:ascii="Times New Roman" w:hAnsi="Times New Roman" w:cs="Times New Roman"/>
          <w:lang w:val="en-GB"/>
        </w:rPr>
        <w:t xml:space="preserve">a scheme of 50 units for sheltered housing and a scheme of 40 units should be modelled for extra care, both on a site of 0.5 hectares. </w:t>
      </w:r>
    </w:p>
    <w:p w14:paraId="0BCD3DAC" w14:textId="77B76411" w:rsidR="007D6B87" w:rsidRPr="008E6D6C" w:rsidRDefault="00747E13" w:rsidP="00912F5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The</w:t>
      </w:r>
      <w:r w:rsidR="002D4B79">
        <w:rPr>
          <w:rFonts w:ascii="Times New Roman" w:hAnsi="Times New Roman" w:cs="Times New Roman"/>
          <w:lang w:val="en-GB"/>
        </w:rPr>
        <w:t xml:space="preserve"> </w:t>
      </w:r>
      <w:r w:rsidR="00C851B2" w:rsidRPr="00C851B2">
        <w:rPr>
          <w:rFonts w:ascii="Times New Roman" w:hAnsi="Times New Roman" w:cs="Times New Roman"/>
          <w:lang w:val="en-GB"/>
        </w:rPr>
        <w:t>WPVA</w:t>
      </w:r>
      <w:r w:rsidR="00C851B2" w:rsidRPr="00C851B2">
        <w:rPr>
          <w:rFonts w:ascii="Times New Roman" w:hAnsi="Times New Roman" w:cs="Times New Roman"/>
          <w:lang w:val="en-GB"/>
        </w:rPr>
        <w:t xml:space="preserve"> </w:t>
      </w:r>
      <w:r w:rsidR="002D4B79">
        <w:rPr>
          <w:rFonts w:ascii="Times New Roman" w:hAnsi="Times New Roman" w:cs="Times New Roman"/>
          <w:lang w:val="en-GB"/>
        </w:rPr>
        <w:t xml:space="preserve">should also </w:t>
      </w:r>
      <w:r>
        <w:rPr>
          <w:rFonts w:ascii="Times New Roman" w:hAnsi="Times New Roman" w:cs="Times New Roman"/>
          <w:lang w:val="en-GB"/>
        </w:rPr>
        <w:t>ensure</w:t>
      </w:r>
      <w:r w:rsidR="002D4B79">
        <w:rPr>
          <w:rFonts w:ascii="Times New Roman" w:hAnsi="Times New Roman" w:cs="Times New Roman"/>
          <w:lang w:val="en-GB"/>
        </w:rPr>
        <w:t xml:space="preserve"> that the higher costs relating to </w:t>
      </w:r>
      <w:r w:rsidR="005D11A6">
        <w:rPr>
          <w:rFonts w:ascii="Times New Roman" w:hAnsi="Times New Roman" w:cs="Times New Roman"/>
          <w:lang w:val="en-GB"/>
        </w:rPr>
        <w:t xml:space="preserve">marketing </w:t>
      </w:r>
      <w:r w:rsidR="002C7976">
        <w:rPr>
          <w:rFonts w:ascii="Times New Roman" w:hAnsi="Times New Roman" w:cs="Times New Roman"/>
          <w:lang w:val="en-GB"/>
        </w:rPr>
        <w:t xml:space="preserve">compared to </w:t>
      </w:r>
      <w:r w:rsidR="001A149B">
        <w:rPr>
          <w:rFonts w:ascii="Times New Roman" w:hAnsi="Times New Roman" w:cs="Times New Roman"/>
          <w:lang w:val="en-GB"/>
        </w:rPr>
        <w:t xml:space="preserve">those for standard market housing is taken into account. </w:t>
      </w:r>
      <w:r w:rsidR="00627C1D">
        <w:rPr>
          <w:rFonts w:ascii="Times New Roman" w:hAnsi="Times New Roman" w:cs="Times New Roman"/>
          <w:lang w:val="en-GB"/>
        </w:rPr>
        <w:t xml:space="preserve">The </w:t>
      </w:r>
      <w:r w:rsidR="009C2E39">
        <w:rPr>
          <w:rFonts w:ascii="Times New Roman" w:hAnsi="Times New Roman" w:cs="Times New Roman"/>
          <w:lang w:val="en-GB"/>
        </w:rPr>
        <w:t>viability</w:t>
      </w:r>
      <w:r w:rsidR="00627C1D">
        <w:rPr>
          <w:rFonts w:ascii="Times New Roman" w:hAnsi="Times New Roman" w:cs="Times New Roman"/>
          <w:lang w:val="en-GB"/>
        </w:rPr>
        <w:t xml:space="preserve"> assessment notes that 6% was suggested </w:t>
      </w:r>
      <w:r w:rsidR="009C2E39">
        <w:rPr>
          <w:rFonts w:ascii="Times New Roman" w:hAnsi="Times New Roman" w:cs="Times New Roman"/>
          <w:lang w:val="en-GB"/>
        </w:rPr>
        <w:t>but</w:t>
      </w:r>
      <w:r w:rsidR="00627C1D">
        <w:rPr>
          <w:rFonts w:ascii="Times New Roman" w:hAnsi="Times New Roman" w:cs="Times New Roman"/>
          <w:lang w:val="en-GB"/>
        </w:rPr>
        <w:t xml:space="preserve"> that no </w:t>
      </w:r>
      <w:r w:rsidR="009C2E39">
        <w:rPr>
          <w:rFonts w:ascii="Times New Roman" w:hAnsi="Times New Roman" w:cs="Times New Roman"/>
          <w:lang w:val="en-GB"/>
        </w:rPr>
        <w:t>rational</w:t>
      </w:r>
      <w:r w:rsidR="00627C1D">
        <w:rPr>
          <w:rFonts w:ascii="Times New Roman" w:hAnsi="Times New Roman" w:cs="Times New Roman"/>
          <w:lang w:val="en-GB"/>
        </w:rPr>
        <w:t xml:space="preserve">e was provided as to why. </w:t>
      </w:r>
      <w:r w:rsidR="009C2E39">
        <w:rPr>
          <w:rFonts w:ascii="Times New Roman" w:hAnsi="Times New Roman" w:cs="Times New Roman"/>
          <w:lang w:val="en-GB"/>
        </w:rPr>
        <w:t xml:space="preserve">The reason for this is that retirement housing takes longer to sell than </w:t>
      </w:r>
      <w:r w:rsidR="002B50C9">
        <w:rPr>
          <w:rFonts w:ascii="Times New Roman" w:hAnsi="Times New Roman" w:cs="Times New Roman"/>
          <w:lang w:val="en-GB"/>
        </w:rPr>
        <w:t>other residential development requiring</w:t>
      </w:r>
      <w:r w:rsidR="00E938B0">
        <w:rPr>
          <w:rFonts w:ascii="Times New Roman" w:hAnsi="Times New Roman" w:cs="Times New Roman"/>
          <w:lang w:val="en-GB"/>
        </w:rPr>
        <w:t xml:space="preserve"> full time</w:t>
      </w:r>
      <w:r w:rsidR="002B50C9">
        <w:rPr>
          <w:rFonts w:ascii="Times New Roman" w:hAnsi="Times New Roman" w:cs="Times New Roman"/>
          <w:lang w:val="en-GB"/>
        </w:rPr>
        <w:t xml:space="preserve"> sales staff to be on sit</w:t>
      </w:r>
      <w:r w:rsidR="00671EC3">
        <w:rPr>
          <w:rFonts w:ascii="Times New Roman" w:hAnsi="Times New Roman" w:cs="Times New Roman"/>
          <w:lang w:val="en-GB"/>
        </w:rPr>
        <w:t>e</w:t>
      </w:r>
      <w:r w:rsidR="002B50C9">
        <w:rPr>
          <w:rFonts w:ascii="Times New Roman" w:hAnsi="Times New Roman" w:cs="Times New Roman"/>
          <w:lang w:val="en-GB"/>
        </w:rPr>
        <w:t xml:space="preserve"> longer than would be required on </w:t>
      </w:r>
      <w:r w:rsidR="00FA089C">
        <w:rPr>
          <w:rFonts w:ascii="Times New Roman" w:hAnsi="Times New Roman" w:cs="Times New Roman"/>
          <w:lang w:val="en-GB"/>
        </w:rPr>
        <w:t xml:space="preserve">a standard residential </w:t>
      </w:r>
      <w:r w:rsidR="00EB7908">
        <w:rPr>
          <w:rFonts w:ascii="Times New Roman" w:hAnsi="Times New Roman" w:cs="Times New Roman"/>
          <w:lang w:val="en-GB"/>
        </w:rPr>
        <w:t>development and</w:t>
      </w:r>
      <w:r w:rsidR="00A43D55">
        <w:rPr>
          <w:rFonts w:ascii="Times New Roman" w:hAnsi="Times New Roman" w:cs="Times New Roman"/>
          <w:lang w:val="en-GB"/>
        </w:rPr>
        <w:t xml:space="preserve"> other marketing and </w:t>
      </w:r>
      <w:r w:rsidR="00EB7908">
        <w:rPr>
          <w:rFonts w:ascii="Times New Roman" w:hAnsi="Times New Roman" w:cs="Times New Roman"/>
          <w:lang w:val="en-GB"/>
        </w:rPr>
        <w:t>advertising</w:t>
      </w:r>
      <w:r w:rsidR="00A43D55">
        <w:rPr>
          <w:rFonts w:ascii="Times New Roman" w:hAnsi="Times New Roman" w:cs="Times New Roman"/>
          <w:lang w:val="en-GB"/>
        </w:rPr>
        <w:t xml:space="preserve"> costs to </w:t>
      </w:r>
      <w:r w:rsidR="00EB7908">
        <w:rPr>
          <w:rFonts w:ascii="Times New Roman" w:hAnsi="Times New Roman" w:cs="Times New Roman"/>
          <w:lang w:val="en-GB"/>
        </w:rPr>
        <w:t xml:space="preserve">be over a longer time period. </w:t>
      </w:r>
      <w:r w:rsidR="00BD19BB">
        <w:rPr>
          <w:rFonts w:ascii="Times New Roman" w:hAnsi="Times New Roman" w:cs="Times New Roman"/>
          <w:lang w:val="en-GB"/>
        </w:rPr>
        <w:t xml:space="preserve">It </w:t>
      </w:r>
      <w:r w:rsidR="0052771B">
        <w:rPr>
          <w:rFonts w:ascii="Times New Roman" w:hAnsi="Times New Roman" w:cs="Times New Roman"/>
          <w:lang w:val="en-GB"/>
        </w:rPr>
        <w:t>i</w:t>
      </w:r>
      <w:r w:rsidR="00BD19BB">
        <w:rPr>
          <w:rFonts w:ascii="Times New Roman" w:hAnsi="Times New Roman" w:cs="Times New Roman"/>
          <w:lang w:val="en-GB"/>
        </w:rPr>
        <w:t xml:space="preserve">s not clear from the assessment </w:t>
      </w:r>
      <w:r w:rsidR="002554BF">
        <w:rPr>
          <w:rFonts w:ascii="Times New Roman" w:hAnsi="Times New Roman" w:cs="Times New Roman"/>
          <w:lang w:val="en-GB"/>
        </w:rPr>
        <w:t xml:space="preserve">as to when sales actually start on </w:t>
      </w:r>
      <w:r w:rsidR="00702BDC">
        <w:rPr>
          <w:rFonts w:ascii="Times New Roman" w:hAnsi="Times New Roman" w:cs="Times New Roman"/>
          <w:lang w:val="en-GB"/>
        </w:rPr>
        <w:t>retirement</w:t>
      </w:r>
      <w:r w:rsidR="002554BF">
        <w:rPr>
          <w:rFonts w:ascii="Times New Roman" w:hAnsi="Times New Roman" w:cs="Times New Roman"/>
          <w:lang w:val="en-GB"/>
        </w:rPr>
        <w:t xml:space="preserve"> housing. T</w:t>
      </w:r>
      <w:r w:rsidR="004271DF">
        <w:rPr>
          <w:rFonts w:ascii="Times New Roman" w:hAnsi="Times New Roman" w:cs="Times New Roman"/>
          <w:lang w:val="en-GB"/>
        </w:rPr>
        <w:t xml:space="preserve">here should be at least 18 months between </w:t>
      </w:r>
      <w:r w:rsidR="0052771B">
        <w:rPr>
          <w:rFonts w:ascii="Times New Roman" w:hAnsi="Times New Roman" w:cs="Times New Roman"/>
          <w:lang w:val="en-GB"/>
        </w:rPr>
        <w:lastRenderedPageBreak/>
        <w:t>t</w:t>
      </w:r>
      <w:r w:rsidR="004271DF">
        <w:rPr>
          <w:rFonts w:ascii="Times New Roman" w:hAnsi="Times New Roman" w:cs="Times New Roman"/>
          <w:lang w:val="en-GB"/>
        </w:rPr>
        <w:t xml:space="preserve">he </w:t>
      </w:r>
      <w:r w:rsidR="0052771B">
        <w:rPr>
          <w:rFonts w:ascii="Times New Roman" w:hAnsi="Times New Roman" w:cs="Times New Roman"/>
          <w:lang w:val="en-GB"/>
        </w:rPr>
        <w:t>build</w:t>
      </w:r>
      <w:r w:rsidR="004271DF">
        <w:rPr>
          <w:rFonts w:ascii="Times New Roman" w:hAnsi="Times New Roman" w:cs="Times New Roman"/>
          <w:lang w:val="en-GB"/>
        </w:rPr>
        <w:t xml:space="preserve"> commencing </w:t>
      </w:r>
      <w:r w:rsidR="00702BDC">
        <w:rPr>
          <w:rFonts w:ascii="Times New Roman" w:hAnsi="Times New Roman" w:cs="Times New Roman"/>
          <w:lang w:val="en-GB"/>
        </w:rPr>
        <w:t xml:space="preserve">and the first sale as </w:t>
      </w:r>
      <w:r w:rsidR="0052771B">
        <w:rPr>
          <w:rFonts w:ascii="Times New Roman" w:hAnsi="Times New Roman" w:cs="Times New Roman"/>
          <w:lang w:val="en-GB"/>
        </w:rPr>
        <w:t>retirement</w:t>
      </w:r>
      <w:r w:rsidR="00702BDC">
        <w:rPr>
          <w:rFonts w:ascii="Times New Roman" w:hAnsi="Times New Roman" w:cs="Times New Roman"/>
          <w:lang w:val="en-GB"/>
        </w:rPr>
        <w:t xml:space="preserve"> </w:t>
      </w:r>
      <w:r w:rsidR="0052771B">
        <w:rPr>
          <w:rFonts w:ascii="Times New Roman" w:hAnsi="Times New Roman" w:cs="Times New Roman"/>
          <w:lang w:val="en-GB"/>
        </w:rPr>
        <w:t xml:space="preserve">development are not phased with units only sold once the development is complete. </w:t>
      </w:r>
      <w:r w:rsidR="00702BDC">
        <w:rPr>
          <w:rFonts w:ascii="Times New Roman" w:hAnsi="Times New Roman" w:cs="Times New Roman"/>
          <w:lang w:val="en-GB"/>
        </w:rPr>
        <w:t xml:space="preserve"> </w:t>
      </w:r>
    </w:p>
    <w:p w14:paraId="10F3D168" w14:textId="50473DCF" w:rsidR="00B52F30" w:rsidRDefault="00344C11" w:rsidP="00912F5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T</w:t>
      </w:r>
      <w:r w:rsidR="009C5C02">
        <w:rPr>
          <w:rFonts w:ascii="Times New Roman" w:hAnsi="Times New Roman" w:cs="Times New Roman"/>
          <w:lang w:val="en-GB"/>
        </w:rPr>
        <w:t xml:space="preserve">he </w:t>
      </w:r>
      <w:r w:rsidR="00C851B2" w:rsidRPr="00C851B2">
        <w:rPr>
          <w:rFonts w:ascii="Times New Roman" w:hAnsi="Times New Roman" w:cs="Times New Roman"/>
          <w:lang w:val="en-GB"/>
        </w:rPr>
        <w:t>WPVA</w:t>
      </w:r>
      <w:r w:rsidR="00C851B2" w:rsidRPr="00C851B2">
        <w:rPr>
          <w:rFonts w:ascii="Times New Roman" w:hAnsi="Times New Roman" w:cs="Times New Roman"/>
          <w:lang w:val="en-GB"/>
        </w:rPr>
        <w:t xml:space="preserve"> </w:t>
      </w:r>
      <w:r w:rsidR="009C5C02">
        <w:rPr>
          <w:rFonts w:ascii="Times New Roman" w:hAnsi="Times New Roman" w:cs="Times New Roman"/>
          <w:lang w:val="en-GB"/>
        </w:rPr>
        <w:t xml:space="preserve">will need </w:t>
      </w:r>
      <w:r>
        <w:rPr>
          <w:rFonts w:ascii="Times New Roman" w:hAnsi="Times New Roman" w:cs="Times New Roman"/>
          <w:lang w:val="en-GB"/>
        </w:rPr>
        <w:t>include</w:t>
      </w:r>
      <w:r w:rsidR="009C5C02">
        <w:rPr>
          <w:rFonts w:ascii="Times New Roman" w:hAnsi="Times New Roman" w:cs="Times New Roman"/>
          <w:lang w:val="en-GB"/>
        </w:rPr>
        <w:t xml:space="preserve"> empty property costs</w:t>
      </w:r>
      <w:r>
        <w:rPr>
          <w:rFonts w:ascii="Times New Roman" w:hAnsi="Times New Roman" w:cs="Times New Roman"/>
          <w:lang w:val="en-GB"/>
        </w:rPr>
        <w:t xml:space="preserve"> in relation to older </w:t>
      </w:r>
      <w:r w:rsidR="00DA0742">
        <w:rPr>
          <w:rFonts w:ascii="Times New Roman" w:hAnsi="Times New Roman" w:cs="Times New Roman"/>
          <w:lang w:val="en-GB"/>
        </w:rPr>
        <w:t>people’s</w:t>
      </w:r>
      <w:r>
        <w:rPr>
          <w:rFonts w:ascii="Times New Roman" w:hAnsi="Times New Roman" w:cs="Times New Roman"/>
          <w:lang w:val="en-GB"/>
        </w:rPr>
        <w:t xml:space="preserve"> housing</w:t>
      </w:r>
      <w:r w:rsidR="00DA0742">
        <w:rPr>
          <w:rFonts w:ascii="Times New Roman" w:hAnsi="Times New Roman" w:cs="Times New Roman"/>
          <w:lang w:val="en-GB"/>
        </w:rPr>
        <w:t xml:space="preserve">. As outlined above it takes much longer to sell out a </w:t>
      </w:r>
      <w:r w:rsidR="00B52F30">
        <w:rPr>
          <w:rFonts w:ascii="Times New Roman" w:hAnsi="Times New Roman" w:cs="Times New Roman"/>
          <w:lang w:val="en-GB"/>
        </w:rPr>
        <w:t>retirement</w:t>
      </w:r>
      <w:r w:rsidR="00DA0742">
        <w:rPr>
          <w:rFonts w:ascii="Times New Roman" w:hAnsi="Times New Roman" w:cs="Times New Roman"/>
          <w:lang w:val="en-GB"/>
        </w:rPr>
        <w:t xml:space="preserve"> </w:t>
      </w:r>
      <w:r w:rsidR="00B52F30">
        <w:rPr>
          <w:rFonts w:ascii="Times New Roman" w:hAnsi="Times New Roman" w:cs="Times New Roman"/>
          <w:lang w:val="en-GB"/>
        </w:rPr>
        <w:t>scheme</w:t>
      </w:r>
      <w:r w:rsidR="00DA0742">
        <w:rPr>
          <w:rFonts w:ascii="Times New Roman" w:hAnsi="Times New Roman" w:cs="Times New Roman"/>
          <w:lang w:val="en-GB"/>
        </w:rPr>
        <w:t xml:space="preserve"> and a</w:t>
      </w:r>
      <w:r w:rsidR="00B52F30">
        <w:rPr>
          <w:rFonts w:ascii="Times New Roman" w:hAnsi="Times New Roman" w:cs="Times New Roman"/>
          <w:lang w:val="en-GB"/>
        </w:rPr>
        <w:t>s such</w:t>
      </w:r>
      <w:r w:rsidR="00DA0742">
        <w:rPr>
          <w:rFonts w:ascii="Times New Roman" w:hAnsi="Times New Roman" w:cs="Times New Roman"/>
          <w:lang w:val="en-GB"/>
        </w:rPr>
        <w:t xml:space="preserve"> the </w:t>
      </w:r>
      <w:r w:rsidR="00B52F30">
        <w:rPr>
          <w:rFonts w:ascii="Times New Roman" w:hAnsi="Times New Roman" w:cs="Times New Roman"/>
          <w:lang w:val="en-GB"/>
        </w:rPr>
        <w:t>empty</w:t>
      </w:r>
      <w:r w:rsidR="00DA0742">
        <w:rPr>
          <w:rFonts w:ascii="Times New Roman" w:hAnsi="Times New Roman" w:cs="Times New Roman"/>
          <w:lang w:val="en-GB"/>
        </w:rPr>
        <w:t xml:space="preserve"> property costs are higher.</w:t>
      </w:r>
      <w:r w:rsidR="00B52F30">
        <w:rPr>
          <w:rFonts w:ascii="Times New Roman" w:hAnsi="Times New Roman" w:cs="Times New Roman"/>
          <w:lang w:val="en-GB"/>
        </w:rPr>
        <w:t xml:space="preserve"> HBF </w:t>
      </w:r>
      <w:r w:rsidR="00B52F30" w:rsidRPr="00B52F30">
        <w:rPr>
          <w:rFonts w:ascii="Times New Roman" w:hAnsi="Times New Roman" w:cs="Times New Roman"/>
          <w:lang w:val="en-GB"/>
        </w:rPr>
        <w:t>recommend</w:t>
      </w:r>
      <w:r w:rsidR="00B52F30">
        <w:rPr>
          <w:rFonts w:ascii="Times New Roman" w:hAnsi="Times New Roman" w:cs="Times New Roman"/>
          <w:lang w:val="en-GB"/>
        </w:rPr>
        <w:t>s</w:t>
      </w:r>
      <w:r w:rsidR="00B52F30" w:rsidRPr="00B52F30">
        <w:rPr>
          <w:rFonts w:ascii="Times New Roman" w:hAnsi="Times New Roman" w:cs="Times New Roman"/>
          <w:lang w:val="en-GB"/>
        </w:rPr>
        <w:t xml:space="preserve"> that a standard allowance of £5,000 per unit is assumed as a typical average empty property cost – to cover Council Tax liability on unsold units and service charges</w:t>
      </w:r>
      <w:r w:rsidR="00B52F30">
        <w:rPr>
          <w:rFonts w:ascii="Times New Roman" w:hAnsi="Times New Roman" w:cs="Times New Roman"/>
          <w:lang w:val="en-GB"/>
        </w:rPr>
        <w:t>. For extra care facilities t</w:t>
      </w:r>
      <w:r w:rsidR="00B52F30" w:rsidRPr="00B52F30">
        <w:rPr>
          <w:rFonts w:ascii="Times New Roman" w:hAnsi="Times New Roman" w:cs="Times New Roman"/>
          <w:lang w:val="en-GB"/>
        </w:rPr>
        <w:t>his increases to £10,000 to reflect higher costs particularly in maintaining care, communal and catering facilities, staff and services and reflecting a slower sales rate than Retirement Living.</w:t>
      </w:r>
    </w:p>
    <w:p w14:paraId="6CC6D135" w14:textId="3D58E402" w:rsidR="0075502E" w:rsidRDefault="00991D26" w:rsidP="0075502E">
      <w:pPr>
        <w:widowControl/>
        <w:suppressAutoHyphens w:val="0"/>
        <w:autoSpaceDE/>
        <w:spacing w:after="240" w:line="360" w:lineRule="auto"/>
        <w:jc w:val="both"/>
        <w:rPr>
          <w:rFonts w:ascii="Times New Roman" w:hAnsi="Times New Roman" w:cs="Times New Roman"/>
          <w:b/>
          <w:bCs/>
          <w:lang w:val="en-GB"/>
        </w:rPr>
      </w:pPr>
      <w:r w:rsidRPr="00991D26">
        <w:rPr>
          <w:rFonts w:ascii="Times New Roman" w:hAnsi="Times New Roman" w:cs="Times New Roman"/>
          <w:b/>
          <w:bCs/>
          <w:lang w:val="en-GB"/>
        </w:rPr>
        <w:t xml:space="preserve">Question 18: </w:t>
      </w:r>
      <w:r w:rsidR="0075502E" w:rsidRPr="00991D26">
        <w:rPr>
          <w:rFonts w:ascii="Times New Roman" w:hAnsi="Times New Roman" w:cs="Times New Roman"/>
          <w:b/>
          <w:bCs/>
          <w:lang w:val="en-GB"/>
        </w:rPr>
        <w:t>Do you support or object to Policy H2? What would you add, remove or amend to support it further or</w:t>
      </w:r>
      <w:r w:rsidR="0075502E" w:rsidRPr="00991D26">
        <w:rPr>
          <w:rFonts w:ascii="Times New Roman" w:hAnsi="Times New Roman" w:cs="Times New Roman"/>
          <w:b/>
          <w:bCs/>
          <w:lang w:val="en-GB"/>
        </w:rPr>
        <w:t xml:space="preserve"> </w:t>
      </w:r>
      <w:r w:rsidR="0075502E" w:rsidRPr="00991D26">
        <w:rPr>
          <w:rFonts w:ascii="Times New Roman" w:hAnsi="Times New Roman" w:cs="Times New Roman"/>
          <w:b/>
          <w:bCs/>
          <w:lang w:val="en-GB"/>
        </w:rPr>
        <w:t>to remove your objection?</w:t>
      </w:r>
    </w:p>
    <w:p w14:paraId="4AD19128" w14:textId="58B526D9" w:rsidR="00991D26" w:rsidRDefault="008B5F05" w:rsidP="001C514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HBF are </w:t>
      </w:r>
      <w:r w:rsidR="00792F49">
        <w:rPr>
          <w:rFonts w:ascii="Times New Roman" w:hAnsi="Times New Roman" w:cs="Times New Roman"/>
          <w:lang w:val="en-GB"/>
        </w:rPr>
        <w:t>broadly</w:t>
      </w:r>
      <w:r>
        <w:rPr>
          <w:rFonts w:ascii="Times New Roman" w:hAnsi="Times New Roman" w:cs="Times New Roman"/>
          <w:lang w:val="en-GB"/>
        </w:rPr>
        <w:t xml:space="preserve"> supportive of this </w:t>
      </w:r>
      <w:r w:rsidR="00792F49">
        <w:rPr>
          <w:rFonts w:ascii="Times New Roman" w:hAnsi="Times New Roman" w:cs="Times New Roman"/>
          <w:lang w:val="en-GB"/>
        </w:rPr>
        <w:t>policy</w:t>
      </w:r>
      <w:r>
        <w:rPr>
          <w:rFonts w:ascii="Times New Roman" w:hAnsi="Times New Roman" w:cs="Times New Roman"/>
          <w:lang w:val="en-GB"/>
        </w:rPr>
        <w:t xml:space="preserve"> which seeks to </w:t>
      </w:r>
      <w:r w:rsidR="000731F4">
        <w:rPr>
          <w:rFonts w:ascii="Times New Roman" w:hAnsi="Times New Roman" w:cs="Times New Roman"/>
          <w:lang w:val="en-GB"/>
        </w:rPr>
        <w:t xml:space="preserve">support delivery from SME house builders. </w:t>
      </w:r>
      <w:r w:rsidR="00792F49">
        <w:rPr>
          <w:rFonts w:ascii="Times New Roman" w:hAnsi="Times New Roman" w:cs="Times New Roman"/>
          <w:lang w:val="en-GB"/>
        </w:rPr>
        <w:t>Alongside</w:t>
      </w:r>
      <w:r w:rsidR="000731F4">
        <w:rPr>
          <w:rFonts w:ascii="Times New Roman" w:hAnsi="Times New Roman" w:cs="Times New Roman"/>
          <w:lang w:val="en-GB"/>
        </w:rPr>
        <w:t xml:space="preserve"> this the Council will also need to </w:t>
      </w:r>
      <w:r w:rsidR="001C5149">
        <w:rPr>
          <w:rFonts w:ascii="Times New Roman" w:hAnsi="Times New Roman" w:cs="Times New Roman"/>
          <w:lang w:val="en-GB"/>
        </w:rPr>
        <w:t>ensure</w:t>
      </w:r>
      <w:r w:rsidR="000731F4">
        <w:rPr>
          <w:rFonts w:ascii="Times New Roman" w:hAnsi="Times New Roman" w:cs="Times New Roman"/>
          <w:lang w:val="en-GB"/>
        </w:rPr>
        <w:t xml:space="preserve"> it actually allocates </w:t>
      </w:r>
      <w:r w:rsidR="00A835B0">
        <w:rPr>
          <w:rFonts w:ascii="Times New Roman" w:hAnsi="Times New Roman" w:cs="Times New Roman"/>
          <w:lang w:val="en-GB"/>
        </w:rPr>
        <w:t xml:space="preserve">small sites to support this sector as required by </w:t>
      </w:r>
      <w:r w:rsidR="00792F49">
        <w:rPr>
          <w:rFonts w:ascii="Times New Roman" w:hAnsi="Times New Roman" w:cs="Times New Roman"/>
          <w:lang w:val="en-GB"/>
        </w:rPr>
        <w:t>paragraph</w:t>
      </w:r>
      <w:r w:rsidR="00A835B0">
        <w:rPr>
          <w:rFonts w:ascii="Times New Roman" w:hAnsi="Times New Roman" w:cs="Times New Roman"/>
          <w:lang w:val="en-GB"/>
        </w:rPr>
        <w:t xml:space="preserve"> 7</w:t>
      </w:r>
      <w:r w:rsidR="00792F49">
        <w:rPr>
          <w:rFonts w:ascii="Times New Roman" w:hAnsi="Times New Roman" w:cs="Times New Roman"/>
          <w:lang w:val="en-GB"/>
        </w:rPr>
        <w:t>3 of the NPPF.</w:t>
      </w:r>
      <w:r w:rsidR="00A835B0">
        <w:rPr>
          <w:rFonts w:ascii="Times New Roman" w:hAnsi="Times New Roman" w:cs="Times New Roman"/>
          <w:lang w:val="en-GB"/>
        </w:rPr>
        <w:t xml:space="preserve"> </w:t>
      </w:r>
      <w:r w:rsidR="00532D24">
        <w:rPr>
          <w:rFonts w:ascii="Times New Roman" w:hAnsi="Times New Roman" w:cs="Times New Roman"/>
          <w:lang w:val="en-GB"/>
        </w:rPr>
        <w:t>As set out in our responses to questions 5</w:t>
      </w:r>
      <w:r w:rsidR="0079770F">
        <w:rPr>
          <w:rFonts w:ascii="Times New Roman" w:hAnsi="Times New Roman" w:cs="Times New Roman"/>
          <w:lang w:val="en-GB"/>
        </w:rPr>
        <w:t>2</w:t>
      </w:r>
      <w:r w:rsidR="00107D0B">
        <w:rPr>
          <w:rFonts w:ascii="Times New Roman" w:hAnsi="Times New Roman" w:cs="Times New Roman"/>
          <w:lang w:val="en-GB"/>
        </w:rPr>
        <w:t xml:space="preserve"> and 81 on p</w:t>
      </w:r>
      <w:r w:rsidR="00792F49">
        <w:rPr>
          <w:rFonts w:ascii="Times New Roman" w:hAnsi="Times New Roman" w:cs="Times New Roman"/>
          <w:lang w:val="en-GB"/>
        </w:rPr>
        <w:t>olicies</w:t>
      </w:r>
      <w:r w:rsidR="00107D0B">
        <w:rPr>
          <w:rFonts w:ascii="Times New Roman" w:hAnsi="Times New Roman" w:cs="Times New Roman"/>
          <w:lang w:val="en-GB"/>
        </w:rPr>
        <w:t xml:space="preserve"> C2 and B2 we do not consider </w:t>
      </w:r>
      <w:r w:rsidR="00792F49">
        <w:rPr>
          <w:rFonts w:ascii="Times New Roman" w:hAnsi="Times New Roman" w:cs="Times New Roman"/>
          <w:lang w:val="en-GB"/>
        </w:rPr>
        <w:t>it</w:t>
      </w:r>
      <w:r w:rsidR="00107D0B">
        <w:rPr>
          <w:rFonts w:ascii="Times New Roman" w:hAnsi="Times New Roman" w:cs="Times New Roman"/>
          <w:lang w:val="en-GB"/>
        </w:rPr>
        <w:t xml:space="preserve"> sound to </w:t>
      </w:r>
      <w:r w:rsidR="00792F49">
        <w:rPr>
          <w:rFonts w:ascii="Times New Roman" w:hAnsi="Times New Roman" w:cs="Times New Roman"/>
          <w:lang w:val="en-GB"/>
        </w:rPr>
        <w:t>require</w:t>
      </w:r>
      <w:r w:rsidR="00107D0B">
        <w:rPr>
          <w:rFonts w:ascii="Times New Roman" w:hAnsi="Times New Roman" w:cs="Times New Roman"/>
          <w:lang w:val="en-GB"/>
        </w:rPr>
        <w:t xml:space="preserve"> standards above those set out in building regulations or other legislation. As such parts </w:t>
      </w:r>
      <w:r>
        <w:rPr>
          <w:rFonts w:ascii="Times New Roman" w:hAnsi="Times New Roman" w:cs="Times New Roman"/>
          <w:lang w:val="en-GB"/>
        </w:rPr>
        <w:t xml:space="preserve">5 and 6 should be deleted. </w:t>
      </w:r>
    </w:p>
    <w:p w14:paraId="636B994B" w14:textId="4425FEEC" w:rsidR="00DD0825" w:rsidRDefault="00DD0825" w:rsidP="00DD0825">
      <w:pPr>
        <w:widowControl/>
        <w:suppressAutoHyphens w:val="0"/>
        <w:autoSpaceDE/>
        <w:spacing w:after="240" w:line="360" w:lineRule="auto"/>
        <w:jc w:val="both"/>
        <w:rPr>
          <w:rFonts w:ascii="Times New Roman" w:hAnsi="Times New Roman" w:cs="Times New Roman"/>
          <w:b/>
          <w:bCs/>
          <w:lang w:val="en-GB"/>
        </w:rPr>
      </w:pPr>
      <w:r w:rsidRPr="00BA2E06">
        <w:rPr>
          <w:rFonts w:ascii="Times New Roman" w:hAnsi="Times New Roman" w:cs="Times New Roman"/>
          <w:b/>
          <w:bCs/>
          <w:lang w:val="en-GB"/>
        </w:rPr>
        <w:t>Question 22</w:t>
      </w:r>
      <w:r w:rsidRPr="00BA2E06">
        <w:rPr>
          <w:rFonts w:ascii="Times New Roman" w:hAnsi="Times New Roman" w:cs="Times New Roman"/>
          <w:b/>
          <w:bCs/>
          <w:lang w:val="en-GB"/>
        </w:rPr>
        <w:t xml:space="preserve">: </w:t>
      </w:r>
      <w:r w:rsidRPr="00BA2E06">
        <w:rPr>
          <w:rFonts w:ascii="Times New Roman" w:hAnsi="Times New Roman" w:cs="Times New Roman"/>
          <w:b/>
          <w:bCs/>
          <w:lang w:val="en-GB"/>
        </w:rPr>
        <w:t>Do you support or object to Policy H4? What would you add, remove or amend to support it further or</w:t>
      </w:r>
      <w:r w:rsidRPr="00BA2E06">
        <w:rPr>
          <w:rFonts w:ascii="Times New Roman" w:hAnsi="Times New Roman" w:cs="Times New Roman"/>
          <w:b/>
          <w:bCs/>
          <w:lang w:val="en-GB"/>
        </w:rPr>
        <w:t xml:space="preserve"> </w:t>
      </w:r>
      <w:r w:rsidRPr="00BA2E06">
        <w:rPr>
          <w:rFonts w:ascii="Times New Roman" w:hAnsi="Times New Roman" w:cs="Times New Roman"/>
          <w:b/>
          <w:bCs/>
          <w:lang w:val="en-GB"/>
        </w:rPr>
        <w:t>to remove your objection?</w:t>
      </w:r>
    </w:p>
    <w:p w14:paraId="14A97952" w14:textId="2D329254" w:rsidR="00BA2E06" w:rsidRDefault="00790C2C" w:rsidP="00223A4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The Council evidence on housing needs </w:t>
      </w:r>
      <w:r w:rsidR="00CE2F86">
        <w:rPr>
          <w:rFonts w:ascii="Times New Roman" w:hAnsi="Times New Roman" w:cs="Times New Roman"/>
          <w:lang w:val="en-GB"/>
        </w:rPr>
        <w:t xml:space="preserve">from the Self Build register is that </w:t>
      </w:r>
      <w:r w:rsidR="00873200">
        <w:rPr>
          <w:rFonts w:ascii="Times New Roman" w:hAnsi="Times New Roman" w:cs="Times New Roman"/>
          <w:lang w:val="en-GB"/>
        </w:rPr>
        <w:t xml:space="preserve">since 2016 there has bene an </w:t>
      </w:r>
      <w:r w:rsidR="002109CE">
        <w:rPr>
          <w:rFonts w:ascii="Times New Roman" w:hAnsi="Times New Roman" w:cs="Times New Roman"/>
          <w:lang w:val="en-GB"/>
        </w:rPr>
        <w:t>expressed</w:t>
      </w:r>
      <w:r w:rsidR="00873200">
        <w:rPr>
          <w:rFonts w:ascii="Times New Roman" w:hAnsi="Times New Roman" w:cs="Times New Roman"/>
          <w:lang w:val="en-GB"/>
        </w:rPr>
        <w:t xml:space="preserve"> need for 162 </w:t>
      </w:r>
      <w:r w:rsidR="002109CE">
        <w:rPr>
          <w:rFonts w:ascii="Times New Roman" w:hAnsi="Times New Roman" w:cs="Times New Roman"/>
          <w:lang w:val="en-GB"/>
        </w:rPr>
        <w:t xml:space="preserve">plots – around 16 per year. </w:t>
      </w:r>
      <w:r w:rsidR="003C18E5">
        <w:rPr>
          <w:rFonts w:ascii="Times New Roman" w:hAnsi="Times New Roman" w:cs="Times New Roman"/>
          <w:lang w:val="en-GB"/>
        </w:rPr>
        <w:t>However, mo</w:t>
      </w:r>
      <w:r w:rsidR="00F24A59">
        <w:rPr>
          <w:rFonts w:ascii="Times New Roman" w:hAnsi="Times New Roman" w:cs="Times New Roman"/>
          <w:lang w:val="en-GB"/>
        </w:rPr>
        <w:t>re</w:t>
      </w:r>
      <w:r w:rsidR="003C18E5">
        <w:rPr>
          <w:rFonts w:ascii="Times New Roman" w:hAnsi="Times New Roman" w:cs="Times New Roman"/>
          <w:lang w:val="en-GB"/>
        </w:rPr>
        <w:t xml:space="preserve"> </w:t>
      </w:r>
      <w:r w:rsidR="00F24A59">
        <w:rPr>
          <w:rFonts w:ascii="Times New Roman" w:hAnsi="Times New Roman" w:cs="Times New Roman"/>
          <w:lang w:val="en-GB"/>
        </w:rPr>
        <w:t>evidence</w:t>
      </w:r>
      <w:r w:rsidR="003C18E5">
        <w:rPr>
          <w:rFonts w:ascii="Times New Roman" w:hAnsi="Times New Roman" w:cs="Times New Roman"/>
          <w:lang w:val="en-GB"/>
        </w:rPr>
        <w:t xml:space="preserve"> </w:t>
      </w:r>
      <w:r w:rsidR="00F24A59">
        <w:rPr>
          <w:rFonts w:ascii="Times New Roman" w:hAnsi="Times New Roman" w:cs="Times New Roman"/>
          <w:lang w:val="en-GB"/>
        </w:rPr>
        <w:t>must be</w:t>
      </w:r>
      <w:r w:rsidR="003C18E5">
        <w:rPr>
          <w:rFonts w:ascii="Times New Roman" w:hAnsi="Times New Roman" w:cs="Times New Roman"/>
          <w:lang w:val="en-GB"/>
        </w:rPr>
        <w:t xml:space="preserve"> provided as to </w:t>
      </w:r>
      <w:r w:rsidR="00F24A59">
        <w:rPr>
          <w:rFonts w:ascii="Times New Roman" w:hAnsi="Times New Roman" w:cs="Times New Roman"/>
          <w:lang w:val="en-GB"/>
        </w:rPr>
        <w:t>how</w:t>
      </w:r>
      <w:r w:rsidR="003C18E5">
        <w:rPr>
          <w:rFonts w:ascii="Times New Roman" w:hAnsi="Times New Roman" w:cs="Times New Roman"/>
          <w:lang w:val="en-GB"/>
        </w:rPr>
        <w:t xml:space="preserve"> many </w:t>
      </w:r>
      <w:r w:rsidR="00F24A59">
        <w:rPr>
          <w:rFonts w:ascii="Times New Roman" w:hAnsi="Times New Roman" w:cs="Times New Roman"/>
          <w:lang w:val="en-GB"/>
        </w:rPr>
        <w:t>self-build</w:t>
      </w:r>
      <w:r w:rsidR="003C18E5">
        <w:rPr>
          <w:rFonts w:ascii="Times New Roman" w:hAnsi="Times New Roman" w:cs="Times New Roman"/>
          <w:lang w:val="en-GB"/>
        </w:rPr>
        <w:t xml:space="preserve"> plots have come </w:t>
      </w:r>
      <w:r w:rsidR="00F24A59">
        <w:rPr>
          <w:rFonts w:ascii="Times New Roman" w:hAnsi="Times New Roman" w:cs="Times New Roman"/>
          <w:lang w:val="en-GB"/>
        </w:rPr>
        <w:t>forward</w:t>
      </w:r>
      <w:r w:rsidR="003C18E5">
        <w:rPr>
          <w:rFonts w:ascii="Times New Roman" w:hAnsi="Times New Roman" w:cs="Times New Roman"/>
          <w:lang w:val="en-GB"/>
        </w:rPr>
        <w:t xml:space="preserve"> over </w:t>
      </w:r>
      <w:r w:rsidR="00F24A59">
        <w:rPr>
          <w:rFonts w:ascii="Times New Roman" w:hAnsi="Times New Roman" w:cs="Times New Roman"/>
          <w:lang w:val="en-GB"/>
        </w:rPr>
        <w:t>th</w:t>
      </w:r>
      <w:r w:rsidR="00223A40">
        <w:rPr>
          <w:rFonts w:ascii="Times New Roman" w:hAnsi="Times New Roman" w:cs="Times New Roman"/>
          <w:lang w:val="en-GB"/>
        </w:rPr>
        <w:t>e last 10 year</w:t>
      </w:r>
      <w:r w:rsidR="003C18E5">
        <w:rPr>
          <w:rFonts w:ascii="Times New Roman" w:hAnsi="Times New Roman" w:cs="Times New Roman"/>
          <w:lang w:val="en-GB"/>
        </w:rPr>
        <w:t xml:space="preserve"> and whether windfall is largely </w:t>
      </w:r>
      <w:r w:rsidR="00F24A59">
        <w:rPr>
          <w:rFonts w:ascii="Times New Roman" w:hAnsi="Times New Roman" w:cs="Times New Roman"/>
          <w:lang w:val="en-GB"/>
        </w:rPr>
        <w:t>meeting</w:t>
      </w:r>
      <w:r w:rsidR="003C18E5">
        <w:rPr>
          <w:rFonts w:ascii="Times New Roman" w:hAnsi="Times New Roman" w:cs="Times New Roman"/>
          <w:lang w:val="en-GB"/>
        </w:rPr>
        <w:t xml:space="preserve"> </w:t>
      </w:r>
      <w:r w:rsidR="00F24A59">
        <w:rPr>
          <w:rFonts w:ascii="Times New Roman" w:hAnsi="Times New Roman" w:cs="Times New Roman"/>
          <w:lang w:val="en-GB"/>
        </w:rPr>
        <w:t>needs</w:t>
      </w:r>
      <w:r w:rsidR="003C18E5">
        <w:rPr>
          <w:rFonts w:ascii="Times New Roman" w:hAnsi="Times New Roman" w:cs="Times New Roman"/>
          <w:lang w:val="en-GB"/>
        </w:rPr>
        <w:t xml:space="preserve"> for plots in Swale. The </w:t>
      </w:r>
      <w:r w:rsidR="00CF5DB4">
        <w:rPr>
          <w:rFonts w:ascii="Times New Roman" w:hAnsi="Times New Roman" w:cs="Times New Roman"/>
          <w:lang w:val="en-GB"/>
        </w:rPr>
        <w:t xml:space="preserve">fact </w:t>
      </w:r>
      <w:r w:rsidR="00F24A59">
        <w:rPr>
          <w:rFonts w:ascii="Times New Roman" w:hAnsi="Times New Roman" w:cs="Times New Roman"/>
          <w:lang w:val="en-GB"/>
        </w:rPr>
        <w:t>t</w:t>
      </w:r>
      <w:r w:rsidR="00CF5DB4">
        <w:rPr>
          <w:rFonts w:ascii="Times New Roman" w:hAnsi="Times New Roman" w:cs="Times New Roman"/>
          <w:lang w:val="en-GB"/>
        </w:rPr>
        <w:t xml:space="preserve">hat the demand for plots appears </w:t>
      </w:r>
      <w:r w:rsidR="00223A40">
        <w:rPr>
          <w:rFonts w:ascii="Times New Roman" w:hAnsi="Times New Roman" w:cs="Times New Roman"/>
          <w:lang w:val="en-GB"/>
        </w:rPr>
        <w:t>to</w:t>
      </w:r>
      <w:r w:rsidR="00CF5DB4">
        <w:rPr>
          <w:rFonts w:ascii="Times New Roman" w:hAnsi="Times New Roman" w:cs="Times New Roman"/>
          <w:lang w:val="en-GB"/>
        </w:rPr>
        <w:t xml:space="preserve"> be </w:t>
      </w:r>
      <w:r w:rsidR="00F24A59">
        <w:rPr>
          <w:rFonts w:ascii="Times New Roman" w:hAnsi="Times New Roman" w:cs="Times New Roman"/>
          <w:lang w:val="en-GB"/>
        </w:rPr>
        <w:t>waning</w:t>
      </w:r>
      <w:r w:rsidR="00CF5DB4">
        <w:rPr>
          <w:rFonts w:ascii="Times New Roman" w:hAnsi="Times New Roman" w:cs="Times New Roman"/>
          <w:lang w:val="en-GB"/>
        </w:rPr>
        <w:t xml:space="preserve"> </w:t>
      </w:r>
      <w:r w:rsidR="00F24A59">
        <w:rPr>
          <w:rFonts w:ascii="Times New Roman" w:hAnsi="Times New Roman" w:cs="Times New Roman"/>
          <w:lang w:val="en-GB"/>
        </w:rPr>
        <w:t>would</w:t>
      </w:r>
      <w:r w:rsidR="00CF5DB4">
        <w:rPr>
          <w:rFonts w:ascii="Times New Roman" w:hAnsi="Times New Roman" w:cs="Times New Roman"/>
          <w:lang w:val="en-GB"/>
        </w:rPr>
        <w:t xml:space="preserve"> suggest that those looking to find a plot either have done so and there is little </w:t>
      </w:r>
      <w:r w:rsidR="00EB2FE1">
        <w:rPr>
          <w:rFonts w:ascii="Times New Roman" w:hAnsi="Times New Roman" w:cs="Times New Roman"/>
          <w:lang w:val="en-GB"/>
        </w:rPr>
        <w:t>need</w:t>
      </w:r>
      <w:r w:rsidR="00CF5DB4">
        <w:rPr>
          <w:rFonts w:ascii="Times New Roman" w:hAnsi="Times New Roman" w:cs="Times New Roman"/>
          <w:lang w:val="en-GB"/>
        </w:rPr>
        <w:t xml:space="preserve"> for </w:t>
      </w:r>
      <w:r w:rsidR="00223A40">
        <w:rPr>
          <w:rFonts w:ascii="Times New Roman" w:hAnsi="Times New Roman" w:cs="Times New Roman"/>
          <w:lang w:val="en-GB"/>
        </w:rPr>
        <w:t>plots</w:t>
      </w:r>
      <w:r w:rsidR="00CF5DB4">
        <w:rPr>
          <w:rFonts w:ascii="Times New Roman" w:hAnsi="Times New Roman" w:cs="Times New Roman"/>
          <w:lang w:val="en-GB"/>
        </w:rPr>
        <w:t xml:space="preserve"> to be provided</w:t>
      </w:r>
      <w:r w:rsidR="005F66BB">
        <w:rPr>
          <w:rFonts w:ascii="Times New Roman" w:hAnsi="Times New Roman" w:cs="Times New Roman"/>
          <w:lang w:val="en-GB"/>
        </w:rPr>
        <w:t xml:space="preserve"> </w:t>
      </w:r>
      <w:r w:rsidR="00CF5DB4">
        <w:rPr>
          <w:rFonts w:ascii="Times New Roman" w:hAnsi="Times New Roman" w:cs="Times New Roman"/>
          <w:lang w:val="en-GB"/>
        </w:rPr>
        <w:t>on</w:t>
      </w:r>
      <w:r w:rsidR="00F24A59">
        <w:rPr>
          <w:rFonts w:ascii="Times New Roman" w:hAnsi="Times New Roman" w:cs="Times New Roman"/>
          <w:lang w:val="en-GB"/>
        </w:rPr>
        <w:t xml:space="preserve"> development sites of 20 or more </w:t>
      </w:r>
      <w:r w:rsidR="00223A40">
        <w:rPr>
          <w:rFonts w:ascii="Times New Roman" w:hAnsi="Times New Roman" w:cs="Times New Roman"/>
          <w:lang w:val="en-GB"/>
        </w:rPr>
        <w:t>homes</w:t>
      </w:r>
      <w:r w:rsidR="00F24A59">
        <w:rPr>
          <w:rFonts w:ascii="Times New Roman" w:hAnsi="Times New Roman" w:cs="Times New Roman"/>
          <w:lang w:val="en-GB"/>
        </w:rPr>
        <w:t xml:space="preserve">. </w:t>
      </w:r>
      <w:r w:rsidR="00EB2FE1">
        <w:rPr>
          <w:rFonts w:ascii="Times New Roman" w:hAnsi="Times New Roman" w:cs="Times New Roman"/>
          <w:lang w:val="en-GB"/>
        </w:rPr>
        <w:t>If the Council are to have such a policy, it must be justified and at present this is not the case.</w:t>
      </w:r>
    </w:p>
    <w:p w14:paraId="29EDDB05" w14:textId="07DCD9EF" w:rsidR="00EB2FE1" w:rsidRDefault="00EB2FE1" w:rsidP="00EB2FE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I</w:t>
      </w:r>
      <w:r w:rsidR="004A41AC" w:rsidRPr="004A41AC">
        <w:rPr>
          <w:rFonts w:ascii="Times New Roman" w:hAnsi="Times New Roman" w:cs="Times New Roman"/>
          <w:lang w:val="en-GB"/>
        </w:rPr>
        <w:t xml:space="preserve">f there is demand for self-build </w:t>
      </w:r>
      <w:r w:rsidRPr="004A41AC">
        <w:rPr>
          <w:rFonts w:ascii="Times New Roman" w:hAnsi="Times New Roman" w:cs="Times New Roman"/>
          <w:lang w:val="en-GB"/>
        </w:rPr>
        <w:t>homes,</w:t>
      </w:r>
      <w:r w:rsidR="004A41AC" w:rsidRPr="004A41AC">
        <w:rPr>
          <w:rFonts w:ascii="Times New Roman" w:hAnsi="Times New Roman" w:cs="Times New Roman"/>
          <w:lang w:val="en-GB"/>
        </w:rPr>
        <w:t xml:space="preserve"> then the Council must first consider alternative options for providing self-build plots it has considered before placing the burden of meeting these needs on house builders. PPG sets in paragraph 57-025 that planning authorities should not only use planning policies to meet needs but also whether they could use their own land to meet those needs, how have they engaged directly with landowners to try and bring forward specific sites for self-build. It is essential that these mechanism are considered prior to setting requirements in local plans for plot delivery on larger sites. </w:t>
      </w:r>
    </w:p>
    <w:p w14:paraId="6D44EAD1" w14:textId="4416A985" w:rsidR="00EB2FE1" w:rsidRDefault="005F2B60" w:rsidP="00EB2FE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T</w:t>
      </w:r>
      <w:r w:rsidR="004A41AC" w:rsidRPr="00EB2FE1">
        <w:rPr>
          <w:rFonts w:ascii="Times New Roman" w:hAnsi="Times New Roman" w:cs="Times New Roman"/>
          <w:lang w:val="en-GB"/>
        </w:rPr>
        <w:t xml:space="preserve">he Council also needs to consider the difficulties in providing self-build plots on new housing developments and how there are coordinated with the development of a wider site. At any one time, there are often multiple contractors and large machinery operating on-site and therefore from both a practical and health and safety perspective, it is difficult to envisage the development of single plots by individuals operating alongside this construction activity. It may also be the case that it is unfeasible to provide self-build plots on sites taking into </w:t>
      </w:r>
      <w:r w:rsidR="004A41AC" w:rsidRPr="00EB2FE1">
        <w:rPr>
          <w:rFonts w:ascii="Times New Roman" w:hAnsi="Times New Roman" w:cs="Times New Roman"/>
          <w:lang w:val="en-GB"/>
        </w:rPr>
        <w:lastRenderedPageBreak/>
        <w:t xml:space="preserve">account topography and access and the degree to which self-build and the rest of the side can be developed separately. HBF would therefore recommend that in part 2 of the policy that where developer can show that provision of plots is either unfeasible or unviable then they will not need to be provided.  </w:t>
      </w:r>
    </w:p>
    <w:p w14:paraId="1904E2AF" w14:textId="6EDAFB36" w:rsidR="005F2B60" w:rsidRDefault="005F2B60" w:rsidP="00EB2FE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Finally,</w:t>
      </w:r>
      <w:r w:rsidR="00824048">
        <w:rPr>
          <w:rFonts w:ascii="Times New Roman" w:hAnsi="Times New Roman" w:cs="Times New Roman"/>
          <w:lang w:val="en-GB"/>
        </w:rPr>
        <w:t xml:space="preserve"> as with policies on self-build</w:t>
      </w:r>
      <w:r>
        <w:rPr>
          <w:rFonts w:ascii="Times New Roman" w:hAnsi="Times New Roman" w:cs="Times New Roman"/>
          <w:lang w:val="en-GB"/>
        </w:rPr>
        <w:t xml:space="preserve"> </w:t>
      </w:r>
      <w:r w:rsidR="00824048">
        <w:rPr>
          <w:rFonts w:ascii="Times New Roman" w:hAnsi="Times New Roman" w:cs="Times New Roman"/>
          <w:lang w:val="en-GB"/>
        </w:rPr>
        <w:t xml:space="preserve">in other local plans </w:t>
      </w:r>
      <w:r>
        <w:rPr>
          <w:rFonts w:ascii="Times New Roman" w:hAnsi="Times New Roman" w:cs="Times New Roman"/>
          <w:lang w:val="en-GB"/>
        </w:rPr>
        <w:t xml:space="preserve">the Council will need </w:t>
      </w:r>
      <w:r w:rsidR="0094320A">
        <w:rPr>
          <w:rFonts w:ascii="Times New Roman" w:hAnsi="Times New Roman" w:cs="Times New Roman"/>
          <w:lang w:val="en-GB"/>
        </w:rPr>
        <w:t xml:space="preserve">set out what happens should the </w:t>
      </w:r>
      <w:r w:rsidR="009F0069">
        <w:rPr>
          <w:rFonts w:ascii="Times New Roman" w:hAnsi="Times New Roman" w:cs="Times New Roman"/>
          <w:lang w:val="en-GB"/>
        </w:rPr>
        <w:t>development</w:t>
      </w:r>
      <w:r w:rsidR="0094320A">
        <w:rPr>
          <w:rFonts w:ascii="Times New Roman" w:hAnsi="Times New Roman" w:cs="Times New Roman"/>
          <w:lang w:val="en-GB"/>
        </w:rPr>
        <w:t xml:space="preserve"> not b</w:t>
      </w:r>
      <w:r w:rsidR="009F0069">
        <w:rPr>
          <w:rFonts w:ascii="Times New Roman" w:hAnsi="Times New Roman" w:cs="Times New Roman"/>
          <w:lang w:val="en-GB"/>
        </w:rPr>
        <w:t>e</w:t>
      </w:r>
      <w:r w:rsidR="0094320A">
        <w:rPr>
          <w:rFonts w:ascii="Times New Roman" w:hAnsi="Times New Roman" w:cs="Times New Roman"/>
          <w:lang w:val="en-GB"/>
        </w:rPr>
        <w:t xml:space="preserve"> able to sell these plots. HBF </w:t>
      </w:r>
      <w:r w:rsidR="009F0069">
        <w:rPr>
          <w:rFonts w:ascii="Times New Roman" w:hAnsi="Times New Roman" w:cs="Times New Roman"/>
          <w:lang w:val="en-GB"/>
        </w:rPr>
        <w:t>recommend</w:t>
      </w:r>
      <w:r w:rsidR="0094320A">
        <w:rPr>
          <w:rFonts w:ascii="Times New Roman" w:hAnsi="Times New Roman" w:cs="Times New Roman"/>
          <w:lang w:val="en-GB"/>
        </w:rPr>
        <w:t xml:space="preserve"> that </w:t>
      </w:r>
      <w:r w:rsidR="009F0069">
        <w:rPr>
          <w:rFonts w:ascii="Times New Roman" w:hAnsi="Times New Roman" w:cs="Times New Roman"/>
          <w:lang w:val="en-GB"/>
        </w:rPr>
        <w:t xml:space="preserve">the policy state after a 6-month marketing period any plots not sold revert back to the developer to be build out and sold as market housing. </w:t>
      </w:r>
    </w:p>
    <w:p w14:paraId="0CDB0763" w14:textId="31FB0AFE" w:rsidR="004A41AC" w:rsidRPr="00EB2FE1" w:rsidRDefault="004A41AC" w:rsidP="00EB2FE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sidRPr="00EB2FE1">
        <w:rPr>
          <w:rFonts w:ascii="Times New Roman" w:hAnsi="Times New Roman" w:cs="Times New Roman"/>
          <w:lang w:val="en-GB"/>
        </w:rPr>
        <w:t>In conclusion</w:t>
      </w:r>
      <w:r w:rsidR="00EB2FE1">
        <w:rPr>
          <w:rFonts w:ascii="Times New Roman" w:hAnsi="Times New Roman" w:cs="Times New Roman"/>
          <w:lang w:val="en-GB"/>
        </w:rPr>
        <w:t>,</w:t>
      </w:r>
      <w:r w:rsidRPr="00EB2FE1">
        <w:rPr>
          <w:rFonts w:ascii="Times New Roman" w:hAnsi="Times New Roman" w:cs="Times New Roman"/>
          <w:lang w:val="en-GB"/>
        </w:rPr>
        <w:t xml:space="preserve"> HBF does not consider this policy to be justified or effective at present. Without further evidence the HBF would suggest that the requirement in this policy has not been robustly justified. We would also suggest that the Council consider allocating specific sites for self-builders which are more likely to meet the needs of those households as well as avoiding the potentially harmful impacts of mixing the delivery of self-build units alongside commercial housebuilding.</w:t>
      </w:r>
    </w:p>
    <w:p w14:paraId="4869B200" w14:textId="12CFB70D" w:rsidR="00AC09AA" w:rsidRPr="00380ED8" w:rsidRDefault="00380ED8" w:rsidP="00380ED8">
      <w:pPr>
        <w:widowControl/>
        <w:suppressAutoHyphens w:val="0"/>
        <w:autoSpaceDE/>
        <w:spacing w:after="240" w:line="360" w:lineRule="auto"/>
        <w:jc w:val="both"/>
        <w:rPr>
          <w:rFonts w:ascii="Times New Roman" w:hAnsi="Times New Roman" w:cs="Times New Roman"/>
          <w:b/>
          <w:bCs/>
          <w:lang w:val="en-GB"/>
        </w:rPr>
      </w:pPr>
      <w:r w:rsidRPr="00380ED8">
        <w:rPr>
          <w:rFonts w:ascii="Times New Roman" w:hAnsi="Times New Roman" w:cs="Times New Roman"/>
          <w:b/>
          <w:bCs/>
          <w:lang w:val="en-GB"/>
        </w:rPr>
        <w:t>Question 52</w:t>
      </w:r>
      <w:r w:rsidRPr="00380ED8">
        <w:rPr>
          <w:rFonts w:ascii="Times New Roman" w:hAnsi="Times New Roman" w:cs="Times New Roman"/>
          <w:b/>
          <w:bCs/>
          <w:lang w:val="en-GB"/>
        </w:rPr>
        <w:t xml:space="preserve">: </w:t>
      </w:r>
      <w:r w:rsidRPr="00380ED8">
        <w:rPr>
          <w:rFonts w:ascii="Times New Roman" w:hAnsi="Times New Roman" w:cs="Times New Roman"/>
          <w:b/>
          <w:bCs/>
          <w:lang w:val="en-GB"/>
        </w:rPr>
        <w:t>Do you support or object to Policy C2? What would you add, remove or amend to support it further or</w:t>
      </w:r>
      <w:r w:rsidRPr="00380ED8">
        <w:rPr>
          <w:rFonts w:ascii="Times New Roman" w:hAnsi="Times New Roman" w:cs="Times New Roman"/>
          <w:b/>
          <w:bCs/>
          <w:lang w:val="en-GB"/>
        </w:rPr>
        <w:t xml:space="preserve"> </w:t>
      </w:r>
      <w:r w:rsidRPr="00380ED8">
        <w:rPr>
          <w:rFonts w:ascii="Times New Roman" w:hAnsi="Times New Roman" w:cs="Times New Roman"/>
          <w:b/>
          <w:bCs/>
          <w:lang w:val="en-GB"/>
        </w:rPr>
        <w:t>to remove your objection?</w:t>
      </w:r>
    </w:p>
    <w:p w14:paraId="0B9D1493" w14:textId="72C7CB15" w:rsidR="0037259C" w:rsidRPr="0037259C" w:rsidRDefault="00380ED8"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HBF do not consider this policy to be </w:t>
      </w:r>
      <w:r w:rsidR="00C518B9">
        <w:rPr>
          <w:rFonts w:ascii="Times New Roman" w:hAnsi="Times New Roman" w:cs="Times New Roman"/>
          <w:bCs/>
          <w:lang w:val="en-GB"/>
        </w:rPr>
        <w:t>consistent</w:t>
      </w:r>
      <w:r>
        <w:rPr>
          <w:rFonts w:ascii="Times New Roman" w:hAnsi="Times New Roman" w:cs="Times New Roman"/>
          <w:bCs/>
          <w:lang w:val="en-GB"/>
        </w:rPr>
        <w:t xml:space="preserve"> with natio</w:t>
      </w:r>
      <w:r w:rsidR="00C518B9">
        <w:rPr>
          <w:rFonts w:ascii="Times New Roman" w:hAnsi="Times New Roman" w:cs="Times New Roman"/>
          <w:bCs/>
          <w:lang w:val="en-GB"/>
        </w:rPr>
        <w:t xml:space="preserve">nal </w:t>
      </w:r>
      <w:r w:rsidR="007D7222">
        <w:rPr>
          <w:rFonts w:ascii="Times New Roman" w:hAnsi="Times New Roman" w:cs="Times New Roman"/>
          <w:bCs/>
          <w:lang w:val="en-GB"/>
        </w:rPr>
        <w:t>policy,</w:t>
      </w:r>
      <w:r w:rsidR="00C518B9">
        <w:rPr>
          <w:rFonts w:ascii="Times New Roman" w:hAnsi="Times New Roman" w:cs="Times New Roman"/>
          <w:bCs/>
          <w:lang w:val="en-GB"/>
        </w:rPr>
        <w:t xml:space="preserve"> </w:t>
      </w:r>
      <w:r>
        <w:rPr>
          <w:rFonts w:ascii="Times New Roman" w:hAnsi="Times New Roman" w:cs="Times New Roman"/>
          <w:bCs/>
          <w:lang w:val="en-GB"/>
        </w:rPr>
        <w:t xml:space="preserve">and it should be </w:t>
      </w:r>
      <w:r w:rsidR="00C518B9">
        <w:rPr>
          <w:rFonts w:ascii="Times New Roman" w:hAnsi="Times New Roman" w:cs="Times New Roman"/>
          <w:bCs/>
          <w:lang w:val="en-GB"/>
        </w:rPr>
        <w:t>deleted</w:t>
      </w:r>
      <w:r w:rsidR="007D7222">
        <w:rPr>
          <w:rFonts w:ascii="Times New Roman" w:hAnsi="Times New Roman" w:cs="Times New Roman"/>
          <w:bCs/>
          <w:lang w:val="en-GB"/>
        </w:rPr>
        <w:t>.</w:t>
      </w:r>
      <w:r>
        <w:rPr>
          <w:rFonts w:ascii="Times New Roman" w:hAnsi="Times New Roman" w:cs="Times New Roman"/>
          <w:bCs/>
          <w:lang w:val="en-GB"/>
        </w:rPr>
        <w:t xml:space="preserve"> </w:t>
      </w:r>
      <w:r w:rsidR="0037259C" w:rsidRPr="0037259C">
        <w:rPr>
          <w:rFonts w:ascii="Times New Roman" w:hAnsi="Times New Roman" w:cs="Times New Roman"/>
          <w:bCs/>
          <w:lang w:val="en-GB"/>
        </w:rPr>
        <w:t xml:space="preserve">As se out above while very little weight can be attached to the current consultation on the NPPF careful attention will need to be given to the </w:t>
      </w:r>
      <w:r w:rsidR="0037259C" w:rsidRPr="0037259C">
        <w:rPr>
          <w:rFonts w:ascii="Times New Roman" w:hAnsi="Times New Roman" w:cs="Times New Roman"/>
          <w:bCs/>
        </w:rPr>
        <w:t>outcomes</w:t>
      </w:r>
      <w:r w:rsidR="0037259C" w:rsidRPr="0037259C">
        <w:rPr>
          <w:rFonts w:ascii="Times New Roman" w:hAnsi="Times New Roman" w:cs="Times New Roman"/>
          <w:bCs/>
          <w:lang w:val="en-GB"/>
        </w:rPr>
        <w:t xml:space="preserve"> of the consultation and the final document that is adopted. With regard to standards related to carbon emission and energy </w:t>
      </w:r>
      <w:r w:rsidR="0037259C" w:rsidRPr="0037259C">
        <w:rPr>
          <w:rFonts w:ascii="Times New Roman" w:hAnsi="Times New Roman" w:cs="Times New Roman"/>
          <w:lang w:val="en-GB"/>
        </w:rPr>
        <w:t>efficiency</w:t>
      </w:r>
      <w:r w:rsidR="0037259C" w:rsidRPr="0037259C">
        <w:rPr>
          <w:rFonts w:ascii="Times New Roman" w:hAnsi="Times New Roman" w:cs="Times New Roman"/>
          <w:bCs/>
          <w:lang w:val="en-GB"/>
        </w:rPr>
        <w:t xml:space="preserve"> standards consideration will need to be given to PM13 which states that other than </w:t>
      </w:r>
      <w:r w:rsidR="0037259C" w:rsidRPr="0037259C">
        <w:rPr>
          <w:rFonts w:ascii="Times New Roman" w:hAnsi="Times New Roman" w:cs="Times New Roman"/>
          <w:bCs/>
        </w:rPr>
        <w:t>standards</w:t>
      </w:r>
      <w:r w:rsidR="0037259C" w:rsidRPr="0037259C">
        <w:rPr>
          <w:rFonts w:ascii="Times New Roman" w:hAnsi="Times New Roman" w:cs="Times New Roman"/>
          <w:bCs/>
          <w:lang w:val="en-GB"/>
        </w:rPr>
        <w:t xml:space="preserve"> for accessibility, water efficiency and nationally described space standards local plans should not cover matters already addressed in building regulations. In addition, it is also notable that the latest consultation on the NPPF proposes to amend the </w:t>
      </w:r>
      <w:r w:rsidR="0037259C" w:rsidRPr="0037259C">
        <w:rPr>
          <w:rFonts w:ascii="Times New Roman" w:hAnsi="Times New Roman" w:cs="Times New Roman"/>
          <w:bCs/>
        </w:rPr>
        <w:t>Planning</w:t>
      </w:r>
      <w:r w:rsidR="0037259C" w:rsidRPr="0037259C">
        <w:rPr>
          <w:rFonts w:ascii="Times New Roman" w:hAnsi="Times New Roman" w:cs="Times New Roman"/>
          <w:bCs/>
          <w:lang w:val="en-GB"/>
        </w:rPr>
        <w:t xml:space="preserve"> and Energy Act 2008 in relation to the setting of local energy efficiency standards that go beyond building regulations to make clear that local plans should not set higher energy efficiency standards for residential development. Once adopted the NPPF would also replace the 2023 Written Ministerial Statement (WMS) ‘Planning</w:t>
      </w:r>
      <w:r w:rsidR="0037259C" w:rsidRPr="0037259C">
        <w:rPr>
          <w:rFonts w:ascii="Times New Roman" w:hAnsi="Times New Roman" w:cs="Times New Roman"/>
          <w:bCs/>
          <w:i/>
          <w:iCs/>
          <w:lang w:val="en-GB"/>
        </w:rPr>
        <w:t xml:space="preserve"> – </w:t>
      </w:r>
      <w:r w:rsidR="0037259C" w:rsidRPr="0037259C">
        <w:rPr>
          <w:rFonts w:ascii="Times New Roman" w:hAnsi="Times New Roman" w:cs="Times New Roman"/>
          <w:bCs/>
          <w:lang w:val="en-GB"/>
        </w:rPr>
        <w:t>Local Energy Efficiency Standards Update’</w:t>
      </w:r>
      <w:r w:rsidR="0037259C" w:rsidRPr="0037259C">
        <w:rPr>
          <w:rFonts w:ascii="Times New Roman" w:hAnsi="Times New Roman" w:cs="Times New Roman"/>
          <w:bCs/>
          <w:i/>
          <w:iCs/>
          <w:lang w:val="en-GB"/>
        </w:rPr>
        <w:t>.</w:t>
      </w:r>
      <w:r w:rsidR="0037259C" w:rsidRPr="0037259C">
        <w:rPr>
          <w:rFonts w:ascii="Times New Roman" w:hAnsi="Times New Roman" w:cs="Times New Roman"/>
          <w:bCs/>
          <w:lang w:val="en-GB"/>
        </w:rPr>
        <w:t xml:space="preserve"> As such If PM13 remains this policy would be inconsistent with national policy from the point at which the new NPPF is adopted with limited weight being given to these policies with decision making. In such a situation HBF would suggest that these policies are deleted. </w:t>
      </w:r>
    </w:p>
    <w:p w14:paraId="242AF943" w14:textId="77777777"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37259C">
        <w:rPr>
          <w:rFonts w:ascii="Times New Roman" w:hAnsi="Times New Roman" w:cs="Times New Roman"/>
          <w:bCs/>
          <w:lang w:val="en-GB"/>
        </w:rPr>
        <w:t>However, at present the Planning and Energy Act 2008 and the WMS allow local planning authorities to set standards that are higher than building regulations, with the WMS noting that “</w:t>
      </w:r>
      <w:r w:rsidRPr="0037259C">
        <w:rPr>
          <w:rFonts w:ascii="Times New Roman" w:hAnsi="Times New Roman" w:cs="Times New Roman"/>
          <w:bCs/>
          <w:i/>
          <w:iCs/>
          <w:lang w:val="en-GB"/>
        </w:rPr>
        <w:t xml:space="preserve">Compared to varied local standards nationally applied standards </w:t>
      </w:r>
      <w:r w:rsidRPr="0037259C">
        <w:rPr>
          <w:rFonts w:ascii="Times New Roman" w:hAnsi="Times New Roman" w:cs="Times New Roman"/>
          <w:bCs/>
        </w:rPr>
        <w:t>provide</w:t>
      </w:r>
      <w:r w:rsidRPr="0037259C">
        <w:rPr>
          <w:rFonts w:ascii="Times New Roman" w:hAnsi="Times New Roman" w:cs="Times New Roman"/>
          <w:bCs/>
          <w:i/>
          <w:iCs/>
          <w:lang w:val="en-GB"/>
        </w:rPr>
        <w:t xml:space="preserve"> much-needed clarity and consistency for businesses, large and small, to invest and prepare to build net-zero ready homes</w:t>
      </w:r>
      <w:r w:rsidRPr="0037259C">
        <w:rPr>
          <w:rFonts w:ascii="Times New Roman" w:hAnsi="Times New Roman" w:cs="Times New Roman"/>
          <w:bCs/>
          <w:lang w:val="en-GB"/>
        </w:rPr>
        <w:t>” and that local standards can “</w:t>
      </w:r>
      <w:r w:rsidRPr="0037259C">
        <w:rPr>
          <w:rFonts w:ascii="Times New Roman" w:hAnsi="Times New Roman" w:cs="Times New Roman"/>
          <w:bCs/>
          <w:i/>
          <w:iCs/>
          <w:lang w:val="en-GB"/>
        </w:rPr>
        <w:t>add further costs to building new homes by adding complexity and undermining economies of scale</w:t>
      </w:r>
      <w:r w:rsidRPr="0037259C">
        <w:rPr>
          <w:rFonts w:ascii="Times New Roman" w:hAnsi="Times New Roman" w:cs="Times New Roman"/>
          <w:bCs/>
          <w:lang w:val="en-GB"/>
        </w:rPr>
        <w:t>”. After setting out these concerns, the 2023 WMS does go on to state that any standard that goes beyond building regulations should be rejected at examination unless the LPA does not have a well-reasoned and robustly costed rationale that ensures:</w:t>
      </w:r>
    </w:p>
    <w:p w14:paraId="1FA9391D" w14:textId="77777777" w:rsidR="0037259C" w:rsidRPr="0037259C" w:rsidRDefault="0037259C" w:rsidP="00575B45">
      <w:pPr>
        <w:widowControl/>
        <w:numPr>
          <w:ilvl w:val="0"/>
          <w:numId w:val="5"/>
        </w:numPr>
        <w:suppressAutoHyphens w:val="0"/>
        <w:autoSpaceDE/>
        <w:spacing w:after="240" w:line="360" w:lineRule="auto"/>
        <w:ind w:left="1134"/>
        <w:jc w:val="both"/>
        <w:rPr>
          <w:rFonts w:ascii="Times New Roman" w:hAnsi="Times New Roman" w:cs="Times New Roman"/>
          <w:bCs/>
          <w:lang w:val="en-GB"/>
        </w:rPr>
      </w:pPr>
      <w:r w:rsidRPr="0037259C">
        <w:rPr>
          <w:rFonts w:ascii="Times New Roman" w:hAnsi="Times New Roman" w:cs="Times New Roman"/>
          <w:bCs/>
          <w:lang w:val="en-GB"/>
        </w:rPr>
        <w:t>That development remains viable, and the impact on housing supply and affordability is considered in accordance with the National Planning Policy Framework.</w:t>
      </w:r>
    </w:p>
    <w:p w14:paraId="3A00C2BC" w14:textId="77777777" w:rsidR="0037259C" w:rsidRPr="0037259C" w:rsidRDefault="0037259C" w:rsidP="00575B45">
      <w:pPr>
        <w:widowControl/>
        <w:numPr>
          <w:ilvl w:val="0"/>
          <w:numId w:val="5"/>
        </w:numPr>
        <w:suppressAutoHyphens w:val="0"/>
        <w:autoSpaceDE/>
        <w:spacing w:after="240" w:line="360" w:lineRule="auto"/>
        <w:ind w:left="1134"/>
        <w:jc w:val="both"/>
        <w:rPr>
          <w:rFonts w:ascii="Times New Roman" w:hAnsi="Times New Roman" w:cs="Times New Roman"/>
          <w:bCs/>
          <w:lang w:val="en-GB"/>
        </w:rPr>
      </w:pPr>
      <w:r w:rsidRPr="0037259C">
        <w:rPr>
          <w:rFonts w:ascii="Times New Roman" w:hAnsi="Times New Roman" w:cs="Times New Roman"/>
          <w:bCs/>
          <w:lang w:val="en-GB"/>
        </w:rPr>
        <w:lastRenderedPageBreak/>
        <w:t>The additional requirement is expressed as a percentage uplift of a dwelling’s Target Emissions Rate (TER) calculated using a specified version of the Standard Assessment Procedure (SAP).</w:t>
      </w:r>
    </w:p>
    <w:p w14:paraId="4A3B7EC9" w14:textId="0D57855F"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7259C">
        <w:rPr>
          <w:rFonts w:ascii="Times New Roman" w:hAnsi="Times New Roman" w:cs="Times New Roman"/>
          <w:bCs/>
        </w:rPr>
        <w:t xml:space="preserve">HBF does not consider the </w:t>
      </w:r>
      <w:r w:rsidRPr="0037259C">
        <w:rPr>
          <w:rFonts w:ascii="Times New Roman" w:hAnsi="Times New Roman" w:cs="Times New Roman"/>
          <w:bCs/>
          <w:lang w:val="en-GB"/>
        </w:rPr>
        <w:t>approach</w:t>
      </w:r>
      <w:r w:rsidRPr="0037259C">
        <w:rPr>
          <w:rFonts w:ascii="Times New Roman" w:hAnsi="Times New Roman" w:cs="Times New Roman"/>
          <w:bCs/>
        </w:rPr>
        <w:t xml:space="preserve"> set out in </w:t>
      </w:r>
      <w:r w:rsidR="007D7222">
        <w:rPr>
          <w:rFonts w:ascii="Times New Roman" w:hAnsi="Times New Roman" w:cs="Times New Roman"/>
          <w:bCs/>
        </w:rPr>
        <w:t xml:space="preserve">this policy </w:t>
      </w:r>
      <w:r w:rsidRPr="0037259C">
        <w:rPr>
          <w:rFonts w:ascii="Times New Roman" w:hAnsi="Times New Roman" w:cs="Times New Roman"/>
          <w:bCs/>
        </w:rPr>
        <w:t>to be consistent with the WMS nor that the implications of such a policy have been properly assessed in the supporting evidence base. Our detailed points are set out below.</w:t>
      </w:r>
    </w:p>
    <w:p w14:paraId="677BD2B6" w14:textId="77777777"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7259C">
        <w:rPr>
          <w:rFonts w:ascii="Times New Roman" w:hAnsi="Times New Roman" w:cs="Times New Roman"/>
          <w:bCs/>
        </w:rPr>
        <w:t xml:space="preserve">The approach proposed by the Councils based on energy use is inconsistent with the approach set out in the WMS and as such is unsound. The intention of the WMS and the Planning and Energy Act was to enable local authorities to go beyond building regulations </w:t>
      </w:r>
      <w:r w:rsidRPr="0037259C">
        <w:rPr>
          <w:rFonts w:ascii="Times New Roman" w:hAnsi="Times New Roman" w:cs="Times New Roman"/>
          <w:bCs/>
          <w:lang w:val="en-GB"/>
        </w:rPr>
        <w:t>but</w:t>
      </w:r>
      <w:r w:rsidRPr="0037259C">
        <w:rPr>
          <w:rFonts w:ascii="Times New Roman" w:hAnsi="Times New Roman" w:cs="Times New Roman"/>
          <w:bCs/>
        </w:rPr>
        <w:t xml:space="preserve"> not to set wholly new standards. This was noted in by Justice Lieven’s decision which referred to statement by the Minister at the time where the minister confirmed that councils “</w:t>
      </w:r>
      <w:r w:rsidRPr="0037259C">
        <w:rPr>
          <w:rFonts w:ascii="Times New Roman" w:hAnsi="Times New Roman" w:cs="Times New Roman"/>
          <w:bCs/>
          <w:i/>
          <w:iCs/>
        </w:rPr>
        <w:t>can go further and faster than building regulations, but within the national framework</w:t>
      </w:r>
      <w:r w:rsidRPr="0037259C">
        <w:rPr>
          <w:rFonts w:ascii="Times New Roman" w:hAnsi="Times New Roman" w:cs="Times New Roman"/>
          <w:bCs/>
        </w:rPr>
        <w:t xml:space="preserve">” and that the intention was for </w:t>
      </w:r>
      <w:r w:rsidRPr="0037259C">
        <w:rPr>
          <w:rFonts w:ascii="Times New Roman" w:hAnsi="Times New Roman" w:cs="Times New Roman"/>
          <w:bCs/>
          <w:i/>
          <w:iCs/>
        </w:rPr>
        <w:t>“… local authorities, in setting energy efficiency standards, to choose only those standards that have been set out or referred to in regulations made by the Secretary of State, or which are set out or endorsed in national policies or guidance issued by the Secretary of State. That approach was taken with a view to avoiding the fragmentation of building standards, which could lead to different standards applying in different areas of the country …</w:t>
      </w:r>
      <w:r w:rsidRPr="0037259C">
        <w:rPr>
          <w:rFonts w:ascii="Times New Roman" w:hAnsi="Times New Roman" w:cs="Times New Roman"/>
          <w:bCs/>
        </w:rPr>
        <w:t>”</w:t>
      </w:r>
      <w:r w:rsidRPr="0037259C">
        <w:rPr>
          <w:rFonts w:ascii="Times New Roman" w:hAnsi="Times New Roman" w:cs="Times New Roman"/>
          <w:bCs/>
          <w:i/>
          <w:iCs/>
        </w:rPr>
        <w:t>.</w:t>
      </w:r>
      <w:r w:rsidRPr="0037259C">
        <w:rPr>
          <w:rFonts w:ascii="Times New Roman" w:hAnsi="Times New Roman" w:cs="Times New Roman"/>
          <w:bCs/>
        </w:rPr>
        <w:t xml:space="preserve"> </w:t>
      </w:r>
    </w:p>
    <w:p w14:paraId="144F8D53" w14:textId="53ADF276"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7259C">
        <w:rPr>
          <w:rFonts w:ascii="Times New Roman" w:hAnsi="Times New Roman" w:cs="Times New Roman"/>
          <w:bCs/>
        </w:rPr>
        <w:t xml:space="preserve">It should also be noted that the Government have considered as part of consultation on the Future Homes Standard whether it was appropriate to use a delivered energy metric such as the one being proposed in the policy position paper and have concluded that these do not offer any additional benefits to those being taken forward by Government. Therefore, if the Council are to require </w:t>
      </w:r>
      <w:r w:rsidRPr="0037259C">
        <w:rPr>
          <w:rFonts w:ascii="Times New Roman" w:hAnsi="Times New Roman" w:cs="Times New Roman"/>
          <w:bCs/>
          <w:lang w:val="en-GB"/>
        </w:rPr>
        <w:t>standards</w:t>
      </w:r>
      <w:r w:rsidRPr="0037259C">
        <w:rPr>
          <w:rFonts w:ascii="Times New Roman" w:hAnsi="Times New Roman" w:cs="Times New Roman"/>
          <w:bCs/>
        </w:rPr>
        <w:t xml:space="preserve"> above those set out in building regulations they must be expressed as a percentage of the target emission rate and not as an energy use target in order to avoid fragmentation of the standards with different requirements being set in different areas which it must be recognised was not only an expectation of the WMS but also of the legislation that permits council to adopt higher standards in local plan in the first place. HBF </w:t>
      </w:r>
      <w:r w:rsidRPr="0037259C">
        <w:rPr>
          <w:rFonts w:ascii="Times New Roman" w:hAnsi="Times New Roman" w:cs="Times New Roman"/>
          <w:lang w:val="en-GB"/>
        </w:rPr>
        <w:t>are</w:t>
      </w:r>
      <w:r w:rsidRPr="0037259C">
        <w:rPr>
          <w:rFonts w:ascii="Times New Roman" w:hAnsi="Times New Roman" w:cs="Times New Roman"/>
          <w:bCs/>
        </w:rPr>
        <w:t xml:space="preserve"> aware that planning inspectors examining other local plans have considered it to be justified to depart from the national </w:t>
      </w:r>
      <w:r w:rsidR="001C1FC1" w:rsidRPr="0037259C">
        <w:rPr>
          <w:rFonts w:ascii="Times New Roman" w:hAnsi="Times New Roman" w:cs="Times New Roman"/>
          <w:bCs/>
        </w:rPr>
        <w:t>policy,</w:t>
      </w:r>
      <w:r w:rsidRPr="0037259C">
        <w:rPr>
          <w:rFonts w:ascii="Times New Roman" w:hAnsi="Times New Roman" w:cs="Times New Roman"/>
          <w:bCs/>
        </w:rPr>
        <w:t xml:space="preserve"> </w:t>
      </w:r>
      <w:r w:rsidR="001C1FC1">
        <w:rPr>
          <w:rFonts w:ascii="Times New Roman" w:hAnsi="Times New Roman" w:cs="Times New Roman"/>
          <w:bCs/>
        </w:rPr>
        <w:t xml:space="preserve">but we do not consider there to be a </w:t>
      </w:r>
      <w:r w:rsidRPr="0037259C">
        <w:rPr>
          <w:rFonts w:ascii="Times New Roman" w:hAnsi="Times New Roman" w:cs="Times New Roman"/>
          <w:bCs/>
        </w:rPr>
        <w:t>justification for departing from either the WMS or the Planning and Energy Act (2008) in setting a wholly different standard to that required by Building Regulations</w:t>
      </w:r>
      <w:r w:rsidR="00523FD7">
        <w:rPr>
          <w:rFonts w:ascii="Times New Roman" w:hAnsi="Times New Roman" w:cs="Times New Roman"/>
          <w:bCs/>
        </w:rPr>
        <w:t xml:space="preserve"> which places an unreasonable burden on developers to assess performance against a wholly </w:t>
      </w:r>
      <w:r w:rsidR="00DF5EC2">
        <w:rPr>
          <w:rFonts w:ascii="Times New Roman" w:hAnsi="Times New Roman" w:cs="Times New Roman"/>
          <w:bCs/>
        </w:rPr>
        <w:t xml:space="preserve">different performance standard. </w:t>
      </w:r>
    </w:p>
    <w:p w14:paraId="1206DBA2" w14:textId="1C29F0EF"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7259C">
        <w:rPr>
          <w:rFonts w:ascii="Times New Roman" w:hAnsi="Times New Roman" w:cs="Times New Roman"/>
          <w:bCs/>
        </w:rPr>
        <w:t xml:space="preserve">With regard to viability </w:t>
      </w:r>
      <w:r w:rsidR="00E02D81">
        <w:rPr>
          <w:rFonts w:ascii="Times New Roman" w:hAnsi="Times New Roman" w:cs="Times New Roman"/>
          <w:bCs/>
        </w:rPr>
        <w:t xml:space="preserve">of achieving this policy </w:t>
      </w:r>
      <w:r w:rsidRPr="0037259C">
        <w:rPr>
          <w:rFonts w:ascii="Times New Roman" w:hAnsi="Times New Roman" w:cs="Times New Roman"/>
          <w:bCs/>
        </w:rPr>
        <w:t xml:space="preserve">are set out in the </w:t>
      </w:r>
      <w:r w:rsidR="007774B7">
        <w:rPr>
          <w:rFonts w:ascii="Times New Roman" w:hAnsi="Times New Roman" w:cs="Times New Roman"/>
          <w:bCs/>
        </w:rPr>
        <w:t xml:space="preserve">WPVA as being </w:t>
      </w:r>
      <w:r w:rsidR="0095658E">
        <w:rPr>
          <w:rFonts w:ascii="Times New Roman" w:hAnsi="Times New Roman" w:cs="Times New Roman"/>
          <w:bCs/>
        </w:rPr>
        <w:t>8%</w:t>
      </w:r>
      <w:r w:rsidR="00A70308">
        <w:rPr>
          <w:rFonts w:ascii="Times New Roman" w:hAnsi="Times New Roman" w:cs="Times New Roman"/>
          <w:bCs/>
        </w:rPr>
        <w:t xml:space="preserve"> above current building regulations</w:t>
      </w:r>
      <w:r w:rsidR="004F3E27">
        <w:rPr>
          <w:rFonts w:ascii="Times New Roman" w:hAnsi="Times New Roman" w:cs="Times New Roman"/>
          <w:bCs/>
        </w:rPr>
        <w:t xml:space="preserve">. </w:t>
      </w:r>
      <w:r w:rsidR="00634544">
        <w:rPr>
          <w:rFonts w:ascii="Times New Roman" w:hAnsi="Times New Roman" w:cs="Times New Roman"/>
          <w:bCs/>
        </w:rPr>
        <w:t>HBF consider these to be too low</w:t>
      </w:r>
      <w:r w:rsidR="00F5108A">
        <w:rPr>
          <w:rFonts w:ascii="Times New Roman" w:hAnsi="Times New Roman" w:cs="Times New Roman"/>
          <w:bCs/>
        </w:rPr>
        <w:t>.</w:t>
      </w:r>
      <w:r w:rsidR="006515B8">
        <w:rPr>
          <w:rFonts w:ascii="Times New Roman" w:hAnsi="Times New Roman" w:cs="Times New Roman"/>
          <w:bCs/>
        </w:rPr>
        <w:t xml:space="preserve"> </w:t>
      </w:r>
      <w:r w:rsidR="00F5108A">
        <w:rPr>
          <w:rFonts w:ascii="Times New Roman" w:hAnsi="Times New Roman" w:cs="Times New Roman"/>
          <w:bCs/>
        </w:rPr>
        <w:t xml:space="preserve">The expected cost of meeting this policy </w:t>
      </w:r>
      <w:r w:rsidR="00230FF9">
        <w:rPr>
          <w:rFonts w:ascii="Times New Roman" w:hAnsi="Times New Roman" w:cs="Times New Roman"/>
          <w:bCs/>
        </w:rPr>
        <w:t>can be seen in the Future Homes Hub Ready for Zero report</w:t>
      </w:r>
      <w:r w:rsidR="0077776B">
        <w:rPr>
          <w:rFonts w:ascii="Times New Roman" w:hAnsi="Times New Roman" w:cs="Times New Roman"/>
          <w:bCs/>
        </w:rPr>
        <w:t xml:space="preserve"> which</w:t>
      </w:r>
      <w:r w:rsidR="00CF4A13">
        <w:rPr>
          <w:rFonts w:ascii="Times New Roman" w:hAnsi="Times New Roman" w:cs="Times New Roman"/>
          <w:bCs/>
        </w:rPr>
        <w:t xml:space="preserve"> </w:t>
      </w:r>
      <w:r w:rsidR="0077776B">
        <w:rPr>
          <w:rFonts w:ascii="Times New Roman" w:hAnsi="Times New Roman" w:cs="Times New Roman"/>
          <w:bCs/>
        </w:rPr>
        <w:t xml:space="preserve">is based on the actual costs </w:t>
      </w:r>
      <w:r w:rsidR="00CF4A13">
        <w:rPr>
          <w:rFonts w:ascii="Times New Roman" w:hAnsi="Times New Roman" w:cs="Times New Roman"/>
          <w:bCs/>
        </w:rPr>
        <w:t xml:space="preserve">experienced by </w:t>
      </w:r>
      <w:r w:rsidR="00F57ACC">
        <w:rPr>
          <w:rFonts w:ascii="Times New Roman" w:hAnsi="Times New Roman" w:cs="Times New Roman"/>
          <w:bCs/>
        </w:rPr>
        <w:t>house</w:t>
      </w:r>
      <w:r w:rsidR="00CF4A13">
        <w:rPr>
          <w:rFonts w:ascii="Times New Roman" w:hAnsi="Times New Roman" w:cs="Times New Roman"/>
          <w:bCs/>
        </w:rPr>
        <w:t xml:space="preserve"> builders in </w:t>
      </w:r>
      <w:r w:rsidR="00F57ACC">
        <w:rPr>
          <w:rFonts w:ascii="Times New Roman" w:hAnsi="Times New Roman" w:cs="Times New Roman"/>
          <w:bCs/>
        </w:rPr>
        <w:t>delivering</w:t>
      </w:r>
      <w:r w:rsidR="00CF4A13">
        <w:rPr>
          <w:rFonts w:ascii="Times New Roman" w:hAnsi="Times New Roman" w:cs="Times New Roman"/>
          <w:bCs/>
        </w:rPr>
        <w:t xml:space="preserve"> homes to higher energy </w:t>
      </w:r>
      <w:r w:rsidR="00F57ACC">
        <w:rPr>
          <w:rFonts w:ascii="Times New Roman" w:hAnsi="Times New Roman" w:cs="Times New Roman"/>
          <w:bCs/>
        </w:rPr>
        <w:t>standards</w:t>
      </w:r>
      <w:r w:rsidR="00CF4A13">
        <w:rPr>
          <w:rFonts w:ascii="Times New Roman" w:hAnsi="Times New Roman" w:cs="Times New Roman"/>
          <w:bCs/>
        </w:rPr>
        <w:t xml:space="preserve"> rather than</w:t>
      </w:r>
      <w:r w:rsidR="00F57ACC">
        <w:rPr>
          <w:rFonts w:ascii="Times New Roman" w:hAnsi="Times New Roman" w:cs="Times New Roman"/>
          <w:bCs/>
        </w:rPr>
        <w:t xml:space="preserve"> theoretical</w:t>
      </w:r>
      <w:r w:rsidR="00CF4A13">
        <w:rPr>
          <w:rFonts w:ascii="Times New Roman" w:hAnsi="Times New Roman" w:cs="Times New Roman"/>
          <w:bCs/>
        </w:rPr>
        <w:t xml:space="preserve"> costing exercises</w:t>
      </w:r>
      <w:r w:rsidR="00230FF9">
        <w:rPr>
          <w:rFonts w:ascii="Times New Roman" w:hAnsi="Times New Roman" w:cs="Times New Roman"/>
          <w:bCs/>
        </w:rPr>
        <w:t xml:space="preserve">. </w:t>
      </w:r>
      <w:r w:rsidRPr="0037259C">
        <w:rPr>
          <w:rFonts w:ascii="Times New Roman" w:hAnsi="Times New Roman" w:cs="Times New Roman"/>
          <w:bCs/>
        </w:rPr>
        <w:t xml:space="preserve">The various specifications and costs considered are summarised in Figure 8 of </w:t>
      </w:r>
      <w:r w:rsidR="00230FF9">
        <w:rPr>
          <w:rFonts w:ascii="Times New Roman" w:hAnsi="Times New Roman" w:cs="Times New Roman"/>
          <w:bCs/>
        </w:rPr>
        <w:t>this report</w:t>
      </w:r>
      <w:r w:rsidRPr="0037259C">
        <w:rPr>
          <w:rFonts w:ascii="Times New Roman" w:hAnsi="Times New Roman" w:cs="Times New Roman"/>
          <w:bCs/>
        </w:rPr>
        <w:t xml:space="preserve"> and </w:t>
      </w:r>
      <w:r w:rsidRPr="0037259C">
        <w:rPr>
          <w:rFonts w:ascii="Times New Roman" w:hAnsi="Times New Roman" w:cs="Times New Roman"/>
          <w:lang w:val="en-GB"/>
        </w:rPr>
        <w:t>indicates</w:t>
      </w:r>
      <w:r w:rsidRPr="0037259C">
        <w:rPr>
          <w:rFonts w:ascii="Times New Roman" w:hAnsi="Times New Roman" w:cs="Times New Roman"/>
          <w:bCs/>
        </w:rPr>
        <w:t xml:space="preserve"> that in order to deliver standards above the FHS on a three bedroomed end of terrace house (specifications CS3, CS4 and CS5 in the FHH report) would be around 15-19% higher than the 2021 Building Regs, around £17,000 to £22,000 more per unit, and significantly higher than the Council’s evidence suggests would be the cost of achieving this policy Given that there is still </w:t>
      </w:r>
      <w:r w:rsidRPr="0037259C">
        <w:rPr>
          <w:rFonts w:ascii="Times New Roman" w:hAnsi="Times New Roman" w:cs="Times New Roman"/>
          <w:bCs/>
        </w:rPr>
        <w:lastRenderedPageBreak/>
        <w:t xml:space="preserve">significant uncertainty as to the cost of delivering the standards being proposed the Council will need ensure that </w:t>
      </w:r>
      <w:r w:rsidR="008354F6">
        <w:rPr>
          <w:rFonts w:ascii="Times New Roman" w:hAnsi="Times New Roman" w:cs="Times New Roman"/>
          <w:bCs/>
        </w:rPr>
        <w:t xml:space="preserve">the costs relating to the policy are increased. </w:t>
      </w:r>
    </w:p>
    <w:p w14:paraId="2C249518" w14:textId="77777777"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7259C">
        <w:rPr>
          <w:rFonts w:ascii="Times New Roman" w:hAnsi="Times New Roman" w:cs="Times New Roman"/>
          <w:bCs/>
        </w:rPr>
        <w:t xml:space="preserve">However, in addition to considering viability the Council will also need to provide evidence as to the potential impact on the affordability of new homes and the ability of the development industry to meet these standard when the plan is adopted. To start, </w:t>
      </w:r>
      <w:r w:rsidRPr="0037259C">
        <w:rPr>
          <w:rFonts w:ascii="Times New Roman" w:hAnsi="Times New Roman" w:cs="Times New Roman"/>
          <w:bCs/>
          <w:lang w:val="en-GB"/>
        </w:rPr>
        <w:t xml:space="preserve">HBF would not disagree that the proposed standards are technically feasible. However, HBF </w:t>
      </w:r>
      <w:r w:rsidRPr="0037259C">
        <w:rPr>
          <w:rFonts w:ascii="Times New Roman" w:hAnsi="Times New Roman" w:cs="Times New Roman"/>
          <w:bCs/>
        </w:rPr>
        <w:t>are</w:t>
      </w:r>
      <w:r w:rsidRPr="0037259C">
        <w:rPr>
          <w:rFonts w:ascii="Times New Roman" w:hAnsi="Times New Roman" w:cs="Times New Roman"/>
          <w:bCs/>
          <w:lang w:val="en-GB"/>
        </w:rPr>
        <w:t xml:space="preserve"> concerned as to the impact these requirements will have on the rates at which sites can deliver new homes on all types of sites. Given that the standards proposed are </w:t>
      </w:r>
      <w:r w:rsidRPr="0037259C">
        <w:rPr>
          <w:rFonts w:ascii="Times New Roman" w:hAnsi="Times New Roman" w:cs="Times New Roman"/>
          <w:lang w:val="en-GB"/>
        </w:rPr>
        <w:t>higher</w:t>
      </w:r>
      <w:r w:rsidRPr="0037259C">
        <w:rPr>
          <w:rFonts w:ascii="Times New Roman" w:hAnsi="Times New Roman" w:cs="Times New Roman"/>
          <w:bCs/>
          <w:lang w:val="en-GB"/>
        </w:rPr>
        <w:t xml:space="preserve"> than those proposed by Government in the Future Homes Standard and will require higher levels of fabric efficiency, which in turn will require new skills and materials that may not be readily available, HBF are concerned this could slow delivery in the short to medium term as supply chains are developed. </w:t>
      </w:r>
    </w:p>
    <w:p w14:paraId="127878E3" w14:textId="77777777"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37259C">
        <w:rPr>
          <w:rFonts w:ascii="Times New Roman" w:hAnsi="Times New Roman" w:cs="Times New Roman"/>
          <w:bCs/>
          <w:lang w:val="en-GB"/>
        </w:rPr>
        <w:t xml:space="preserve">It has been recognised by the FHH that to deliver higher standards will require phased transitional arrangements to enable a steady build-up of skills and ensure quality. The FHH also notes in ‘Ready for Zero’ that even if a short transition period between </w:t>
      </w:r>
      <w:r w:rsidRPr="0037259C">
        <w:rPr>
          <w:rFonts w:ascii="Times New Roman" w:hAnsi="Times New Roman" w:cs="Times New Roman"/>
          <w:bCs/>
        </w:rPr>
        <w:t>current</w:t>
      </w:r>
      <w:r w:rsidRPr="0037259C">
        <w:rPr>
          <w:rFonts w:ascii="Times New Roman" w:hAnsi="Times New Roman" w:cs="Times New Roman"/>
          <w:bCs/>
          <w:lang w:val="en-GB"/>
        </w:rPr>
        <w:t xml:space="preserve"> standards and </w:t>
      </w:r>
      <w:r w:rsidRPr="0037259C">
        <w:rPr>
          <w:rFonts w:ascii="Times New Roman" w:hAnsi="Times New Roman" w:cs="Times New Roman"/>
          <w:lang w:val="en-GB"/>
        </w:rPr>
        <w:t>those</w:t>
      </w:r>
      <w:r w:rsidRPr="0037259C">
        <w:rPr>
          <w:rFonts w:ascii="Times New Roman" w:hAnsi="Times New Roman" w:cs="Times New Roman"/>
          <w:bCs/>
          <w:lang w:val="en-GB"/>
        </w:rPr>
        <w:t xml:space="preserve"> similar to the Councils are proposing that this would “</w:t>
      </w:r>
      <w:r w:rsidRPr="0037259C">
        <w:rPr>
          <w:rFonts w:ascii="Times New Roman" w:hAnsi="Times New Roman" w:cs="Times New Roman"/>
          <w:bCs/>
          <w:i/>
          <w:iCs/>
          <w:lang w:val="en-GB"/>
        </w:rPr>
        <w:t>… create a high risk of quality problems, inflated costs and, potentially, stalled build programmes</w:t>
      </w:r>
      <w:r w:rsidRPr="0037259C">
        <w:rPr>
          <w:rFonts w:ascii="Times New Roman" w:hAnsi="Times New Roman" w:cs="Times New Roman"/>
          <w:bCs/>
          <w:lang w:val="en-GB"/>
        </w:rPr>
        <w:t xml:space="preserve">.” However, HBF could find no evidence that the Council has considered whether its proposed standard will impact on the rate at which new homes can be built. The Council will need to speak directly to a range of housebuilders operating in Reading to understand the impact of its policy on the rate at which homes will be delivered on its allocated sites. Without any consideration of delivery then the Council’s decision to go beyond what is required by building regulations is clearly unjustified </w:t>
      </w:r>
    </w:p>
    <w:p w14:paraId="32C254AA" w14:textId="77777777"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37259C">
        <w:rPr>
          <w:rFonts w:ascii="Times New Roman" w:hAnsi="Times New Roman" w:cs="Times New Roman"/>
          <w:bCs/>
          <w:lang w:val="en-GB"/>
        </w:rPr>
        <w:t xml:space="preserve">While HBF understands the desire for LPAs to go further it must be recognised that current policy outlines that even where development can viably implement higher standards this must be within a consistent technical framework and approach to assessing </w:t>
      </w:r>
      <w:r w:rsidRPr="0037259C">
        <w:rPr>
          <w:rFonts w:ascii="Times New Roman" w:hAnsi="Times New Roman" w:cs="Times New Roman"/>
          <w:bCs/>
        </w:rPr>
        <w:t>building</w:t>
      </w:r>
      <w:r w:rsidRPr="0037259C">
        <w:rPr>
          <w:rFonts w:ascii="Times New Roman" w:hAnsi="Times New Roman" w:cs="Times New Roman"/>
          <w:bCs/>
          <w:lang w:val="en-GB"/>
        </w:rPr>
        <w:t xml:space="preserve"> </w:t>
      </w:r>
      <w:r w:rsidRPr="0037259C">
        <w:rPr>
          <w:rFonts w:ascii="Times New Roman" w:hAnsi="Times New Roman" w:cs="Times New Roman"/>
          <w:lang w:val="en-GB"/>
        </w:rPr>
        <w:t>performance</w:t>
      </w:r>
      <w:r w:rsidRPr="0037259C">
        <w:rPr>
          <w:rFonts w:ascii="Times New Roman" w:hAnsi="Times New Roman" w:cs="Times New Roman"/>
          <w:bCs/>
          <w:lang w:val="en-GB"/>
        </w:rPr>
        <w:t xml:space="preserve"> against those technical standards. Indeed, this has long been the case in planning policy with paragraph 159b of the NPPF stating that “</w:t>
      </w:r>
      <w:r w:rsidRPr="0037259C">
        <w:rPr>
          <w:rFonts w:ascii="Times New Roman" w:hAnsi="Times New Roman" w:cs="Times New Roman"/>
          <w:bCs/>
          <w:i/>
          <w:iCs/>
          <w:lang w:val="en-GB"/>
        </w:rPr>
        <w:t>Any local requirements for the sustainability of buildings should reflect the Government’s policy for national technical standards</w:t>
      </w:r>
      <w:r w:rsidRPr="0037259C">
        <w:rPr>
          <w:rFonts w:ascii="Times New Roman" w:hAnsi="Times New Roman" w:cs="Times New Roman"/>
          <w:bCs/>
          <w:lang w:val="en-GB"/>
        </w:rPr>
        <w:t>”.</w:t>
      </w:r>
    </w:p>
    <w:p w14:paraId="6436BA13" w14:textId="77777777"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37259C">
        <w:rPr>
          <w:rFonts w:ascii="Times New Roman" w:hAnsi="Times New Roman" w:cs="Times New Roman"/>
          <w:bCs/>
          <w:lang w:val="en-GB"/>
        </w:rPr>
        <w:t xml:space="preserve">If the Councils have the evidence to show that the policy is deliverable, they will need to ensure that all other policies in the local plan are consistent with delivering the levels of embodied carbon being proposed. The most energy efficient design will inevitably lead </w:t>
      </w:r>
      <w:r w:rsidRPr="0037259C">
        <w:rPr>
          <w:rFonts w:ascii="Times New Roman" w:hAnsi="Times New Roman" w:cs="Times New Roman"/>
          <w:bCs/>
        </w:rPr>
        <w:t>to</w:t>
      </w:r>
      <w:r w:rsidRPr="0037259C">
        <w:rPr>
          <w:rFonts w:ascii="Times New Roman" w:hAnsi="Times New Roman" w:cs="Times New Roman"/>
          <w:bCs/>
          <w:lang w:val="en-GB"/>
        </w:rPr>
        <w:t xml:space="preserve"> less variety in the built form in order to reduce the surface area of the building. This will need to be reflected in design policies and any design codes that are produced to ensure that development is not refused for seeking to meet energy efficiency standards but, for example, not being designed in the character of the local area.</w:t>
      </w:r>
    </w:p>
    <w:p w14:paraId="228D4D36" w14:textId="77777777" w:rsidR="0037259C" w:rsidRPr="0037259C" w:rsidRDefault="0037259C"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37259C">
        <w:rPr>
          <w:rFonts w:ascii="Times New Roman" w:hAnsi="Times New Roman" w:cs="Times New Roman"/>
          <w:bCs/>
          <w:lang w:val="en-GB"/>
        </w:rPr>
        <w:t xml:space="preserve">With regard to embodied carbon the policy requires an assessment be undertaken as to the total embodied carbon emitted as part of the A1 to A5 stages </w:t>
      </w:r>
      <w:r w:rsidRPr="0037259C">
        <w:rPr>
          <w:rFonts w:ascii="Times New Roman" w:hAnsi="Times New Roman" w:cs="Times New Roman"/>
          <w:lang w:val="en-GB"/>
        </w:rPr>
        <w:t>set</w:t>
      </w:r>
      <w:r w:rsidRPr="0037259C">
        <w:rPr>
          <w:rFonts w:ascii="Times New Roman" w:hAnsi="Times New Roman" w:cs="Times New Roman"/>
          <w:bCs/>
          <w:lang w:val="en-GB"/>
        </w:rPr>
        <w:t xml:space="preserve"> out in the RICS assessment methodology and for the developer to demonstrate what actions will be undertaken to reduce these. Firstly, it must be noted that there is nothing in NPPF to support policies that require developers to undertake whole life carbon assessments. These are onerous assessments and there can be significant inconsistencies in the outcome of any assessment depending on the </w:t>
      </w:r>
      <w:r w:rsidRPr="0037259C">
        <w:rPr>
          <w:rFonts w:ascii="Times New Roman" w:hAnsi="Times New Roman" w:cs="Times New Roman"/>
          <w:bCs/>
          <w:lang w:val="en-GB"/>
        </w:rPr>
        <w:lastRenderedPageBreak/>
        <w:t>materials used.  While the RICS methodology is probably the most appropriate for assessing carbon inputs it must be remembered that not all products will have Environmental Product Declaration (EPD) making it difficult for consistent assessments to be undertaken across the developments. To avoid decision makers seeking to compare outcomes between developments as to reducing levels of embodied carbon HBF would suggest that the requirement for a whole life carbon assessment be deleted.</w:t>
      </w:r>
    </w:p>
    <w:p w14:paraId="27A8A3B5" w14:textId="676E458A" w:rsidR="0037259C" w:rsidRDefault="00001DD2" w:rsidP="00001DD2">
      <w:pPr>
        <w:widowControl/>
        <w:suppressAutoHyphens w:val="0"/>
        <w:autoSpaceDE/>
        <w:spacing w:after="240" w:line="360" w:lineRule="auto"/>
        <w:jc w:val="both"/>
        <w:rPr>
          <w:rFonts w:ascii="Times New Roman" w:hAnsi="Times New Roman" w:cs="Times New Roman"/>
          <w:b/>
          <w:bCs/>
          <w:lang w:val="en-GB"/>
        </w:rPr>
      </w:pPr>
      <w:r w:rsidRPr="00001DD2">
        <w:rPr>
          <w:rFonts w:ascii="Times New Roman" w:hAnsi="Times New Roman" w:cs="Times New Roman"/>
          <w:b/>
          <w:bCs/>
          <w:lang w:val="en-GB"/>
        </w:rPr>
        <w:t>Question 56</w:t>
      </w:r>
      <w:r>
        <w:rPr>
          <w:rFonts w:ascii="Times New Roman" w:hAnsi="Times New Roman" w:cs="Times New Roman"/>
          <w:b/>
          <w:bCs/>
          <w:lang w:val="en-GB"/>
        </w:rPr>
        <w:t xml:space="preserve">: </w:t>
      </w:r>
      <w:r w:rsidRPr="00001DD2">
        <w:rPr>
          <w:rFonts w:ascii="Times New Roman" w:hAnsi="Times New Roman" w:cs="Times New Roman"/>
          <w:b/>
          <w:bCs/>
          <w:lang w:val="en-GB"/>
        </w:rPr>
        <w:t>Do you support or object to Policy C4? What would you add, remove or amend to support it further or</w:t>
      </w:r>
      <w:r w:rsidRPr="00001DD2">
        <w:rPr>
          <w:rFonts w:ascii="Times New Roman" w:hAnsi="Times New Roman" w:cs="Times New Roman"/>
          <w:b/>
          <w:bCs/>
          <w:lang w:val="en-GB"/>
        </w:rPr>
        <w:t xml:space="preserve"> </w:t>
      </w:r>
      <w:r w:rsidRPr="00001DD2">
        <w:rPr>
          <w:rFonts w:ascii="Times New Roman" w:hAnsi="Times New Roman" w:cs="Times New Roman"/>
          <w:b/>
          <w:bCs/>
          <w:lang w:val="en-GB"/>
        </w:rPr>
        <w:t>to remove your objection?</w:t>
      </w:r>
    </w:p>
    <w:p w14:paraId="04B7D294" w14:textId="77777777" w:rsidR="009F6784" w:rsidRDefault="00ED1DB6"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As mentioned in our comments on policy C2</w:t>
      </w:r>
      <w:r w:rsidR="000D3BB5">
        <w:rPr>
          <w:rFonts w:ascii="Times New Roman" w:hAnsi="Times New Roman" w:cs="Times New Roman"/>
          <w:lang w:val="en-GB"/>
        </w:rPr>
        <w:t xml:space="preserve"> this policy is wholly inconsistent with policy PM13 of the draft NPPF. If </w:t>
      </w:r>
      <w:r w:rsidR="00493E20">
        <w:rPr>
          <w:rFonts w:ascii="Times New Roman" w:hAnsi="Times New Roman" w:cs="Times New Roman"/>
          <w:lang w:val="en-GB"/>
        </w:rPr>
        <w:t xml:space="preserve">this policy </w:t>
      </w:r>
      <w:r w:rsidR="009D50F0">
        <w:rPr>
          <w:rFonts w:ascii="Times New Roman" w:hAnsi="Times New Roman" w:cs="Times New Roman"/>
          <w:lang w:val="en-GB"/>
        </w:rPr>
        <w:t>remains</w:t>
      </w:r>
      <w:r w:rsidR="00493E20">
        <w:rPr>
          <w:rFonts w:ascii="Times New Roman" w:hAnsi="Times New Roman" w:cs="Times New Roman"/>
          <w:lang w:val="en-GB"/>
        </w:rPr>
        <w:t xml:space="preserve"> unchanged when the new NPPF is </w:t>
      </w:r>
      <w:r w:rsidR="009D50F0">
        <w:rPr>
          <w:rFonts w:ascii="Times New Roman" w:hAnsi="Times New Roman" w:cs="Times New Roman"/>
          <w:lang w:val="en-GB"/>
        </w:rPr>
        <w:t>adopted,</w:t>
      </w:r>
      <w:r w:rsidR="00493E20">
        <w:rPr>
          <w:rFonts w:ascii="Times New Roman" w:hAnsi="Times New Roman" w:cs="Times New Roman"/>
          <w:lang w:val="en-GB"/>
        </w:rPr>
        <w:t xml:space="preserve"> then it will need to be deleted</w:t>
      </w:r>
      <w:r w:rsidR="00744F0B">
        <w:rPr>
          <w:rFonts w:ascii="Times New Roman" w:hAnsi="Times New Roman" w:cs="Times New Roman"/>
          <w:lang w:val="en-GB"/>
        </w:rPr>
        <w:t xml:space="preserve">. </w:t>
      </w:r>
    </w:p>
    <w:p w14:paraId="08FF2C82" w14:textId="13B66A80" w:rsidR="005C22C8" w:rsidRDefault="00744F0B"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However, on the </w:t>
      </w:r>
      <w:r w:rsidR="009D50F0">
        <w:rPr>
          <w:rFonts w:ascii="Times New Roman" w:hAnsi="Times New Roman" w:cs="Times New Roman"/>
          <w:lang w:val="en-GB"/>
        </w:rPr>
        <w:t>basis</w:t>
      </w:r>
      <w:r>
        <w:rPr>
          <w:rFonts w:ascii="Times New Roman" w:hAnsi="Times New Roman" w:cs="Times New Roman"/>
          <w:lang w:val="en-GB"/>
        </w:rPr>
        <w:t xml:space="preserve"> of current policy </w:t>
      </w:r>
      <w:r w:rsidR="002E1B22">
        <w:rPr>
          <w:rFonts w:ascii="Times New Roman" w:hAnsi="Times New Roman" w:cs="Times New Roman"/>
          <w:lang w:val="en-GB"/>
        </w:rPr>
        <w:t xml:space="preserve">HBF </w:t>
      </w:r>
      <w:r>
        <w:rPr>
          <w:rFonts w:ascii="Times New Roman" w:hAnsi="Times New Roman" w:cs="Times New Roman"/>
          <w:lang w:val="en-GB"/>
        </w:rPr>
        <w:t xml:space="preserve">also have a number </w:t>
      </w:r>
      <w:r w:rsidR="009D50F0">
        <w:rPr>
          <w:rFonts w:ascii="Times New Roman" w:hAnsi="Times New Roman" w:cs="Times New Roman"/>
          <w:lang w:val="en-GB"/>
        </w:rPr>
        <w:t>of</w:t>
      </w:r>
      <w:r>
        <w:rPr>
          <w:rFonts w:ascii="Times New Roman" w:hAnsi="Times New Roman" w:cs="Times New Roman"/>
          <w:lang w:val="en-GB"/>
        </w:rPr>
        <w:t xml:space="preserve"> </w:t>
      </w:r>
      <w:r w:rsidR="009D50F0">
        <w:rPr>
          <w:rFonts w:ascii="Times New Roman" w:hAnsi="Times New Roman" w:cs="Times New Roman"/>
          <w:lang w:val="en-GB"/>
        </w:rPr>
        <w:t>concerns</w:t>
      </w:r>
      <w:r>
        <w:rPr>
          <w:rFonts w:ascii="Times New Roman" w:hAnsi="Times New Roman" w:cs="Times New Roman"/>
          <w:lang w:val="en-GB"/>
        </w:rPr>
        <w:t xml:space="preserve"> with this policy. </w:t>
      </w:r>
      <w:r w:rsidR="009D50F0">
        <w:rPr>
          <w:rFonts w:ascii="Times New Roman" w:hAnsi="Times New Roman" w:cs="Times New Roman"/>
          <w:lang w:val="en-GB"/>
        </w:rPr>
        <w:t>Firstly,</w:t>
      </w:r>
      <w:r>
        <w:rPr>
          <w:rFonts w:ascii="Times New Roman" w:hAnsi="Times New Roman" w:cs="Times New Roman"/>
          <w:lang w:val="en-GB"/>
        </w:rPr>
        <w:t xml:space="preserve"> it is not clear </w:t>
      </w:r>
      <w:r w:rsidR="001A722A">
        <w:rPr>
          <w:rFonts w:ascii="Times New Roman" w:hAnsi="Times New Roman" w:cs="Times New Roman"/>
          <w:lang w:val="en-GB"/>
        </w:rPr>
        <w:t>how</w:t>
      </w:r>
      <w:r>
        <w:rPr>
          <w:rFonts w:ascii="Times New Roman" w:hAnsi="Times New Roman" w:cs="Times New Roman"/>
          <w:lang w:val="en-GB"/>
        </w:rPr>
        <w:t xml:space="preserve"> </w:t>
      </w:r>
      <w:r w:rsidR="001A722A">
        <w:rPr>
          <w:rFonts w:ascii="Times New Roman" w:hAnsi="Times New Roman" w:cs="Times New Roman"/>
          <w:lang w:val="en-GB"/>
        </w:rPr>
        <w:t xml:space="preserve">decision makers can adequately assess </w:t>
      </w:r>
      <w:r w:rsidR="00805BB4">
        <w:rPr>
          <w:rFonts w:ascii="Times New Roman" w:hAnsi="Times New Roman" w:cs="Times New Roman"/>
          <w:lang w:val="en-GB"/>
        </w:rPr>
        <w:t xml:space="preserve">how a building can be </w:t>
      </w:r>
      <w:r w:rsidR="009D50F0">
        <w:rPr>
          <w:rFonts w:ascii="Times New Roman" w:hAnsi="Times New Roman" w:cs="Times New Roman"/>
          <w:lang w:val="en-GB"/>
        </w:rPr>
        <w:t>designed</w:t>
      </w:r>
      <w:r w:rsidR="00805BB4">
        <w:rPr>
          <w:rFonts w:ascii="Times New Roman" w:hAnsi="Times New Roman" w:cs="Times New Roman"/>
          <w:lang w:val="en-GB"/>
        </w:rPr>
        <w:t xml:space="preserve"> to be adapted to future unknown scenarios </w:t>
      </w:r>
      <w:r w:rsidR="009D50F0">
        <w:rPr>
          <w:rFonts w:ascii="Times New Roman" w:hAnsi="Times New Roman" w:cs="Times New Roman"/>
          <w:lang w:val="en-GB"/>
        </w:rPr>
        <w:t>and support disassembly and material reuse at the end of its life</w:t>
      </w:r>
      <w:r w:rsidR="00FA5257">
        <w:rPr>
          <w:rFonts w:ascii="Times New Roman" w:hAnsi="Times New Roman" w:cs="Times New Roman"/>
          <w:lang w:val="en-GB"/>
        </w:rPr>
        <w:t xml:space="preserve"> </w:t>
      </w:r>
      <w:r w:rsidR="00416E77">
        <w:rPr>
          <w:rFonts w:ascii="Times New Roman" w:hAnsi="Times New Roman" w:cs="Times New Roman"/>
          <w:lang w:val="en-GB"/>
        </w:rPr>
        <w:t xml:space="preserve">– which could be </w:t>
      </w:r>
      <w:r w:rsidR="00AA6B91">
        <w:rPr>
          <w:rFonts w:ascii="Times New Roman" w:hAnsi="Times New Roman" w:cs="Times New Roman"/>
          <w:lang w:val="en-GB"/>
        </w:rPr>
        <w:t>somewhere</w:t>
      </w:r>
      <w:r w:rsidR="00416E77">
        <w:rPr>
          <w:rFonts w:ascii="Times New Roman" w:hAnsi="Times New Roman" w:cs="Times New Roman"/>
          <w:lang w:val="en-GB"/>
        </w:rPr>
        <w:t xml:space="preserve"> between 60 and </w:t>
      </w:r>
      <w:r w:rsidR="00AA6B91">
        <w:rPr>
          <w:rFonts w:ascii="Times New Roman" w:hAnsi="Times New Roman" w:cs="Times New Roman"/>
          <w:lang w:val="en-GB"/>
        </w:rPr>
        <w:t>200 years depending on the building.</w:t>
      </w:r>
      <w:r w:rsidR="009F6784">
        <w:rPr>
          <w:rFonts w:ascii="Times New Roman" w:hAnsi="Times New Roman" w:cs="Times New Roman"/>
          <w:lang w:val="en-GB"/>
        </w:rPr>
        <w:t xml:space="preserve"> Given</w:t>
      </w:r>
      <w:r w:rsidR="00510131">
        <w:rPr>
          <w:rFonts w:ascii="Times New Roman" w:hAnsi="Times New Roman" w:cs="Times New Roman"/>
          <w:lang w:val="en-GB"/>
        </w:rPr>
        <w:t xml:space="preserve"> </w:t>
      </w:r>
      <w:r w:rsidR="009F6784">
        <w:rPr>
          <w:rFonts w:ascii="Times New Roman" w:hAnsi="Times New Roman" w:cs="Times New Roman"/>
          <w:lang w:val="en-GB"/>
        </w:rPr>
        <w:t xml:space="preserve">the </w:t>
      </w:r>
      <w:r w:rsidR="00510131">
        <w:rPr>
          <w:rFonts w:ascii="Times New Roman" w:hAnsi="Times New Roman" w:cs="Times New Roman"/>
          <w:lang w:val="en-GB"/>
        </w:rPr>
        <w:t>uncertainty</w:t>
      </w:r>
      <w:r w:rsidR="009F6784">
        <w:rPr>
          <w:rFonts w:ascii="Times New Roman" w:hAnsi="Times New Roman" w:cs="Times New Roman"/>
          <w:lang w:val="en-GB"/>
        </w:rPr>
        <w:t xml:space="preserve"> as to </w:t>
      </w:r>
      <w:r w:rsidR="00510131">
        <w:rPr>
          <w:rFonts w:ascii="Times New Roman" w:hAnsi="Times New Roman" w:cs="Times New Roman"/>
          <w:lang w:val="en-GB"/>
        </w:rPr>
        <w:t>how</w:t>
      </w:r>
      <w:r w:rsidR="009F6784">
        <w:rPr>
          <w:rFonts w:ascii="Times New Roman" w:hAnsi="Times New Roman" w:cs="Times New Roman"/>
          <w:lang w:val="en-GB"/>
        </w:rPr>
        <w:t xml:space="preserve"> this </w:t>
      </w:r>
      <w:r w:rsidR="00510131">
        <w:rPr>
          <w:rFonts w:ascii="Times New Roman" w:hAnsi="Times New Roman" w:cs="Times New Roman"/>
          <w:lang w:val="en-GB"/>
        </w:rPr>
        <w:t>policy</w:t>
      </w:r>
      <w:r w:rsidR="009F6784">
        <w:rPr>
          <w:rFonts w:ascii="Times New Roman" w:hAnsi="Times New Roman" w:cs="Times New Roman"/>
          <w:lang w:val="en-GB"/>
        </w:rPr>
        <w:t xml:space="preserve"> will b</w:t>
      </w:r>
      <w:r w:rsidR="00510131">
        <w:rPr>
          <w:rFonts w:ascii="Times New Roman" w:hAnsi="Times New Roman" w:cs="Times New Roman"/>
          <w:lang w:val="en-GB"/>
        </w:rPr>
        <w:t xml:space="preserve">e delivered and eventually </w:t>
      </w:r>
      <w:r w:rsidR="00990A72">
        <w:rPr>
          <w:rFonts w:ascii="Times New Roman" w:hAnsi="Times New Roman" w:cs="Times New Roman"/>
          <w:lang w:val="en-GB"/>
        </w:rPr>
        <w:t>monitored,</w:t>
      </w:r>
      <w:r w:rsidR="00510131">
        <w:rPr>
          <w:rFonts w:ascii="Times New Roman" w:hAnsi="Times New Roman" w:cs="Times New Roman"/>
          <w:lang w:val="en-GB"/>
        </w:rPr>
        <w:t xml:space="preserve"> we do not consider it to be effective. </w:t>
      </w:r>
    </w:p>
    <w:p w14:paraId="5BBB6CD7" w14:textId="0C0CD6A8" w:rsidR="00570825" w:rsidRPr="00570825" w:rsidRDefault="005C22C8" w:rsidP="0057082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With </w:t>
      </w:r>
      <w:r w:rsidR="0026762D">
        <w:rPr>
          <w:rFonts w:ascii="Times New Roman" w:hAnsi="Times New Roman" w:cs="Times New Roman"/>
          <w:lang w:val="en-GB"/>
        </w:rPr>
        <w:t>regard</w:t>
      </w:r>
      <w:r>
        <w:rPr>
          <w:rFonts w:ascii="Times New Roman" w:hAnsi="Times New Roman" w:cs="Times New Roman"/>
          <w:lang w:val="en-GB"/>
        </w:rPr>
        <w:t xml:space="preserve"> </w:t>
      </w:r>
      <w:r w:rsidR="0026762D">
        <w:rPr>
          <w:rFonts w:ascii="Times New Roman" w:hAnsi="Times New Roman" w:cs="Times New Roman"/>
          <w:lang w:val="en-GB"/>
        </w:rPr>
        <w:t>to</w:t>
      </w:r>
      <w:r>
        <w:rPr>
          <w:rFonts w:ascii="Times New Roman" w:hAnsi="Times New Roman" w:cs="Times New Roman"/>
          <w:lang w:val="en-GB"/>
        </w:rPr>
        <w:t xml:space="preserve"> parts 3 and 4 </w:t>
      </w:r>
      <w:r w:rsidR="00933D47">
        <w:rPr>
          <w:rFonts w:ascii="Times New Roman" w:hAnsi="Times New Roman" w:cs="Times New Roman"/>
          <w:lang w:val="en-GB"/>
        </w:rPr>
        <w:t xml:space="preserve">which relate to </w:t>
      </w:r>
      <w:r w:rsidR="0026762D">
        <w:rPr>
          <w:rFonts w:ascii="Times New Roman" w:hAnsi="Times New Roman" w:cs="Times New Roman"/>
          <w:lang w:val="en-GB"/>
        </w:rPr>
        <w:t>measuring</w:t>
      </w:r>
      <w:r w:rsidR="00933D47">
        <w:rPr>
          <w:rFonts w:ascii="Times New Roman" w:hAnsi="Times New Roman" w:cs="Times New Roman"/>
          <w:lang w:val="en-GB"/>
        </w:rPr>
        <w:t xml:space="preserve"> embodied carbon and the level </w:t>
      </w:r>
      <w:r w:rsidR="0026762D">
        <w:rPr>
          <w:rFonts w:ascii="Times New Roman" w:hAnsi="Times New Roman" w:cs="Times New Roman"/>
          <w:lang w:val="en-GB"/>
        </w:rPr>
        <w:t>of</w:t>
      </w:r>
      <w:r w:rsidR="00933D47">
        <w:rPr>
          <w:rFonts w:ascii="Times New Roman" w:hAnsi="Times New Roman" w:cs="Times New Roman"/>
          <w:lang w:val="en-GB"/>
        </w:rPr>
        <w:t xml:space="preserve"> embodied carbon that will be permitted </w:t>
      </w:r>
      <w:r w:rsidR="0026762D">
        <w:rPr>
          <w:rFonts w:ascii="Times New Roman" w:hAnsi="Times New Roman" w:cs="Times New Roman"/>
          <w:lang w:val="en-GB"/>
        </w:rPr>
        <w:t>HBF are concerned that the</w:t>
      </w:r>
      <w:r w:rsidR="00FF16CD">
        <w:rPr>
          <w:rFonts w:ascii="Times New Roman" w:hAnsi="Times New Roman" w:cs="Times New Roman"/>
          <w:lang w:val="en-GB"/>
        </w:rPr>
        <w:t xml:space="preserve">re remains </w:t>
      </w:r>
      <w:r w:rsidR="00D45EFB">
        <w:rPr>
          <w:rFonts w:ascii="Times New Roman" w:hAnsi="Times New Roman" w:cs="Times New Roman"/>
          <w:lang w:val="en-GB"/>
        </w:rPr>
        <w:t>significant</w:t>
      </w:r>
      <w:r w:rsidR="00FF16CD">
        <w:rPr>
          <w:rFonts w:ascii="Times New Roman" w:hAnsi="Times New Roman" w:cs="Times New Roman"/>
          <w:lang w:val="en-GB"/>
        </w:rPr>
        <w:t xml:space="preserve"> </w:t>
      </w:r>
      <w:r w:rsidR="00D45EFB">
        <w:rPr>
          <w:rFonts w:ascii="Times New Roman" w:hAnsi="Times New Roman" w:cs="Times New Roman"/>
          <w:lang w:val="en-GB"/>
        </w:rPr>
        <w:t>uncertainty</w:t>
      </w:r>
      <w:r w:rsidR="00FF16CD">
        <w:rPr>
          <w:rFonts w:ascii="Times New Roman" w:hAnsi="Times New Roman" w:cs="Times New Roman"/>
          <w:lang w:val="en-GB"/>
        </w:rPr>
        <w:t xml:space="preserve"> as to the </w:t>
      </w:r>
      <w:r w:rsidR="00D45EFB">
        <w:rPr>
          <w:rFonts w:ascii="Times New Roman" w:hAnsi="Times New Roman" w:cs="Times New Roman"/>
          <w:lang w:val="en-GB"/>
        </w:rPr>
        <w:t>outputs</w:t>
      </w:r>
      <w:r w:rsidR="00FF16CD">
        <w:rPr>
          <w:rFonts w:ascii="Times New Roman" w:hAnsi="Times New Roman" w:cs="Times New Roman"/>
          <w:lang w:val="en-GB"/>
        </w:rPr>
        <w:t xml:space="preserve"> from such testing for it to be reliably used </w:t>
      </w:r>
      <w:r w:rsidR="00D45EFB">
        <w:rPr>
          <w:rFonts w:ascii="Times New Roman" w:hAnsi="Times New Roman" w:cs="Times New Roman"/>
          <w:lang w:val="en-GB"/>
        </w:rPr>
        <w:t xml:space="preserve">as a decision-making tool in a local plan. While there are an increasing number of products with EPC ratings there </w:t>
      </w:r>
      <w:r w:rsidR="006540EF">
        <w:rPr>
          <w:rFonts w:ascii="Times New Roman" w:hAnsi="Times New Roman" w:cs="Times New Roman"/>
          <w:lang w:val="en-GB"/>
        </w:rPr>
        <w:t xml:space="preserve">remain significant gaps in test with those undertaking such assessments having to use generic figures for some products that may or may not reflect the level of embodied carbon. </w:t>
      </w:r>
      <w:r w:rsidR="00F741F1">
        <w:rPr>
          <w:rFonts w:ascii="Times New Roman" w:hAnsi="Times New Roman" w:cs="Times New Roman"/>
          <w:lang w:val="en-GB"/>
        </w:rPr>
        <w:t xml:space="preserve">This wasa a concern </w:t>
      </w:r>
      <w:r w:rsidR="00570825">
        <w:rPr>
          <w:rFonts w:ascii="Times New Roman" w:hAnsi="Times New Roman" w:cs="Times New Roman"/>
          <w:lang w:val="en-GB"/>
        </w:rPr>
        <w:t xml:space="preserve">raied by AECOM in </w:t>
      </w:r>
      <w:r w:rsidR="00A77A90">
        <w:rPr>
          <w:rFonts w:ascii="Times New Roman" w:hAnsi="Times New Roman" w:cs="Times New Roman"/>
          <w:lang w:val="en-GB"/>
        </w:rPr>
        <w:t>their</w:t>
      </w:r>
      <w:r w:rsidR="00570825">
        <w:rPr>
          <w:rFonts w:ascii="Times New Roman" w:hAnsi="Times New Roman" w:cs="Times New Roman"/>
          <w:lang w:val="en-GB"/>
        </w:rPr>
        <w:t xml:space="preserve"> report for MHCLG titled </w:t>
      </w:r>
      <w:r w:rsidR="00570825" w:rsidRPr="00570825">
        <w:rPr>
          <w:rFonts w:ascii="Times New Roman" w:hAnsi="Times New Roman" w:cs="Times New Roman"/>
          <w:lang w:val="en-GB"/>
        </w:rPr>
        <w:t>“</w:t>
      </w:r>
      <w:r w:rsidR="00570825" w:rsidRPr="00570825">
        <w:rPr>
          <w:rFonts w:ascii="Times New Roman" w:hAnsi="Times New Roman" w:cs="Times New Roman"/>
          <w:i/>
          <w:iCs/>
          <w:lang w:val="en-GB"/>
        </w:rPr>
        <w:t>The practical, technical and economic impacts of measuring and reducing embodied carbon in new buildings</w:t>
      </w:r>
      <w:r w:rsidR="00570825" w:rsidRPr="00570825">
        <w:rPr>
          <w:rFonts w:ascii="Times New Roman" w:hAnsi="Times New Roman" w:cs="Times New Roman"/>
          <w:lang w:val="en-GB"/>
        </w:rPr>
        <w:t>”</w:t>
      </w:r>
      <w:r w:rsidR="00E41AD7">
        <w:rPr>
          <w:rStyle w:val="FootnoteReference"/>
          <w:rFonts w:ascii="Times New Roman" w:hAnsi="Times New Roman" w:cs="Times New Roman"/>
          <w:lang w:val="en-GB"/>
        </w:rPr>
        <w:footnoteReference w:id="1"/>
      </w:r>
      <w:r w:rsidR="00570825">
        <w:rPr>
          <w:rFonts w:ascii="Times New Roman" w:hAnsi="Times New Roman" w:cs="Times New Roman"/>
          <w:lang w:val="en-GB"/>
        </w:rPr>
        <w:t xml:space="preserve">. </w:t>
      </w:r>
      <w:r w:rsidR="005E7AF3">
        <w:rPr>
          <w:rFonts w:ascii="Times New Roman" w:hAnsi="Times New Roman" w:cs="Times New Roman"/>
          <w:lang w:val="en-GB"/>
        </w:rPr>
        <w:t>This</w:t>
      </w:r>
      <w:r w:rsidR="00570825">
        <w:rPr>
          <w:rFonts w:ascii="Times New Roman" w:hAnsi="Times New Roman" w:cs="Times New Roman"/>
          <w:lang w:val="en-GB"/>
        </w:rPr>
        <w:t xml:space="preserve"> report note</w:t>
      </w:r>
      <w:r w:rsidR="005E7AF3">
        <w:rPr>
          <w:rFonts w:ascii="Times New Roman" w:hAnsi="Times New Roman" w:cs="Times New Roman"/>
          <w:lang w:val="en-GB"/>
        </w:rPr>
        <w:t>s</w:t>
      </w:r>
      <w:r w:rsidR="00570825">
        <w:rPr>
          <w:rFonts w:ascii="Times New Roman" w:hAnsi="Times New Roman" w:cs="Times New Roman"/>
          <w:lang w:val="en-GB"/>
        </w:rPr>
        <w:t xml:space="preserve"> th</w:t>
      </w:r>
      <w:r w:rsidR="005E7AF3">
        <w:rPr>
          <w:rFonts w:ascii="Times New Roman" w:hAnsi="Times New Roman" w:cs="Times New Roman"/>
          <w:lang w:val="en-GB"/>
        </w:rPr>
        <w:t xml:space="preserve">e lack of </w:t>
      </w:r>
      <w:r w:rsidR="00673C94">
        <w:rPr>
          <w:rFonts w:ascii="Times New Roman" w:hAnsi="Times New Roman" w:cs="Times New Roman"/>
          <w:lang w:val="en-GB"/>
        </w:rPr>
        <w:t>consistency</w:t>
      </w:r>
      <w:r w:rsidR="007639FE">
        <w:rPr>
          <w:rFonts w:ascii="Times New Roman" w:hAnsi="Times New Roman" w:cs="Times New Roman"/>
          <w:lang w:val="en-GB"/>
        </w:rPr>
        <w:t xml:space="preserve"> between assessment </w:t>
      </w:r>
      <w:r w:rsidR="00673C94">
        <w:rPr>
          <w:rFonts w:ascii="Times New Roman" w:hAnsi="Times New Roman" w:cs="Times New Roman"/>
          <w:lang w:val="en-GB"/>
        </w:rPr>
        <w:t>methodologies</w:t>
      </w:r>
      <w:r w:rsidR="007639FE">
        <w:rPr>
          <w:rFonts w:ascii="Times New Roman" w:hAnsi="Times New Roman" w:cs="Times New Roman"/>
          <w:lang w:val="en-GB"/>
        </w:rPr>
        <w:t xml:space="preserve"> and the inability to compare </w:t>
      </w:r>
      <w:r w:rsidR="00673C94">
        <w:rPr>
          <w:rFonts w:ascii="Times New Roman" w:hAnsi="Times New Roman" w:cs="Times New Roman"/>
          <w:lang w:val="en-GB"/>
        </w:rPr>
        <w:t>data</w:t>
      </w:r>
      <w:r w:rsidR="007639FE">
        <w:rPr>
          <w:rFonts w:ascii="Times New Roman" w:hAnsi="Times New Roman" w:cs="Times New Roman"/>
          <w:lang w:val="en-GB"/>
        </w:rPr>
        <w:t xml:space="preserve"> and develop consistent </w:t>
      </w:r>
      <w:r w:rsidR="00673C94">
        <w:rPr>
          <w:rFonts w:ascii="Times New Roman" w:hAnsi="Times New Roman" w:cs="Times New Roman"/>
          <w:lang w:val="en-GB"/>
        </w:rPr>
        <w:t>standards</w:t>
      </w:r>
      <w:r w:rsidR="007639FE">
        <w:rPr>
          <w:rFonts w:ascii="Times New Roman" w:hAnsi="Times New Roman" w:cs="Times New Roman"/>
          <w:lang w:val="en-GB"/>
        </w:rPr>
        <w:t xml:space="preserve">. </w:t>
      </w:r>
      <w:r w:rsidR="00AA7B78">
        <w:rPr>
          <w:rFonts w:ascii="Times New Roman" w:hAnsi="Times New Roman" w:cs="Times New Roman"/>
          <w:lang w:val="en-GB"/>
        </w:rPr>
        <w:t xml:space="preserve">The report also noted that there are large gaps in the availability of both product </w:t>
      </w:r>
      <w:r w:rsidR="00EF2848">
        <w:rPr>
          <w:rFonts w:ascii="Times New Roman" w:hAnsi="Times New Roman" w:cs="Times New Roman"/>
          <w:lang w:val="en-GB"/>
        </w:rPr>
        <w:t>specific EPDs and generic data with one third of materials and products sampled in the UK lacking UK based EPDs.</w:t>
      </w:r>
      <w:r w:rsidR="008E2554">
        <w:rPr>
          <w:rFonts w:ascii="Times New Roman" w:hAnsi="Times New Roman" w:cs="Times New Roman"/>
          <w:lang w:val="en-GB"/>
        </w:rPr>
        <w:t xml:space="preserve"> </w:t>
      </w:r>
    </w:p>
    <w:p w14:paraId="632E32D9" w14:textId="18302A0A" w:rsidR="002B1B34" w:rsidRDefault="00673C94"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Such</w:t>
      </w:r>
      <w:r w:rsidR="006540EF">
        <w:rPr>
          <w:rFonts w:ascii="Times New Roman" w:hAnsi="Times New Roman" w:cs="Times New Roman"/>
          <w:lang w:val="en-GB"/>
        </w:rPr>
        <w:t xml:space="preserve"> </w:t>
      </w:r>
      <w:r w:rsidR="00990A72">
        <w:rPr>
          <w:rFonts w:ascii="Times New Roman" w:hAnsi="Times New Roman" w:cs="Times New Roman"/>
          <w:lang w:val="en-GB"/>
        </w:rPr>
        <w:t xml:space="preserve">a </w:t>
      </w:r>
      <w:r w:rsidR="006540EF">
        <w:rPr>
          <w:rFonts w:ascii="Times New Roman" w:hAnsi="Times New Roman" w:cs="Times New Roman"/>
          <w:lang w:val="en-GB"/>
        </w:rPr>
        <w:t xml:space="preserve">policy also </w:t>
      </w:r>
      <w:r w:rsidR="00CF0BFD">
        <w:rPr>
          <w:rFonts w:ascii="Times New Roman" w:hAnsi="Times New Roman" w:cs="Times New Roman"/>
          <w:lang w:val="en-GB"/>
        </w:rPr>
        <w:t>fails</w:t>
      </w:r>
      <w:r w:rsidR="006540EF">
        <w:rPr>
          <w:rFonts w:ascii="Times New Roman" w:hAnsi="Times New Roman" w:cs="Times New Roman"/>
          <w:lang w:val="en-GB"/>
        </w:rPr>
        <w:t xml:space="preserve"> to take into account </w:t>
      </w:r>
      <w:r w:rsidR="00990A72">
        <w:rPr>
          <w:rFonts w:ascii="Times New Roman" w:hAnsi="Times New Roman" w:cs="Times New Roman"/>
          <w:lang w:val="en-GB"/>
        </w:rPr>
        <w:t>of t</w:t>
      </w:r>
      <w:r w:rsidR="006540EF">
        <w:rPr>
          <w:rFonts w:ascii="Times New Roman" w:hAnsi="Times New Roman" w:cs="Times New Roman"/>
          <w:lang w:val="en-GB"/>
        </w:rPr>
        <w:t xml:space="preserve">he fact that </w:t>
      </w:r>
      <w:r w:rsidR="00EE1EA1">
        <w:rPr>
          <w:rFonts w:ascii="Times New Roman" w:hAnsi="Times New Roman" w:cs="Times New Roman"/>
          <w:lang w:val="en-GB"/>
        </w:rPr>
        <w:t xml:space="preserve">at the point of planning it is not always known where products will be sourced. </w:t>
      </w:r>
      <w:r w:rsidR="00DB6FDD">
        <w:rPr>
          <w:rFonts w:ascii="Times New Roman" w:hAnsi="Times New Roman" w:cs="Times New Roman"/>
          <w:lang w:val="en-GB"/>
        </w:rPr>
        <w:t>Sometimes it may need to be necessary to change suppliers to avoid delays in construction and this</w:t>
      </w:r>
      <w:r w:rsidR="004A1F48">
        <w:rPr>
          <w:rFonts w:ascii="Times New Roman" w:hAnsi="Times New Roman" w:cs="Times New Roman"/>
          <w:lang w:val="en-GB"/>
        </w:rPr>
        <w:t xml:space="preserve"> can have </w:t>
      </w:r>
      <w:r w:rsidR="00CF0BFD">
        <w:rPr>
          <w:rFonts w:ascii="Times New Roman" w:hAnsi="Times New Roman" w:cs="Times New Roman"/>
          <w:lang w:val="en-GB"/>
        </w:rPr>
        <w:t>significant</w:t>
      </w:r>
      <w:r w:rsidR="004A1F48">
        <w:rPr>
          <w:rFonts w:ascii="Times New Roman" w:hAnsi="Times New Roman" w:cs="Times New Roman"/>
          <w:lang w:val="en-GB"/>
        </w:rPr>
        <w:t xml:space="preserve"> on </w:t>
      </w:r>
      <w:r w:rsidR="00CF0BFD">
        <w:rPr>
          <w:rFonts w:ascii="Times New Roman" w:hAnsi="Times New Roman" w:cs="Times New Roman"/>
          <w:lang w:val="en-GB"/>
        </w:rPr>
        <w:t>embodied</w:t>
      </w:r>
      <w:r w:rsidR="004A1F48">
        <w:rPr>
          <w:rFonts w:ascii="Times New Roman" w:hAnsi="Times New Roman" w:cs="Times New Roman"/>
          <w:lang w:val="en-GB"/>
        </w:rPr>
        <w:t xml:space="preserve"> </w:t>
      </w:r>
      <w:r w:rsidR="00CF0BFD">
        <w:rPr>
          <w:rFonts w:ascii="Times New Roman" w:hAnsi="Times New Roman" w:cs="Times New Roman"/>
          <w:lang w:val="en-GB"/>
        </w:rPr>
        <w:t>carbon</w:t>
      </w:r>
      <w:r w:rsidR="004A1F48">
        <w:rPr>
          <w:rFonts w:ascii="Times New Roman" w:hAnsi="Times New Roman" w:cs="Times New Roman"/>
          <w:lang w:val="en-GB"/>
        </w:rPr>
        <w:t xml:space="preserve"> if such </w:t>
      </w:r>
      <w:r w:rsidR="00CF0BFD">
        <w:rPr>
          <w:rFonts w:ascii="Times New Roman" w:hAnsi="Times New Roman" w:cs="Times New Roman"/>
          <w:lang w:val="en-GB"/>
        </w:rPr>
        <w:t>products</w:t>
      </w:r>
      <w:r w:rsidR="004A1F48">
        <w:rPr>
          <w:rFonts w:ascii="Times New Roman" w:hAnsi="Times New Roman" w:cs="Times New Roman"/>
          <w:lang w:val="en-GB"/>
        </w:rPr>
        <w:t xml:space="preserve"> have to be purchased from a different supplier. </w:t>
      </w:r>
      <w:r w:rsidR="002B1B34">
        <w:rPr>
          <w:rFonts w:ascii="Times New Roman" w:hAnsi="Times New Roman" w:cs="Times New Roman"/>
          <w:lang w:val="en-GB"/>
        </w:rPr>
        <w:t>Therefore,</w:t>
      </w:r>
      <w:r w:rsidR="00B516CA">
        <w:rPr>
          <w:rFonts w:ascii="Times New Roman" w:hAnsi="Times New Roman" w:cs="Times New Roman"/>
          <w:lang w:val="en-GB"/>
        </w:rPr>
        <w:t xml:space="preserve"> on the basis that is not possible to accurately</w:t>
      </w:r>
      <w:r w:rsidR="00F47112">
        <w:rPr>
          <w:rFonts w:ascii="Times New Roman" w:hAnsi="Times New Roman" w:cs="Times New Roman"/>
          <w:lang w:val="en-GB"/>
        </w:rPr>
        <w:t xml:space="preserve"> and consistently</w:t>
      </w:r>
      <w:r w:rsidR="00B516CA">
        <w:rPr>
          <w:rFonts w:ascii="Times New Roman" w:hAnsi="Times New Roman" w:cs="Times New Roman"/>
          <w:lang w:val="en-GB"/>
        </w:rPr>
        <w:t xml:space="preserve"> measure the </w:t>
      </w:r>
      <w:r w:rsidR="00F47112">
        <w:rPr>
          <w:rFonts w:ascii="Times New Roman" w:hAnsi="Times New Roman" w:cs="Times New Roman"/>
          <w:lang w:val="en-GB"/>
        </w:rPr>
        <w:t>level</w:t>
      </w:r>
      <w:r w:rsidR="00B516CA">
        <w:rPr>
          <w:rFonts w:ascii="Times New Roman" w:hAnsi="Times New Roman" w:cs="Times New Roman"/>
          <w:lang w:val="en-GB"/>
        </w:rPr>
        <w:t xml:space="preserve"> </w:t>
      </w:r>
      <w:r w:rsidR="00F47112">
        <w:rPr>
          <w:rFonts w:ascii="Times New Roman" w:hAnsi="Times New Roman" w:cs="Times New Roman"/>
          <w:lang w:val="en-GB"/>
        </w:rPr>
        <w:t>o</w:t>
      </w:r>
      <w:r w:rsidR="00B516CA">
        <w:rPr>
          <w:rFonts w:ascii="Times New Roman" w:hAnsi="Times New Roman" w:cs="Times New Roman"/>
          <w:lang w:val="en-GB"/>
        </w:rPr>
        <w:t xml:space="preserve">f embodied carbon </w:t>
      </w:r>
      <w:r w:rsidR="00F47112">
        <w:rPr>
          <w:rFonts w:ascii="Times New Roman" w:hAnsi="Times New Roman" w:cs="Times New Roman"/>
          <w:lang w:val="en-GB"/>
        </w:rPr>
        <w:t xml:space="preserve">in a building at present a fixed target should not be applied. </w:t>
      </w:r>
    </w:p>
    <w:p w14:paraId="4981BD40" w14:textId="50692204" w:rsidR="005C5090" w:rsidRDefault="00D520B5"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Meeting a fixed target can also be made impossible by other policies in the local plan</w:t>
      </w:r>
      <w:r w:rsidR="00543F50">
        <w:rPr>
          <w:rFonts w:ascii="Times New Roman" w:hAnsi="Times New Roman" w:cs="Times New Roman"/>
          <w:lang w:val="en-GB"/>
        </w:rPr>
        <w:t xml:space="preserve"> or</w:t>
      </w:r>
      <w:r>
        <w:rPr>
          <w:rFonts w:ascii="Times New Roman" w:hAnsi="Times New Roman" w:cs="Times New Roman"/>
          <w:lang w:val="en-GB"/>
        </w:rPr>
        <w:t xml:space="preserve"> indeed building </w:t>
      </w:r>
      <w:r w:rsidR="00543F50">
        <w:rPr>
          <w:rFonts w:ascii="Times New Roman" w:hAnsi="Times New Roman" w:cs="Times New Roman"/>
          <w:lang w:val="en-GB"/>
        </w:rPr>
        <w:t>regulations</w:t>
      </w:r>
      <w:r>
        <w:rPr>
          <w:rFonts w:ascii="Times New Roman" w:hAnsi="Times New Roman" w:cs="Times New Roman"/>
          <w:lang w:val="en-GB"/>
        </w:rPr>
        <w:t>.</w:t>
      </w:r>
      <w:r w:rsidR="004B1651">
        <w:rPr>
          <w:rFonts w:ascii="Times New Roman" w:hAnsi="Times New Roman" w:cs="Times New Roman"/>
          <w:lang w:val="en-GB"/>
        </w:rPr>
        <w:t xml:space="preserve"> </w:t>
      </w:r>
      <w:r w:rsidR="00543F50">
        <w:rPr>
          <w:rFonts w:ascii="Times New Roman" w:hAnsi="Times New Roman" w:cs="Times New Roman"/>
          <w:lang w:val="en-GB"/>
        </w:rPr>
        <w:t xml:space="preserve">For </w:t>
      </w:r>
      <w:r w:rsidR="00F25C47">
        <w:rPr>
          <w:rFonts w:ascii="Times New Roman" w:hAnsi="Times New Roman" w:cs="Times New Roman"/>
          <w:lang w:val="en-GB"/>
        </w:rPr>
        <w:t>example,</w:t>
      </w:r>
      <w:r w:rsidR="00543F50">
        <w:rPr>
          <w:rFonts w:ascii="Times New Roman" w:hAnsi="Times New Roman" w:cs="Times New Roman"/>
          <w:lang w:val="en-GB"/>
        </w:rPr>
        <w:t xml:space="preserve"> the </w:t>
      </w:r>
      <w:r w:rsidR="004B1651">
        <w:rPr>
          <w:rFonts w:ascii="Times New Roman" w:hAnsi="Times New Roman" w:cs="Times New Roman"/>
          <w:lang w:val="en-GB"/>
        </w:rPr>
        <w:t>requirement</w:t>
      </w:r>
      <w:r w:rsidR="00543F50">
        <w:rPr>
          <w:rFonts w:ascii="Times New Roman" w:hAnsi="Times New Roman" w:cs="Times New Roman"/>
          <w:lang w:val="en-GB"/>
        </w:rPr>
        <w:t xml:space="preserve"> for new homes to have solar panels and heat </w:t>
      </w:r>
      <w:r w:rsidR="004B1651">
        <w:rPr>
          <w:rFonts w:ascii="Times New Roman" w:hAnsi="Times New Roman" w:cs="Times New Roman"/>
          <w:lang w:val="en-GB"/>
        </w:rPr>
        <w:t xml:space="preserve">pumps in the Future Homes </w:t>
      </w:r>
      <w:r w:rsidR="004B1651">
        <w:rPr>
          <w:rFonts w:ascii="Times New Roman" w:hAnsi="Times New Roman" w:cs="Times New Roman"/>
          <w:lang w:val="en-GB"/>
        </w:rPr>
        <w:lastRenderedPageBreak/>
        <w:t>Standard will lead to much higher embodied carbon</w:t>
      </w:r>
      <w:r w:rsidR="002F0685">
        <w:rPr>
          <w:rFonts w:ascii="Times New Roman" w:hAnsi="Times New Roman" w:cs="Times New Roman"/>
          <w:lang w:val="en-GB"/>
        </w:rPr>
        <w:t xml:space="preserve"> due to the material s used in the construction of these and </w:t>
      </w:r>
      <w:r w:rsidR="00D5785D">
        <w:rPr>
          <w:rFonts w:ascii="Times New Roman" w:hAnsi="Times New Roman" w:cs="Times New Roman"/>
          <w:lang w:val="en-GB"/>
        </w:rPr>
        <w:t xml:space="preserve">where the majority of this equipment is produced. </w:t>
      </w:r>
      <w:r w:rsidR="00F25C47">
        <w:rPr>
          <w:rFonts w:ascii="Times New Roman" w:hAnsi="Times New Roman" w:cs="Times New Roman"/>
          <w:lang w:val="en-GB"/>
        </w:rPr>
        <w:t>For example,</w:t>
      </w:r>
      <w:r w:rsidR="00D5785D">
        <w:rPr>
          <w:rFonts w:ascii="Times New Roman" w:hAnsi="Times New Roman" w:cs="Times New Roman"/>
          <w:lang w:val="en-GB"/>
        </w:rPr>
        <w:t xml:space="preserve"> the embodied carbon a solar panel will be </w:t>
      </w:r>
      <w:r w:rsidR="00F25C47">
        <w:rPr>
          <w:rFonts w:ascii="Times New Roman" w:hAnsi="Times New Roman" w:cs="Times New Roman"/>
          <w:lang w:val="en-GB"/>
        </w:rPr>
        <w:t>significantly</w:t>
      </w:r>
      <w:r w:rsidR="00D5785D">
        <w:rPr>
          <w:rFonts w:ascii="Times New Roman" w:hAnsi="Times New Roman" w:cs="Times New Roman"/>
          <w:lang w:val="en-GB"/>
        </w:rPr>
        <w:t xml:space="preserve"> higher than a tile </w:t>
      </w:r>
      <w:r w:rsidR="00F25C47">
        <w:rPr>
          <w:rFonts w:ascii="Times New Roman" w:hAnsi="Times New Roman" w:cs="Times New Roman"/>
          <w:lang w:val="en-GB"/>
        </w:rPr>
        <w:t xml:space="preserve">from a UK manufacturer. There </w:t>
      </w:r>
      <w:r w:rsidR="0027229F">
        <w:rPr>
          <w:rFonts w:ascii="Times New Roman" w:hAnsi="Times New Roman" w:cs="Times New Roman"/>
          <w:lang w:val="en-GB"/>
        </w:rPr>
        <w:t>may</w:t>
      </w:r>
      <w:r w:rsidR="00F25C47">
        <w:rPr>
          <w:rFonts w:ascii="Times New Roman" w:hAnsi="Times New Roman" w:cs="Times New Roman"/>
          <w:lang w:val="en-GB"/>
        </w:rPr>
        <w:t xml:space="preserve"> also be issue with regard to</w:t>
      </w:r>
      <w:r w:rsidR="00467DD6">
        <w:rPr>
          <w:rFonts w:ascii="Times New Roman" w:hAnsi="Times New Roman" w:cs="Times New Roman"/>
          <w:lang w:val="en-GB"/>
        </w:rPr>
        <w:t xml:space="preserve"> low embodied carbon materials and </w:t>
      </w:r>
      <w:r w:rsidR="0027229F">
        <w:rPr>
          <w:rFonts w:ascii="Times New Roman" w:hAnsi="Times New Roman" w:cs="Times New Roman"/>
          <w:lang w:val="en-GB"/>
        </w:rPr>
        <w:t>policies</w:t>
      </w:r>
      <w:r w:rsidR="00467DD6">
        <w:rPr>
          <w:rFonts w:ascii="Times New Roman" w:hAnsi="Times New Roman" w:cs="Times New Roman"/>
          <w:lang w:val="en-GB"/>
        </w:rPr>
        <w:t xml:space="preserve"> related to design. </w:t>
      </w:r>
      <w:r w:rsidR="0027229F">
        <w:rPr>
          <w:rFonts w:ascii="Times New Roman" w:hAnsi="Times New Roman" w:cs="Times New Roman"/>
          <w:lang w:val="en-GB"/>
        </w:rPr>
        <w:t xml:space="preserve">A policy may require a specific type of brick </w:t>
      </w:r>
      <w:r w:rsidR="00AD0237">
        <w:rPr>
          <w:rFonts w:ascii="Times New Roman" w:hAnsi="Times New Roman" w:cs="Times New Roman"/>
          <w:lang w:val="en-GB"/>
        </w:rPr>
        <w:t xml:space="preserve">which is a higher embodied carbon than a lower carbon alternative </w:t>
      </w:r>
      <w:r w:rsidR="00134A23">
        <w:rPr>
          <w:rFonts w:ascii="Times New Roman" w:hAnsi="Times New Roman" w:cs="Times New Roman"/>
          <w:lang w:val="en-GB"/>
        </w:rPr>
        <w:t xml:space="preserve">making it impossible to meet a specific standard. </w:t>
      </w:r>
      <w:r w:rsidR="00AD0237">
        <w:rPr>
          <w:rFonts w:ascii="Times New Roman" w:hAnsi="Times New Roman" w:cs="Times New Roman"/>
          <w:lang w:val="en-GB"/>
        </w:rPr>
        <w:t xml:space="preserve"> </w:t>
      </w:r>
    </w:p>
    <w:p w14:paraId="786FD1F1" w14:textId="4DFBA441" w:rsidR="00A170B9" w:rsidRDefault="00704CD5"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Finally,</w:t>
      </w:r>
      <w:r w:rsidR="00A170B9">
        <w:rPr>
          <w:rFonts w:ascii="Times New Roman" w:hAnsi="Times New Roman" w:cs="Times New Roman"/>
          <w:lang w:val="en-GB"/>
        </w:rPr>
        <w:t xml:space="preserve"> there is no evidence provided as to how much this will cost</w:t>
      </w:r>
      <w:r w:rsidR="00EB3443">
        <w:rPr>
          <w:rFonts w:ascii="Times New Roman" w:hAnsi="Times New Roman" w:cs="Times New Roman"/>
          <w:lang w:val="en-GB"/>
        </w:rPr>
        <w:t xml:space="preserve"> and no assessment as o tits impact in the WPVA. The Council will need to consider the per sqm cost differential of delivering a home to this level of </w:t>
      </w:r>
      <w:r>
        <w:rPr>
          <w:rFonts w:ascii="Times New Roman" w:hAnsi="Times New Roman" w:cs="Times New Roman"/>
          <w:lang w:val="en-GB"/>
        </w:rPr>
        <w:t xml:space="preserve">embodied carbon. Without a clear a comprehensive examination of the impact on </w:t>
      </w:r>
      <w:r w:rsidR="00AC618D">
        <w:rPr>
          <w:rFonts w:ascii="Times New Roman" w:hAnsi="Times New Roman" w:cs="Times New Roman"/>
          <w:lang w:val="en-GB"/>
        </w:rPr>
        <w:t>viability</w:t>
      </w:r>
      <w:r>
        <w:rPr>
          <w:rFonts w:ascii="Times New Roman" w:hAnsi="Times New Roman" w:cs="Times New Roman"/>
          <w:lang w:val="en-GB"/>
        </w:rPr>
        <w:t xml:space="preserve"> of this policy it </w:t>
      </w:r>
      <w:r w:rsidR="00AC618D">
        <w:rPr>
          <w:rFonts w:ascii="Times New Roman" w:hAnsi="Times New Roman" w:cs="Times New Roman"/>
          <w:lang w:val="en-GB"/>
        </w:rPr>
        <w:t xml:space="preserve">cannot be considered to be justified. </w:t>
      </w:r>
      <w:r>
        <w:rPr>
          <w:rFonts w:ascii="Times New Roman" w:hAnsi="Times New Roman" w:cs="Times New Roman"/>
          <w:lang w:val="en-GB"/>
        </w:rPr>
        <w:t xml:space="preserve"> </w:t>
      </w:r>
    </w:p>
    <w:p w14:paraId="0ACF900C" w14:textId="676F0B3C" w:rsidR="00001DD2" w:rsidRDefault="008E2554" w:rsidP="007D722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Without </w:t>
      </w:r>
      <w:r w:rsidR="005B381B">
        <w:rPr>
          <w:rFonts w:ascii="Times New Roman" w:hAnsi="Times New Roman" w:cs="Times New Roman"/>
          <w:lang w:val="en-GB"/>
        </w:rPr>
        <w:t>consistent</w:t>
      </w:r>
      <w:r>
        <w:rPr>
          <w:rFonts w:ascii="Times New Roman" w:hAnsi="Times New Roman" w:cs="Times New Roman"/>
          <w:lang w:val="en-GB"/>
        </w:rPr>
        <w:t xml:space="preserve"> data on </w:t>
      </w:r>
      <w:r w:rsidR="005B381B">
        <w:rPr>
          <w:rFonts w:ascii="Times New Roman" w:hAnsi="Times New Roman" w:cs="Times New Roman"/>
          <w:lang w:val="en-GB"/>
        </w:rPr>
        <w:t xml:space="preserve">embodied carbon or a fixed methodology for assessment of embodied carbon it is too early to start setting fixed </w:t>
      </w:r>
      <w:r w:rsidR="000B5766">
        <w:rPr>
          <w:rFonts w:ascii="Times New Roman" w:hAnsi="Times New Roman" w:cs="Times New Roman"/>
          <w:lang w:val="en-GB"/>
        </w:rPr>
        <w:t>requirements in planning policy for embodied carbon</w:t>
      </w:r>
      <w:r w:rsidR="001A49A7">
        <w:rPr>
          <w:rFonts w:ascii="Times New Roman" w:hAnsi="Times New Roman" w:cs="Times New Roman"/>
          <w:lang w:val="en-GB"/>
        </w:rPr>
        <w:t xml:space="preserve"> </w:t>
      </w:r>
      <w:r w:rsidR="007A3948">
        <w:rPr>
          <w:rFonts w:ascii="Times New Roman" w:hAnsi="Times New Roman" w:cs="Times New Roman"/>
          <w:lang w:val="en-GB"/>
        </w:rPr>
        <w:t>means such policies are not effective</w:t>
      </w:r>
      <w:r w:rsidR="001A49A7">
        <w:rPr>
          <w:rFonts w:ascii="Times New Roman" w:hAnsi="Times New Roman" w:cs="Times New Roman"/>
          <w:lang w:val="en-GB"/>
        </w:rPr>
        <w:t>.</w:t>
      </w:r>
      <w:r w:rsidR="005B381B">
        <w:rPr>
          <w:rFonts w:ascii="Times New Roman" w:hAnsi="Times New Roman" w:cs="Times New Roman"/>
          <w:lang w:val="en-GB"/>
        </w:rPr>
        <w:t xml:space="preserve"> </w:t>
      </w:r>
      <w:r w:rsidR="002B1B34">
        <w:rPr>
          <w:rFonts w:ascii="Times New Roman" w:hAnsi="Times New Roman" w:cs="Times New Roman"/>
          <w:lang w:val="en-GB"/>
        </w:rPr>
        <w:t xml:space="preserve">However, HBF recognises that it is important to reduce embodied </w:t>
      </w:r>
      <w:r w:rsidR="000B5766">
        <w:rPr>
          <w:rFonts w:ascii="Times New Roman" w:hAnsi="Times New Roman" w:cs="Times New Roman"/>
          <w:lang w:val="en-GB"/>
        </w:rPr>
        <w:t>carbon,</w:t>
      </w:r>
      <w:r w:rsidR="002B1B34">
        <w:rPr>
          <w:rFonts w:ascii="Times New Roman" w:hAnsi="Times New Roman" w:cs="Times New Roman"/>
          <w:lang w:val="en-GB"/>
        </w:rPr>
        <w:t xml:space="preserve"> and </w:t>
      </w:r>
      <w:r w:rsidR="001B26B3">
        <w:rPr>
          <w:rFonts w:ascii="Times New Roman" w:hAnsi="Times New Roman" w:cs="Times New Roman"/>
          <w:lang w:val="en-GB"/>
        </w:rPr>
        <w:t xml:space="preserve">we </w:t>
      </w:r>
      <w:r w:rsidR="005C5090">
        <w:rPr>
          <w:rFonts w:ascii="Times New Roman" w:hAnsi="Times New Roman" w:cs="Times New Roman"/>
          <w:lang w:val="en-GB"/>
        </w:rPr>
        <w:t>would</w:t>
      </w:r>
      <w:r w:rsidR="001B26B3">
        <w:rPr>
          <w:rFonts w:ascii="Times New Roman" w:hAnsi="Times New Roman" w:cs="Times New Roman"/>
          <w:lang w:val="en-GB"/>
        </w:rPr>
        <w:t xml:space="preserve"> therefore suggest that a policy that </w:t>
      </w:r>
      <w:r w:rsidR="000B5766">
        <w:rPr>
          <w:rFonts w:ascii="Times New Roman" w:hAnsi="Times New Roman" w:cs="Times New Roman"/>
          <w:lang w:val="en-GB"/>
        </w:rPr>
        <w:t>supports</w:t>
      </w:r>
      <w:r w:rsidR="001B26B3">
        <w:rPr>
          <w:rFonts w:ascii="Times New Roman" w:hAnsi="Times New Roman" w:cs="Times New Roman"/>
          <w:lang w:val="en-GB"/>
        </w:rPr>
        <w:t xml:space="preserve"> development to show </w:t>
      </w:r>
      <w:r w:rsidR="000B5766">
        <w:rPr>
          <w:rFonts w:ascii="Times New Roman" w:hAnsi="Times New Roman" w:cs="Times New Roman"/>
          <w:lang w:val="en-GB"/>
        </w:rPr>
        <w:t>how</w:t>
      </w:r>
      <w:r w:rsidR="001B26B3">
        <w:rPr>
          <w:rFonts w:ascii="Times New Roman" w:hAnsi="Times New Roman" w:cs="Times New Roman"/>
          <w:lang w:val="en-GB"/>
        </w:rPr>
        <w:t xml:space="preserve"> they have looked to</w:t>
      </w:r>
      <w:r w:rsidR="005C5090">
        <w:rPr>
          <w:rFonts w:ascii="Times New Roman" w:hAnsi="Times New Roman" w:cs="Times New Roman"/>
          <w:lang w:val="en-GB"/>
        </w:rPr>
        <w:t xml:space="preserve"> </w:t>
      </w:r>
      <w:r w:rsidR="001B26B3">
        <w:rPr>
          <w:rFonts w:ascii="Times New Roman" w:hAnsi="Times New Roman" w:cs="Times New Roman"/>
          <w:lang w:val="en-GB"/>
        </w:rPr>
        <w:t xml:space="preserve">reduce embodied carbon in their buildings would be </w:t>
      </w:r>
      <w:r w:rsidR="008F4F66">
        <w:rPr>
          <w:rFonts w:ascii="Times New Roman" w:hAnsi="Times New Roman" w:cs="Times New Roman"/>
          <w:lang w:val="en-GB"/>
        </w:rPr>
        <w:t>more appropriate</w:t>
      </w:r>
      <w:r w:rsidR="00591DE8">
        <w:rPr>
          <w:rFonts w:ascii="Times New Roman" w:hAnsi="Times New Roman" w:cs="Times New Roman"/>
          <w:lang w:val="en-GB"/>
        </w:rPr>
        <w:t xml:space="preserve"> and consistent with current policy</w:t>
      </w:r>
      <w:r w:rsidR="001B26B3">
        <w:rPr>
          <w:rFonts w:ascii="Times New Roman" w:hAnsi="Times New Roman" w:cs="Times New Roman"/>
          <w:lang w:val="en-GB"/>
        </w:rPr>
        <w:t xml:space="preserve">. This will </w:t>
      </w:r>
      <w:r w:rsidR="005C5090">
        <w:rPr>
          <w:rFonts w:ascii="Times New Roman" w:hAnsi="Times New Roman" w:cs="Times New Roman"/>
          <w:lang w:val="en-GB"/>
        </w:rPr>
        <w:t xml:space="preserve">ensure that embodied carbon is reduced without compromising the </w:t>
      </w:r>
      <w:r w:rsidR="000B5766">
        <w:rPr>
          <w:rFonts w:ascii="Times New Roman" w:hAnsi="Times New Roman" w:cs="Times New Roman"/>
          <w:lang w:val="en-GB"/>
        </w:rPr>
        <w:t>ability</w:t>
      </w:r>
      <w:r w:rsidR="005C5090">
        <w:rPr>
          <w:rFonts w:ascii="Times New Roman" w:hAnsi="Times New Roman" w:cs="Times New Roman"/>
          <w:lang w:val="en-GB"/>
        </w:rPr>
        <w:t xml:space="preserve"> o</w:t>
      </w:r>
      <w:r w:rsidR="000B5766">
        <w:rPr>
          <w:rFonts w:ascii="Times New Roman" w:hAnsi="Times New Roman" w:cs="Times New Roman"/>
          <w:lang w:val="en-GB"/>
        </w:rPr>
        <w:t>f</w:t>
      </w:r>
      <w:r w:rsidR="005C5090">
        <w:rPr>
          <w:rFonts w:ascii="Times New Roman" w:hAnsi="Times New Roman" w:cs="Times New Roman"/>
          <w:lang w:val="en-GB"/>
        </w:rPr>
        <w:t xml:space="preserve"> all </w:t>
      </w:r>
      <w:r w:rsidR="000B5766">
        <w:rPr>
          <w:rFonts w:ascii="Times New Roman" w:hAnsi="Times New Roman" w:cs="Times New Roman"/>
          <w:lang w:val="en-GB"/>
        </w:rPr>
        <w:t>housebuilders</w:t>
      </w:r>
      <w:r w:rsidR="005C5090">
        <w:rPr>
          <w:rFonts w:ascii="Times New Roman" w:hAnsi="Times New Roman" w:cs="Times New Roman"/>
          <w:lang w:val="en-GB"/>
        </w:rPr>
        <w:t xml:space="preserve"> to </w:t>
      </w:r>
      <w:r w:rsidR="000B5766">
        <w:rPr>
          <w:rFonts w:ascii="Times New Roman" w:hAnsi="Times New Roman" w:cs="Times New Roman"/>
          <w:lang w:val="en-GB"/>
        </w:rPr>
        <w:t>deliver</w:t>
      </w:r>
      <w:r w:rsidR="005C5090">
        <w:rPr>
          <w:rFonts w:ascii="Times New Roman" w:hAnsi="Times New Roman" w:cs="Times New Roman"/>
          <w:lang w:val="en-GB"/>
        </w:rPr>
        <w:t xml:space="preserve"> new homes. </w:t>
      </w:r>
    </w:p>
    <w:p w14:paraId="2C5E3649" w14:textId="3AA6651A" w:rsidR="00A8343D" w:rsidRDefault="00A8343D" w:rsidP="00A8343D">
      <w:pPr>
        <w:widowControl/>
        <w:suppressAutoHyphens w:val="0"/>
        <w:autoSpaceDE/>
        <w:spacing w:after="240" w:line="360" w:lineRule="auto"/>
        <w:jc w:val="both"/>
        <w:rPr>
          <w:rFonts w:ascii="Times New Roman" w:hAnsi="Times New Roman" w:cs="Times New Roman"/>
          <w:b/>
          <w:bCs/>
          <w:lang w:val="en-GB"/>
        </w:rPr>
      </w:pPr>
      <w:r w:rsidRPr="00A8343D">
        <w:rPr>
          <w:rFonts w:ascii="Times New Roman" w:hAnsi="Times New Roman" w:cs="Times New Roman"/>
          <w:b/>
          <w:bCs/>
          <w:lang w:val="en-GB"/>
        </w:rPr>
        <w:t>Question 69</w:t>
      </w:r>
      <w:r w:rsidRPr="00A8343D">
        <w:rPr>
          <w:rFonts w:ascii="Times New Roman" w:hAnsi="Times New Roman" w:cs="Times New Roman"/>
          <w:b/>
          <w:bCs/>
          <w:lang w:val="en-GB"/>
        </w:rPr>
        <w:t xml:space="preserve"> </w:t>
      </w:r>
      <w:r w:rsidRPr="00A8343D">
        <w:rPr>
          <w:rFonts w:ascii="Times New Roman" w:hAnsi="Times New Roman" w:cs="Times New Roman"/>
          <w:b/>
          <w:bCs/>
          <w:lang w:val="en-GB"/>
        </w:rPr>
        <w:t>Do you support or object to Policy C10? What would you add, remove or amend to support it further or</w:t>
      </w:r>
      <w:r w:rsidRPr="00A8343D">
        <w:rPr>
          <w:rFonts w:ascii="Times New Roman" w:hAnsi="Times New Roman" w:cs="Times New Roman"/>
          <w:b/>
          <w:bCs/>
          <w:lang w:val="en-GB"/>
        </w:rPr>
        <w:t xml:space="preserve"> </w:t>
      </w:r>
      <w:r w:rsidRPr="00A8343D">
        <w:rPr>
          <w:rFonts w:ascii="Times New Roman" w:hAnsi="Times New Roman" w:cs="Times New Roman"/>
          <w:b/>
          <w:bCs/>
          <w:lang w:val="en-GB"/>
        </w:rPr>
        <w:t>to remove your objection?</w:t>
      </w:r>
    </w:p>
    <w:p w14:paraId="0037432B" w14:textId="77777777" w:rsidR="00E137EB" w:rsidRDefault="00597B7F" w:rsidP="00E137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lang w:val="en-GB"/>
        </w:rPr>
        <w:t xml:space="preserve">In </w:t>
      </w:r>
      <w:r w:rsidR="000308CF">
        <w:rPr>
          <w:rFonts w:ascii="Times New Roman" w:hAnsi="Times New Roman" w:cs="Times New Roman"/>
          <w:lang w:val="en-GB"/>
        </w:rPr>
        <w:t xml:space="preserve">considering this policy the starting must be the legal responsibilities of water companies to connect new development to </w:t>
      </w:r>
      <w:r w:rsidR="0065371C">
        <w:rPr>
          <w:rFonts w:ascii="Times New Roman" w:hAnsi="Times New Roman" w:cs="Times New Roman"/>
          <w:lang w:val="en-GB"/>
        </w:rPr>
        <w:t xml:space="preserve">the water and waste water networks. </w:t>
      </w:r>
      <w:r w:rsidR="00E137EB" w:rsidRPr="00E137EB">
        <w:rPr>
          <w:rFonts w:ascii="Times New Roman" w:hAnsi="Times New Roman" w:cs="Times New Roman"/>
          <w:bCs/>
        </w:rPr>
        <w:t xml:space="preserve">it is the legal responsibility of water companies to ensure a supply of water for new development and that it should not be for house builders and other developers to address the failings of water </w:t>
      </w:r>
      <w:r w:rsidR="00E137EB" w:rsidRPr="00E137EB">
        <w:rPr>
          <w:rFonts w:ascii="Times New Roman" w:hAnsi="Times New Roman" w:cs="Times New Roman"/>
          <w:lang w:val="en-GB"/>
        </w:rPr>
        <w:t>companies</w:t>
      </w:r>
      <w:r w:rsidR="00E137EB" w:rsidRPr="00E137EB">
        <w:rPr>
          <w:rFonts w:ascii="Times New Roman" w:hAnsi="Times New Roman" w:cs="Times New Roman"/>
          <w:bCs/>
        </w:rPr>
        <w:t xml:space="preserve"> to upgrade infrastructure to </w:t>
      </w:r>
      <w:r w:rsidR="00E137EB" w:rsidRPr="00E137EB">
        <w:rPr>
          <w:rFonts w:ascii="Times New Roman" w:hAnsi="Times New Roman" w:cs="Times New Roman"/>
          <w:bCs/>
          <w:lang w:val="en-GB"/>
        </w:rPr>
        <w:t>increase</w:t>
      </w:r>
      <w:r w:rsidR="00E137EB" w:rsidRPr="00E137EB">
        <w:rPr>
          <w:rFonts w:ascii="Times New Roman" w:hAnsi="Times New Roman" w:cs="Times New Roman"/>
          <w:bCs/>
        </w:rPr>
        <w:t xml:space="preserve"> supply and prevent the huge loss of water from leaks. It is therefore not sound for the council to ask developers to show that there is capacity. HBF does not consider this to be necessary as the capacity of the water supply infrastructure to be a land use planning matter for consideration on an application-by-application basis as Water companies are subject to statutory duties under S37 and 94 of the Water Industry Act 1991 (WIA 1991). Section 37 of the Act, set out below, imposes a statutory duty on all water companies to provide and maintain adequate infrastructure and potable water supplies.</w:t>
      </w:r>
    </w:p>
    <w:p w14:paraId="5E91A8A5" w14:textId="77777777" w:rsidR="00E137EB" w:rsidRPr="00E137EB" w:rsidRDefault="00E137EB" w:rsidP="00E137EB">
      <w:pPr>
        <w:rPr>
          <w:rFonts w:ascii="Times New Roman" w:hAnsi="Times New Roman" w:cs="Times New Roman"/>
          <w:bCs/>
        </w:rPr>
      </w:pPr>
    </w:p>
    <w:p w14:paraId="63188B01" w14:textId="77777777" w:rsidR="00E137EB" w:rsidRDefault="00E137EB" w:rsidP="00AC51E2">
      <w:pPr>
        <w:widowControl/>
        <w:suppressAutoHyphens w:val="0"/>
        <w:autoSpaceDE/>
        <w:spacing w:after="240" w:line="360" w:lineRule="auto"/>
        <w:ind w:left="851" w:right="571"/>
        <w:jc w:val="both"/>
        <w:rPr>
          <w:rFonts w:ascii="Times New Roman" w:hAnsi="Times New Roman" w:cs="Times New Roman"/>
          <w:bCs/>
        </w:rPr>
      </w:pPr>
      <w:r w:rsidRPr="00E137EB">
        <w:rPr>
          <w:rFonts w:ascii="Times New Roman" w:hAnsi="Times New Roman" w:cs="Times New Roman"/>
          <w:bCs/>
        </w:rPr>
        <w:t xml:space="preserve"> “</w:t>
      </w:r>
      <w:r w:rsidRPr="00E137EB">
        <w:rPr>
          <w:rFonts w:ascii="Times New Roman" w:hAnsi="Times New Roman" w:cs="Times New Roman"/>
          <w:bCs/>
          <w:i/>
          <w:iCs/>
        </w:rPr>
        <w:t xml:space="preserve">S37 General duty to maintain water supply system etc. (1) It shall be the duty of every water undertaker to develop and maintain an efficient and economical system of water supply within its area and to ensure that all such arrangements have been made— (a) for providing supplies of water to premises in that area and for making such supplies available to persons who demand them; and (b) for maintaining, improving, and extending the water undertaker’s water mains and other pipes, as are necessary for securing that the undertaker is and continues to be able to meet its obligations under this Part. (2) The duty of a water undertaker under this section shall be enforceable under </w:t>
      </w:r>
      <w:r w:rsidRPr="00E137EB">
        <w:rPr>
          <w:rFonts w:ascii="Times New Roman" w:hAnsi="Times New Roman" w:cs="Times New Roman"/>
          <w:bCs/>
          <w:i/>
          <w:iCs/>
        </w:rPr>
        <w:lastRenderedPageBreak/>
        <w:t>section 18 above— (a) by the Secretary of State; or (b) with the consent of or in accordance with a general authorisation given by the Secretary of State, by the Director.</w:t>
      </w:r>
      <w:r w:rsidRPr="00E137EB">
        <w:rPr>
          <w:rFonts w:ascii="Times New Roman" w:hAnsi="Times New Roman" w:cs="Times New Roman"/>
          <w:bCs/>
        </w:rPr>
        <w:t xml:space="preserve">” </w:t>
      </w:r>
    </w:p>
    <w:p w14:paraId="2B676195" w14:textId="3C40D50B" w:rsidR="00A8343D" w:rsidRDefault="008E07BD" w:rsidP="009853B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8E07BD">
        <w:rPr>
          <w:rFonts w:ascii="Times New Roman" w:hAnsi="Times New Roman" w:cs="Times New Roman"/>
          <w:bCs/>
        </w:rPr>
        <w:t xml:space="preserve">Consequently, it is inappropriate to include a policy in the local plan requiring a housebuilder, or other applicants for development, to assess the capacity or otherwise of the water company to provide water supply connections as they are an attempt to get applicants to do things for which they are not legally responsible. Rather it is the responsibility of water companies, working with local authorities and the Environment Agency, to plan for the future demand for water services relating to the development requirements proposed in local plans, not applicants. If the Council cannot show that there is sufficient </w:t>
      </w:r>
      <w:r w:rsidR="005819A3">
        <w:rPr>
          <w:rFonts w:ascii="Times New Roman" w:hAnsi="Times New Roman" w:cs="Times New Roman"/>
          <w:bCs/>
        </w:rPr>
        <w:t xml:space="preserve">infrastructure to meet the </w:t>
      </w:r>
      <w:r w:rsidR="006F6808">
        <w:rPr>
          <w:rFonts w:ascii="Times New Roman" w:hAnsi="Times New Roman" w:cs="Times New Roman"/>
          <w:bCs/>
        </w:rPr>
        <w:t>demands of</w:t>
      </w:r>
      <w:r w:rsidR="005819A3">
        <w:rPr>
          <w:rFonts w:ascii="Times New Roman" w:hAnsi="Times New Roman" w:cs="Times New Roman"/>
          <w:bCs/>
        </w:rPr>
        <w:t xml:space="preserve"> </w:t>
      </w:r>
      <w:r w:rsidRPr="008E07BD">
        <w:rPr>
          <w:rFonts w:ascii="Times New Roman" w:hAnsi="Times New Roman" w:cs="Times New Roman"/>
          <w:bCs/>
        </w:rPr>
        <w:t>the level of development set out in the local plan, then it cannot be considered to be deliverable.</w:t>
      </w:r>
      <w:r w:rsidR="00AE46A0">
        <w:rPr>
          <w:rFonts w:ascii="Times New Roman" w:hAnsi="Times New Roman" w:cs="Times New Roman"/>
          <w:bCs/>
        </w:rPr>
        <w:t xml:space="preserve"> </w:t>
      </w:r>
      <w:r w:rsidR="000D0BDD">
        <w:rPr>
          <w:rFonts w:ascii="Times New Roman" w:hAnsi="Times New Roman" w:cs="Times New Roman"/>
          <w:bCs/>
        </w:rPr>
        <w:t>If this work shows that there is a ne</w:t>
      </w:r>
      <w:r w:rsidR="000D0BDD">
        <w:rPr>
          <w:rFonts w:ascii="Times New Roman" w:hAnsi="Times New Roman" w:cs="Times New Roman"/>
          <w:bCs/>
        </w:rPr>
        <w:t xml:space="preserve">ed for increased capacity to meet </w:t>
      </w:r>
      <w:r w:rsidR="008610DD">
        <w:rPr>
          <w:rFonts w:ascii="Times New Roman" w:hAnsi="Times New Roman" w:cs="Times New Roman"/>
          <w:bCs/>
        </w:rPr>
        <w:t>needs,</w:t>
      </w:r>
      <w:r w:rsidR="000D0BDD">
        <w:rPr>
          <w:rFonts w:ascii="Times New Roman" w:hAnsi="Times New Roman" w:cs="Times New Roman"/>
          <w:bCs/>
        </w:rPr>
        <w:t xml:space="preserve"> then it should be</w:t>
      </w:r>
      <w:r w:rsidR="008D3CF8">
        <w:rPr>
          <w:rFonts w:ascii="Times New Roman" w:hAnsi="Times New Roman" w:cs="Times New Roman"/>
          <w:bCs/>
        </w:rPr>
        <w:t xml:space="preserve"> clearly set out that this is the </w:t>
      </w:r>
      <w:r w:rsidR="00BB3FAD">
        <w:rPr>
          <w:rFonts w:ascii="Times New Roman" w:hAnsi="Times New Roman" w:cs="Times New Roman"/>
          <w:bCs/>
        </w:rPr>
        <w:t>case,</w:t>
      </w:r>
      <w:r w:rsidR="008D3CF8">
        <w:rPr>
          <w:rFonts w:ascii="Times New Roman" w:hAnsi="Times New Roman" w:cs="Times New Roman"/>
          <w:bCs/>
        </w:rPr>
        <w:t xml:space="preserve"> and which proposed developments are affected and </w:t>
      </w:r>
      <w:r w:rsidR="00BB3FAD">
        <w:rPr>
          <w:rFonts w:ascii="Times New Roman" w:hAnsi="Times New Roman" w:cs="Times New Roman"/>
          <w:bCs/>
        </w:rPr>
        <w:t>what</w:t>
      </w:r>
      <w:r w:rsidR="008610DD">
        <w:rPr>
          <w:rFonts w:ascii="Times New Roman" w:hAnsi="Times New Roman" w:cs="Times New Roman"/>
          <w:bCs/>
        </w:rPr>
        <w:t xml:space="preserve"> the proposed solution is</w:t>
      </w:r>
      <w:r w:rsidR="008D3CF8">
        <w:rPr>
          <w:rFonts w:ascii="Times New Roman" w:hAnsi="Times New Roman" w:cs="Times New Roman"/>
          <w:bCs/>
        </w:rPr>
        <w:t xml:space="preserve">. </w:t>
      </w:r>
      <w:r w:rsidR="000D0BDD">
        <w:rPr>
          <w:rFonts w:ascii="Times New Roman" w:hAnsi="Times New Roman" w:cs="Times New Roman"/>
          <w:bCs/>
        </w:rPr>
        <w:t xml:space="preserve"> </w:t>
      </w:r>
      <w:r w:rsidR="008610DD">
        <w:rPr>
          <w:rFonts w:ascii="Times New Roman" w:hAnsi="Times New Roman" w:cs="Times New Roman"/>
          <w:bCs/>
        </w:rPr>
        <w:t>It cannot be left solely to consideration at developmen</w:t>
      </w:r>
      <w:r w:rsidR="00BB3FAD">
        <w:rPr>
          <w:rFonts w:ascii="Times New Roman" w:hAnsi="Times New Roman" w:cs="Times New Roman"/>
          <w:bCs/>
        </w:rPr>
        <w:t xml:space="preserve">t management as is suggested by part 5 of this policy. </w:t>
      </w:r>
      <w:r w:rsidR="00F2158D">
        <w:rPr>
          <w:rFonts w:ascii="Times New Roman" w:hAnsi="Times New Roman" w:cs="Times New Roman"/>
          <w:bCs/>
        </w:rPr>
        <w:t xml:space="preserve">As such HBF would consider part 5 of this </w:t>
      </w:r>
      <w:r w:rsidR="00FD462F">
        <w:rPr>
          <w:rFonts w:ascii="Times New Roman" w:hAnsi="Times New Roman" w:cs="Times New Roman"/>
          <w:bCs/>
        </w:rPr>
        <w:t>policy</w:t>
      </w:r>
      <w:r w:rsidR="00F2158D">
        <w:rPr>
          <w:rFonts w:ascii="Times New Roman" w:hAnsi="Times New Roman" w:cs="Times New Roman"/>
          <w:bCs/>
        </w:rPr>
        <w:t xml:space="preserve"> to be unsound as </w:t>
      </w:r>
      <w:r w:rsidR="00FD462F">
        <w:rPr>
          <w:rFonts w:ascii="Times New Roman" w:hAnsi="Times New Roman" w:cs="Times New Roman"/>
          <w:bCs/>
        </w:rPr>
        <w:t>it</w:t>
      </w:r>
      <w:r w:rsidR="00F2158D">
        <w:rPr>
          <w:rFonts w:ascii="Times New Roman" w:hAnsi="Times New Roman" w:cs="Times New Roman"/>
          <w:bCs/>
        </w:rPr>
        <w:t xml:space="preserve"> requires </w:t>
      </w:r>
      <w:r w:rsidR="00FD462F">
        <w:rPr>
          <w:rFonts w:ascii="Times New Roman" w:hAnsi="Times New Roman" w:cs="Times New Roman"/>
          <w:bCs/>
        </w:rPr>
        <w:t xml:space="preserve">the developer to demonstrate capacity of infrastructure – a task that should have been undertake as part of the plan making process. </w:t>
      </w:r>
    </w:p>
    <w:p w14:paraId="37FA6F38" w14:textId="05C41A78" w:rsidR="00477888" w:rsidRDefault="00293F36" w:rsidP="009853B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Turning</w:t>
      </w:r>
      <w:r w:rsidR="007E5B4E">
        <w:rPr>
          <w:rFonts w:ascii="Times New Roman" w:hAnsi="Times New Roman" w:cs="Times New Roman"/>
          <w:bCs/>
        </w:rPr>
        <w:t xml:space="preserve"> to water </w:t>
      </w:r>
      <w:r>
        <w:rPr>
          <w:rFonts w:ascii="Times New Roman" w:hAnsi="Times New Roman" w:cs="Times New Roman"/>
          <w:bCs/>
        </w:rPr>
        <w:t>efficiency</w:t>
      </w:r>
      <w:r w:rsidR="007E5B4E">
        <w:rPr>
          <w:rFonts w:ascii="Times New Roman" w:hAnsi="Times New Roman" w:cs="Times New Roman"/>
          <w:bCs/>
        </w:rPr>
        <w:t xml:space="preserve"> standards </w:t>
      </w:r>
      <w:r>
        <w:rPr>
          <w:rFonts w:ascii="Times New Roman" w:hAnsi="Times New Roman" w:cs="Times New Roman"/>
          <w:bCs/>
        </w:rPr>
        <w:t xml:space="preserve">HBF does not consider </w:t>
      </w:r>
      <w:r w:rsidR="00477888">
        <w:rPr>
          <w:rFonts w:ascii="Times New Roman" w:hAnsi="Times New Roman" w:cs="Times New Roman"/>
          <w:bCs/>
        </w:rPr>
        <w:t xml:space="preserve">part 9 </w:t>
      </w:r>
      <w:r w:rsidR="007E5B4E">
        <w:rPr>
          <w:rFonts w:ascii="Times New Roman" w:hAnsi="Times New Roman" w:cs="Times New Roman"/>
          <w:bCs/>
        </w:rPr>
        <w:t xml:space="preserve">and the </w:t>
      </w:r>
      <w:r>
        <w:rPr>
          <w:rFonts w:ascii="Times New Roman" w:hAnsi="Times New Roman" w:cs="Times New Roman"/>
          <w:bCs/>
        </w:rPr>
        <w:t>requirement</w:t>
      </w:r>
      <w:r w:rsidR="007E5B4E">
        <w:rPr>
          <w:rFonts w:ascii="Times New Roman" w:hAnsi="Times New Roman" w:cs="Times New Roman"/>
          <w:bCs/>
        </w:rPr>
        <w:t xml:space="preserve"> for a water standard of 100 lppd. </w:t>
      </w:r>
      <w:r w:rsidR="00CF504D">
        <w:rPr>
          <w:rFonts w:ascii="Times New Roman" w:hAnsi="Times New Roman" w:cs="Times New Roman"/>
          <w:bCs/>
        </w:rPr>
        <w:t>I</w:t>
      </w:r>
      <w:r w:rsidR="00CF504D" w:rsidRPr="00CF504D">
        <w:rPr>
          <w:rFonts w:ascii="Times New Roman" w:hAnsi="Times New Roman" w:cs="Times New Roman"/>
          <w:bCs/>
        </w:rPr>
        <w:t>t is recognised that in where there are exceptional pressures on water supply are inhibiting the delivery of new development in an area, the Government is supportive of introducing standards lower than those set out in Building Regulations</w:t>
      </w:r>
      <w:r w:rsidR="00CF504D">
        <w:rPr>
          <w:rFonts w:ascii="Times New Roman" w:hAnsi="Times New Roman" w:cs="Times New Roman"/>
          <w:bCs/>
        </w:rPr>
        <w:t xml:space="preserve"> – however this is not the case in Swale. </w:t>
      </w:r>
      <w:r w:rsidR="000B0125">
        <w:rPr>
          <w:rFonts w:ascii="Times New Roman" w:hAnsi="Times New Roman" w:cs="Times New Roman"/>
          <w:bCs/>
        </w:rPr>
        <w:t>The Council</w:t>
      </w:r>
      <w:r w:rsidR="000B0125">
        <w:rPr>
          <w:rFonts w:ascii="Times New Roman" w:hAnsi="Times New Roman" w:cs="Times New Roman"/>
          <w:bCs/>
        </w:rPr>
        <w:t xml:space="preserve"> </w:t>
      </w:r>
      <w:r w:rsidR="000B0125">
        <w:rPr>
          <w:rFonts w:ascii="Times New Roman" w:hAnsi="Times New Roman" w:cs="Times New Roman"/>
          <w:bCs/>
        </w:rPr>
        <w:t>note that the area is in serious water stress but that is the test allowed for in PPG for applying the lower standard of 110 lppd</w:t>
      </w:r>
      <w:r w:rsidR="000B0125">
        <w:rPr>
          <w:rFonts w:ascii="Times New Roman" w:hAnsi="Times New Roman" w:cs="Times New Roman"/>
          <w:bCs/>
        </w:rPr>
        <w:t xml:space="preserve">. </w:t>
      </w:r>
      <w:r w:rsidR="009A5802">
        <w:rPr>
          <w:rFonts w:ascii="Times New Roman" w:hAnsi="Times New Roman" w:cs="Times New Roman"/>
          <w:bCs/>
        </w:rPr>
        <w:t xml:space="preserve">While |Natural England and </w:t>
      </w:r>
      <w:r w:rsidR="000B0125">
        <w:rPr>
          <w:rFonts w:ascii="Times New Roman" w:hAnsi="Times New Roman" w:cs="Times New Roman"/>
          <w:bCs/>
        </w:rPr>
        <w:t>Southern</w:t>
      </w:r>
      <w:r w:rsidR="009A5802">
        <w:rPr>
          <w:rFonts w:ascii="Times New Roman" w:hAnsi="Times New Roman" w:cs="Times New Roman"/>
          <w:bCs/>
        </w:rPr>
        <w:t xml:space="preserve"> Water have </w:t>
      </w:r>
      <w:r w:rsidR="00DD350C">
        <w:rPr>
          <w:rFonts w:ascii="Times New Roman" w:hAnsi="Times New Roman" w:cs="Times New Roman"/>
          <w:bCs/>
        </w:rPr>
        <w:t xml:space="preserve">advocated for </w:t>
      </w:r>
      <w:r w:rsidR="000B0125">
        <w:rPr>
          <w:rFonts w:ascii="Times New Roman" w:hAnsi="Times New Roman" w:cs="Times New Roman"/>
          <w:bCs/>
        </w:rPr>
        <w:t>stricter</w:t>
      </w:r>
      <w:r w:rsidR="00DD350C">
        <w:rPr>
          <w:rFonts w:ascii="Times New Roman" w:hAnsi="Times New Roman" w:cs="Times New Roman"/>
          <w:bCs/>
        </w:rPr>
        <w:t xml:space="preserve"> </w:t>
      </w:r>
      <w:r w:rsidR="000B0125">
        <w:rPr>
          <w:rFonts w:ascii="Times New Roman" w:hAnsi="Times New Roman" w:cs="Times New Roman"/>
          <w:bCs/>
        </w:rPr>
        <w:t>standards</w:t>
      </w:r>
      <w:r w:rsidR="00DD350C">
        <w:rPr>
          <w:rFonts w:ascii="Times New Roman" w:hAnsi="Times New Roman" w:cs="Times New Roman"/>
          <w:bCs/>
        </w:rPr>
        <w:t xml:space="preserve"> there is no </w:t>
      </w:r>
      <w:r w:rsidR="000B0125">
        <w:rPr>
          <w:rFonts w:ascii="Times New Roman" w:hAnsi="Times New Roman" w:cs="Times New Roman"/>
          <w:bCs/>
        </w:rPr>
        <w:t>justification</w:t>
      </w:r>
      <w:r w:rsidR="00DD350C">
        <w:rPr>
          <w:rFonts w:ascii="Times New Roman" w:hAnsi="Times New Roman" w:cs="Times New Roman"/>
          <w:bCs/>
        </w:rPr>
        <w:t xml:space="preserve"> for departing from the </w:t>
      </w:r>
      <w:r w:rsidR="000B0125">
        <w:rPr>
          <w:rFonts w:ascii="Times New Roman" w:hAnsi="Times New Roman" w:cs="Times New Roman"/>
          <w:bCs/>
        </w:rPr>
        <w:t>minimum</w:t>
      </w:r>
      <w:r w:rsidR="00DD350C">
        <w:rPr>
          <w:rFonts w:ascii="Times New Roman" w:hAnsi="Times New Roman" w:cs="Times New Roman"/>
          <w:bCs/>
        </w:rPr>
        <w:t xml:space="preserve"> standard that is </w:t>
      </w:r>
      <w:r w:rsidR="000B0125">
        <w:rPr>
          <w:rFonts w:ascii="Times New Roman" w:hAnsi="Times New Roman" w:cs="Times New Roman"/>
          <w:bCs/>
        </w:rPr>
        <w:t>currently</w:t>
      </w:r>
      <w:r w:rsidR="00DD350C">
        <w:rPr>
          <w:rFonts w:ascii="Times New Roman" w:hAnsi="Times New Roman" w:cs="Times New Roman"/>
          <w:bCs/>
        </w:rPr>
        <w:t xml:space="preserve"> allowed for in Building </w:t>
      </w:r>
      <w:r w:rsidR="000B0125">
        <w:rPr>
          <w:rFonts w:ascii="Times New Roman" w:hAnsi="Times New Roman" w:cs="Times New Roman"/>
          <w:bCs/>
        </w:rPr>
        <w:t>Regulations</w:t>
      </w:r>
      <w:r w:rsidR="00DD350C">
        <w:rPr>
          <w:rFonts w:ascii="Times New Roman" w:hAnsi="Times New Roman" w:cs="Times New Roman"/>
          <w:bCs/>
        </w:rPr>
        <w:t xml:space="preserve">. </w:t>
      </w:r>
      <w:r w:rsidR="000B0125">
        <w:rPr>
          <w:rFonts w:ascii="Times New Roman" w:hAnsi="Times New Roman" w:cs="Times New Roman"/>
          <w:bCs/>
        </w:rPr>
        <w:t xml:space="preserve">HBF </w:t>
      </w:r>
      <w:r w:rsidR="00D264FF">
        <w:rPr>
          <w:rFonts w:ascii="Times New Roman" w:hAnsi="Times New Roman" w:cs="Times New Roman"/>
          <w:bCs/>
        </w:rPr>
        <w:t>recommend</w:t>
      </w:r>
      <w:r w:rsidR="000B0125">
        <w:rPr>
          <w:rFonts w:ascii="Times New Roman" w:hAnsi="Times New Roman" w:cs="Times New Roman"/>
          <w:bCs/>
        </w:rPr>
        <w:t xml:space="preserve"> that the 100 lppd in part 9</w:t>
      </w:r>
      <w:r w:rsidR="00D264FF">
        <w:rPr>
          <w:rFonts w:ascii="Times New Roman" w:hAnsi="Times New Roman" w:cs="Times New Roman"/>
          <w:bCs/>
        </w:rPr>
        <w:t xml:space="preserve"> by </w:t>
      </w:r>
      <w:r w:rsidR="002133F0">
        <w:rPr>
          <w:rFonts w:ascii="Times New Roman" w:hAnsi="Times New Roman" w:cs="Times New Roman"/>
          <w:bCs/>
        </w:rPr>
        <w:t>be amended</w:t>
      </w:r>
      <w:r w:rsidR="00D264FF">
        <w:rPr>
          <w:rFonts w:ascii="Times New Roman" w:hAnsi="Times New Roman" w:cs="Times New Roman"/>
          <w:bCs/>
        </w:rPr>
        <w:t xml:space="preserve"> to 110 lppd in order to be consistent with national policy. </w:t>
      </w:r>
    </w:p>
    <w:p w14:paraId="55AF66C4" w14:textId="77777777" w:rsidR="0087296B" w:rsidRDefault="00272BBE" w:rsidP="0087296B">
      <w:pPr>
        <w:widowControl/>
        <w:suppressAutoHyphens w:val="0"/>
        <w:autoSpaceDE/>
        <w:spacing w:after="240" w:line="360" w:lineRule="auto"/>
        <w:jc w:val="both"/>
        <w:rPr>
          <w:rFonts w:ascii="Times New Roman" w:hAnsi="Times New Roman" w:cs="Times New Roman"/>
          <w:b/>
        </w:rPr>
      </w:pPr>
      <w:r w:rsidRPr="00272BBE">
        <w:rPr>
          <w:rFonts w:ascii="Times New Roman" w:hAnsi="Times New Roman" w:cs="Times New Roman"/>
          <w:b/>
        </w:rPr>
        <w:t>Question 75</w:t>
      </w:r>
      <w:r w:rsidRPr="00272BBE">
        <w:rPr>
          <w:rFonts w:ascii="Times New Roman" w:hAnsi="Times New Roman" w:cs="Times New Roman"/>
          <w:b/>
        </w:rPr>
        <w:t xml:space="preserve">: </w:t>
      </w:r>
      <w:r w:rsidRPr="00272BBE">
        <w:rPr>
          <w:rFonts w:ascii="Times New Roman" w:hAnsi="Times New Roman" w:cs="Times New Roman"/>
          <w:b/>
        </w:rPr>
        <w:t>Do you support or object to Policy B1? What would you add, remove or amend to support it further or</w:t>
      </w:r>
      <w:r w:rsidRPr="00272BBE">
        <w:rPr>
          <w:rFonts w:ascii="Times New Roman" w:hAnsi="Times New Roman" w:cs="Times New Roman"/>
          <w:b/>
        </w:rPr>
        <w:t xml:space="preserve"> </w:t>
      </w:r>
      <w:r w:rsidRPr="00272BBE">
        <w:rPr>
          <w:rFonts w:ascii="Times New Roman" w:hAnsi="Times New Roman" w:cs="Times New Roman"/>
          <w:b/>
        </w:rPr>
        <w:t>to remove your objection?</w:t>
      </w:r>
    </w:p>
    <w:p w14:paraId="4785AEAA" w14:textId="1E319E7C" w:rsidR="0087296B" w:rsidRPr="0087296B" w:rsidRDefault="0087296B" w:rsidP="000861C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
        </w:rPr>
      </w:pPr>
      <w:r w:rsidRPr="0087296B">
        <w:rPr>
          <w:rFonts w:ascii="Times New Roman" w:hAnsi="Times New Roman" w:cs="Times New Roman"/>
          <w:bCs/>
        </w:rPr>
        <w:t xml:space="preserve">This </w:t>
      </w:r>
      <w:r w:rsidRPr="0087296B">
        <w:rPr>
          <w:rFonts w:ascii="Times New Roman" w:hAnsi="Times New Roman" w:cs="Times New Roman"/>
          <w:bCs/>
        </w:rPr>
        <w:t>policy</w:t>
      </w:r>
      <w:r w:rsidRPr="0087296B">
        <w:rPr>
          <w:rFonts w:ascii="Times New Roman" w:hAnsi="Times New Roman" w:cs="Times New Roman"/>
          <w:bCs/>
        </w:rPr>
        <w:t xml:space="preserve"> requires all major development to deliver a 20% net gain in biodiversity, compared to the 10% required by the Environment Act 2021.</w:t>
      </w:r>
      <w:r>
        <w:rPr>
          <w:rFonts w:ascii="Times New Roman" w:hAnsi="Times New Roman" w:cs="Times New Roman"/>
          <w:bCs/>
        </w:rPr>
        <w:t xml:space="preserve"> </w:t>
      </w:r>
      <w:r w:rsidR="000861CD">
        <w:rPr>
          <w:rFonts w:ascii="Times New Roman" w:hAnsi="Times New Roman" w:cs="Times New Roman"/>
          <w:bCs/>
        </w:rPr>
        <w:t>Firstly,</w:t>
      </w:r>
      <w:r>
        <w:rPr>
          <w:rFonts w:ascii="Times New Roman" w:hAnsi="Times New Roman" w:cs="Times New Roman"/>
          <w:bCs/>
        </w:rPr>
        <w:t xml:space="preserve"> it </w:t>
      </w:r>
      <w:r w:rsidR="00490DAC">
        <w:rPr>
          <w:rFonts w:ascii="Times New Roman" w:hAnsi="Times New Roman" w:cs="Times New Roman"/>
          <w:bCs/>
        </w:rPr>
        <w:t>should be</w:t>
      </w:r>
      <w:r>
        <w:rPr>
          <w:rFonts w:ascii="Times New Roman" w:hAnsi="Times New Roman" w:cs="Times New Roman"/>
          <w:bCs/>
        </w:rPr>
        <w:t xml:space="preserve"> noted that </w:t>
      </w:r>
      <w:r w:rsidR="00490DAC">
        <w:rPr>
          <w:rFonts w:ascii="Times New Roman" w:hAnsi="Times New Roman" w:cs="Times New Roman"/>
          <w:bCs/>
        </w:rPr>
        <w:t>policy</w:t>
      </w:r>
      <w:r w:rsidR="002C4B0D">
        <w:rPr>
          <w:rFonts w:ascii="Times New Roman" w:hAnsi="Times New Roman" w:cs="Times New Roman"/>
          <w:bCs/>
        </w:rPr>
        <w:t xml:space="preserve"> N1 in </w:t>
      </w:r>
      <w:r w:rsidR="00E55B56">
        <w:rPr>
          <w:rFonts w:ascii="Times New Roman" w:hAnsi="Times New Roman" w:cs="Times New Roman"/>
          <w:bCs/>
        </w:rPr>
        <w:t xml:space="preserve">in the </w:t>
      </w:r>
      <w:r w:rsidR="00490DAC">
        <w:rPr>
          <w:rFonts w:ascii="Times New Roman" w:hAnsi="Times New Roman" w:cs="Times New Roman"/>
          <w:bCs/>
        </w:rPr>
        <w:t>draft</w:t>
      </w:r>
      <w:r w:rsidR="00E55B56">
        <w:rPr>
          <w:rFonts w:ascii="Times New Roman" w:hAnsi="Times New Roman" w:cs="Times New Roman"/>
          <w:bCs/>
        </w:rPr>
        <w:t xml:space="preserve"> NPPF states “</w:t>
      </w:r>
      <w:r w:rsidR="00E55B56" w:rsidRPr="00490DAC">
        <w:rPr>
          <w:rFonts w:ascii="Times New Roman" w:hAnsi="Times New Roman" w:cs="Times New Roman"/>
          <w:bCs/>
          <w:i/>
          <w:iCs/>
        </w:rPr>
        <w:t xml:space="preserve">Development plans should only set </w:t>
      </w:r>
      <w:r w:rsidR="00E55B56" w:rsidRPr="000861CD">
        <w:rPr>
          <w:rFonts w:ascii="Times New Roman" w:hAnsi="Times New Roman" w:cs="Times New Roman"/>
          <w:bCs/>
        </w:rPr>
        <w:t>local</w:t>
      </w:r>
      <w:r w:rsidR="00E55B56" w:rsidRPr="00490DAC">
        <w:rPr>
          <w:rFonts w:ascii="Times New Roman" w:hAnsi="Times New Roman" w:cs="Times New Roman"/>
          <w:bCs/>
          <w:i/>
          <w:iCs/>
        </w:rPr>
        <w:t xml:space="preserve"> standards for biodiversity net gain which are in excess of the statutory net gain requirement where this is for specific site allocations, and is fully justified and deliverable</w:t>
      </w:r>
      <w:r w:rsidR="00490DAC">
        <w:rPr>
          <w:rFonts w:ascii="Times New Roman" w:hAnsi="Times New Roman" w:cs="Times New Roman"/>
          <w:bCs/>
        </w:rPr>
        <w:t xml:space="preserve">”. </w:t>
      </w:r>
      <w:r w:rsidR="0009544D">
        <w:rPr>
          <w:rFonts w:ascii="Times New Roman" w:hAnsi="Times New Roman" w:cs="Times New Roman"/>
          <w:bCs/>
        </w:rPr>
        <w:t xml:space="preserve">This will mean that on adoption this </w:t>
      </w:r>
      <w:r w:rsidR="000861CD">
        <w:rPr>
          <w:rFonts w:ascii="Times New Roman" w:hAnsi="Times New Roman" w:cs="Times New Roman"/>
          <w:bCs/>
        </w:rPr>
        <w:t>policy</w:t>
      </w:r>
      <w:r w:rsidR="0009544D">
        <w:rPr>
          <w:rFonts w:ascii="Times New Roman" w:hAnsi="Times New Roman" w:cs="Times New Roman"/>
          <w:bCs/>
        </w:rPr>
        <w:t xml:space="preserve"> would be consistent with national </w:t>
      </w:r>
      <w:r w:rsidR="00BC1A1B">
        <w:rPr>
          <w:rFonts w:ascii="Times New Roman" w:hAnsi="Times New Roman" w:cs="Times New Roman"/>
          <w:bCs/>
        </w:rPr>
        <w:t>policy</w:t>
      </w:r>
      <w:r w:rsidR="0009544D">
        <w:rPr>
          <w:rFonts w:ascii="Times New Roman" w:hAnsi="Times New Roman" w:cs="Times New Roman"/>
          <w:bCs/>
        </w:rPr>
        <w:t xml:space="preserve"> and be given </w:t>
      </w:r>
      <w:r w:rsidR="00BC1A1B">
        <w:rPr>
          <w:rFonts w:ascii="Times New Roman" w:hAnsi="Times New Roman" w:cs="Times New Roman"/>
          <w:bCs/>
        </w:rPr>
        <w:t xml:space="preserve">very limited weight in decision making. </w:t>
      </w:r>
    </w:p>
    <w:p w14:paraId="56E68D4A" w14:textId="52769E2D" w:rsidR="0087296B" w:rsidRPr="0087296B" w:rsidRDefault="0087296B" w:rsidP="000861C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87296B">
        <w:rPr>
          <w:rFonts w:ascii="Times New Roman" w:hAnsi="Times New Roman" w:cs="Times New Roman"/>
          <w:bCs/>
        </w:rPr>
        <w:t xml:space="preserve">In considering the soundness of this policy </w:t>
      </w:r>
      <w:r w:rsidR="00BC1A1B">
        <w:rPr>
          <w:rFonts w:ascii="Times New Roman" w:hAnsi="Times New Roman" w:cs="Times New Roman"/>
          <w:bCs/>
        </w:rPr>
        <w:t xml:space="preserve">against current policy </w:t>
      </w:r>
      <w:r w:rsidRPr="0087296B">
        <w:rPr>
          <w:rFonts w:ascii="Times New Roman" w:hAnsi="Times New Roman" w:cs="Times New Roman"/>
          <w:bCs/>
        </w:rPr>
        <w:t>it is necessary to consider paragraph 74-006-20240214 of PPG which states that:</w:t>
      </w:r>
    </w:p>
    <w:p w14:paraId="65C7346F" w14:textId="77777777" w:rsidR="0087296B" w:rsidRPr="0087296B" w:rsidRDefault="0087296B" w:rsidP="000861CD">
      <w:pPr>
        <w:widowControl/>
        <w:suppressAutoHyphens w:val="0"/>
        <w:autoSpaceDE/>
        <w:spacing w:after="240" w:line="360" w:lineRule="auto"/>
        <w:ind w:left="851" w:right="571"/>
        <w:jc w:val="both"/>
        <w:rPr>
          <w:rFonts w:ascii="Times New Roman" w:hAnsi="Times New Roman" w:cs="Times New Roman"/>
          <w:bCs/>
        </w:rPr>
      </w:pPr>
      <w:r w:rsidRPr="0087296B">
        <w:rPr>
          <w:rFonts w:ascii="Times New Roman" w:hAnsi="Times New Roman" w:cs="Times New Roman"/>
          <w:bCs/>
        </w:rPr>
        <w:t xml:space="preserve"> “</w:t>
      </w:r>
      <w:r w:rsidRPr="00BC1A1B">
        <w:rPr>
          <w:rFonts w:ascii="Times New Roman" w:hAnsi="Times New Roman" w:cs="Times New Roman"/>
          <w:bCs/>
          <w:i/>
          <w:iCs/>
        </w:rPr>
        <w:t xml:space="preserve">… plan-makers should not seek a higher percentage than the statutory objective of 10% biodiversity net gain, either on an area-wide basis or for specific allocations for development unless justified. To justify such policies, they will need to be evidenced including as to local need for a higher percentage, </w:t>
      </w:r>
      <w:r w:rsidRPr="00BC1A1B">
        <w:rPr>
          <w:rFonts w:ascii="Times New Roman" w:hAnsi="Times New Roman" w:cs="Times New Roman"/>
          <w:bCs/>
          <w:i/>
          <w:iCs/>
        </w:rPr>
        <w:lastRenderedPageBreak/>
        <w:t>local opportunities for a higher percentage and any impacts on viability for development. Consideration will also need to be given to how the policy will be implemented</w:t>
      </w:r>
      <w:r w:rsidRPr="0087296B">
        <w:rPr>
          <w:rFonts w:ascii="Times New Roman" w:hAnsi="Times New Roman" w:cs="Times New Roman"/>
          <w:bCs/>
        </w:rPr>
        <w:t>”.</w:t>
      </w:r>
    </w:p>
    <w:p w14:paraId="26337D63" w14:textId="77777777" w:rsidR="0087296B" w:rsidRPr="0087296B" w:rsidRDefault="0087296B" w:rsidP="0087296B">
      <w:pPr>
        <w:widowControl/>
        <w:suppressAutoHyphens w:val="0"/>
        <w:autoSpaceDE/>
        <w:spacing w:after="240" w:line="360" w:lineRule="auto"/>
        <w:jc w:val="both"/>
        <w:rPr>
          <w:rFonts w:ascii="Times New Roman" w:hAnsi="Times New Roman" w:cs="Times New Roman"/>
          <w:bCs/>
        </w:rPr>
      </w:pPr>
    </w:p>
    <w:p w14:paraId="205E0A7F" w14:textId="75A73326" w:rsidR="0087296B" w:rsidRPr="0087296B" w:rsidRDefault="0087296B" w:rsidP="00224DA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87296B">
        <w:rPr>
          <w:rFonts w:ascii="Times New Roman" w:hAnsi="Times New Roman" w:cs="Times New Roman"/>
          <w:bCs/>
        </w:rPr>
        <w:t xml:space="preserve">It is important to note that the starting point is that local plan should not seek a higher requirement. This is different to a permissive policy allowing local plans to seek a higher level of BNG where justified, and the HBF would argue that it should be considered a high bar with regard to the evidence required to justify such a policy. There must be a very clear and robust justification that the area is significantly worse than the country as whole and that this decline is directly related to the new development rather than, for example, the result of changes in agricultural practices or industrial pollution. It is not sufficiently robust to highlight declines in species that whilst an important issue is not necessarily as a result of new homes being built.  </w:t>
      </w:r>
    </w:p>
    <w:p w14:paraId="792F1B7F" w14:textId="2A7984AB" w:rsidR="0087296B" w:rsidRPr="0087296B" w:rsidRDefault="001318F9" w:rsidP="00224DA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Council state that the 20% is </w:t>
      </w:r>
      <w:r w:rsidR="00224DAD">
        <w:rPr>
          <w:rFonts w:ascii="Times New Roman" w:hAnsi="Times New Roman" w:cs="Times New Roman"/>
          <w:bCs/>
        </w:rPr>
        <w:t>being proposed</w:t>
      </w:r>
      <w:r>
        <w:rPr>
          <w:rFonts w:ascii="Times New Roman" w:hAnsi="Times New Roman" w:cs="Times New Roman"/>
          <w:bCs/>
        </w:rPr>
        <w:t xml:space="preserve"> by Ket Nature </w:t>
      </w:r>
      <w:r w:rsidR="00567861">
        <w:rPr>
          <w:rFonts w:ascii="Times New Roman" w:hAnsi="Times New Roman" w:cs="Times New Roman"/>
          <w:bCs/>
        </w:rPr>
        <w:t>Partnership because</w:t>
      </w:r>
      <w:r>
        <w:rPr>
          <w:rFonts w:ascii="Times New Roman" w:hAnsi="Times New Roman" w:cs="Times New Roman"/>
          <w:bCs/>
        </w:rPr>
        <w:t xml:space="preserve"> of Kent’s wonderful and </w:t>
      </w:r>
      <w:r w:rsidR="00567861">
        <w:rPr>
          <w:rFonts w:ascii="Times New Roman" w:hAnsi="Times New Roman" w:cs="Times New Roman"/>
          <w:bCs/>
        </w:rPr>
        <w:t>rich</w:t>
      </w:r>
      <w:r>
        <w:rPr>
          <w:rFonts w:ascii="Times New Roman" w:hAnsi="Times New Roman" w:cs="Times New Roman"/>
          <w:bCs/>
        </w:rPr>
        <w:t xml:space="preserve"> </w:t>
      </w:r>
      <w:r w:rsidR="00567861">
        <w:rPr>
          <w:rFonts w:ascii="Times New Roman" w:hAnsi="Times New Roman" w:cs="Times New Roman"/>
          <w:bCs/>
        </w:rPr>
        <w:t>biodiversity</w:t>
      </w:r>
      <w:r>
        <w:rPr>
          <w:rFonts w:ascii="Times New Roman" w:hAnsi="Times New Roman" w:cs="Times New Roman"/>
          <w:bCs/>
        </w:rPr>
        <w:t xml:space="preserve"> and the pressure </w:t>
      </w:r>
      <w:r w:rsidR="00567861">
        <w:rPr>
          <w:rFonts w:ascii="Times New Roman" w:hAnsi="Times New Roman" w:cs="Times New Roman"/>
          <w:bCs/>
        </w:rPr>
        <w:t xml:space="preserve">placed on nature from the levels of growth being proposed. </w:t>
      </w:r>
      <w:r w:rsidR="0087296B" w:rsidRPr="0087296B">
        <w:rPr>
          <w:rFonts w:ascii="Times New Roman" w:hAnsi="Times New Roman" w:cs="Times New Roman"/>
          <w:bCs/>
        </w:rPr>
        <w:t>The HBF does not disagree that the UK has seen a loss in biodiversity not just in recent past but previous centuries and as such recognise the importance of ensuring that the outcome of new development in future is that there is a net gain in biodiversity. However, it is important to recognise that in recent years new residential development has not been the driver of declining biodiversity either locally or nationally and in particular over the last 50 years. The main drivers of declining biodiversity in England, as outlined in the State of Nature Report 2023 (State of Nature Partnership, 2023), as being “</w:t>
      </w:r>
      <w:r w:rsidR="0087296B" w:rsidRPr="00714CFC">
        <w:rPr>
          <w:rFonts w:ascii="Times New Roman" w:hAnsi="Times New Roman" w:cs="Times New Roman"/>
          <w:bCs/>
          <w:i/>
          <w:iCs/>
        </w:rPr>
        <w:t>Intensive management of agricultural land, largely driven by policies and incentives since World War II, has been identified as the most significant factor driving species’ population change in the UK</w:t>
      </w:r>
      <w:r w:rsidR="0087296B" w:rsidRPr="0087296B">
        <w:rPr>
          <w:rFonts w:ascii="Times New Roman" w:hAnsi="Times New Roman" w:cs="Times New Roman"/>
          <w:bCs/>
        </w:rPr>
        <w:t xml:space="preserve">”. Therefore, whilst it is important for development to ensure that it improves the natural </w:t>
      </w:r>
      <w:r w:rsidR="00714CFC" w:rsidRPr="0087296B">
        <w:rPr>
          <w:rFonts w:ascii="Times New Roman" w:hAnsi="Times New Roman" w:cs="Times New Roman"/>
          <w:bCs/>
        </w:rPr>
        <w:t>environment,</w:t>
      </w:r>
      <w:r w:rsidR="0087296B" w:rsidRPr="0087296B">
        <w:rPr>
          <w:rFonts w:ascii="Times New Roman" w:hAnsi="Times New Roman" w:cs="Times New Roman"/>
          <w:bCs/>
        </w:rPr>
        <w:t xml:space="preserve"> the main driver of </w:t>
      </w:r>
      <w:r w:rsidR="00D47A0B" w:rsidRPr="0087296B">
        <w:rPr>
          <w:rFonts w:ascii="Times New Roman" w:hAnsi="Times New Roman" w:cs="Times New Roman"/>
          <w:bCs/>
        </w:rPr>
        <w:t>biodiversity</w:t>
      </w:r>
      <w:r w:rsidR="0087296B" w:rsidRPr="0087296B">
        <w:rPr>
          <w:rFonts w:ascii="Times New Roman" w:hAnsi="Times New Roman" w:cs="Times New Roman"/>
          <w:bCs/>
        </w:rPr>
        <w:t xml:space="preserve"> is </w:t>
      </w:r>
      <w:r w:rsidR="001B051D">
        <w:rPr>
          <w:rFonts w:ascii="Times New Roman" w:hAnsi="Times New Roman" w:cs="Times New Roman"/>
          <w:bCs/>
        </w:rPr>
        <w:t>agricultural practices and</w:t>
      </w:r>
      <w:r w:rsidR="00567861">
        <w:rPr>
          <w:rFonts w:ascii="Times New Roman" w:hAnsi="Times New Roman" w:cs="Times New Roman"/>
          <w:bCs/>
        </w:rPr>
        <w:t xml:space="preserve"> not</w:t>
      </w:r>
      <w:r w:rsidR="001B051D">
        <w:rPr>
          <w:rFonts w:ascii="Times New Roman" w:hAnsi="Times New Roman" w:cs="Times New Roman"/>
          <w:bCs/>
        </w:rPr>
        <w:t xml:space="preserve"> new residential development</w:t>
      </w:r>
      <w:r w:rsidR="0087296B" w:rsidRPr="0087296B">
        <w:rPr>
          <w:rFonts w:ascii="Times New Roman" w:hAnsi="Times New Roman" w:cs="Times New Roman"/>
          <w:bCs/>
        </w:rPr>
        <w:t>.</w:t>
      </w:r>
      <w:r w:rsidR="009D5F70">
        <w:rPr>
          <w:rFonts w:ascii="Times New Roman" w:hAnsi="Times New Roman" w:cs="Times New Roman"/>
          <w:bCs/>
        </w:rPr>
        <w:t xml:space="preserve"> </w:t>
      </w:r>
      <w:r w:rsidR="00A13A71">
        <w:rPr>
          <w:rFonts w:ascii="Times New Roman" w:hAnsi="Times New Roman" w:cs="Times New Roman"/>
          <w:bCs/>
        </w:rPr>
        <w:t xml:space="preserve">HBF recognises the need to protect nature but that is achieved through other </w:t>
      </w:r>
      <w:r w:rsidR="000353EE">
        <w:rPr>
          <w:rFonts w:ascii="Times New Roman" w:hAnsi="Times New Roman" w:cs="Times New Roman"/>
          <w:bCs/>
        </w:rPr>
        <w:t>policies</w:t>
      </w:r>
      <w:r w:rsidR="00A13A71">
        <w:rPr>
          <w:rFonts w:ascii="Times New Roman" w:hAnsi="Times New Roman" w:cs="Times New Roman"/>
          <w:bCs/>
        </w:rPr>
        <w:t xml:space="preserve"> and not </w:t>
      </w:r>
      <w:r w:rsidR="000353EE">
        <w:rPr>
          <w:rFonts w:ascii="Times New Roman" w:hAnsi="Times New Roman" w:cs="Times New Roman"/>
          <w:bCs/>
        </w:rPr>
        <w:t>through</w:t>
      </w:r>
      <w:r w:rsidR="00A13A71">
        <w:rPr>
          <w:rFonts w:ascii="Times New Roman" w:hAnsi="Times New Roman" w:cs="Times New Roman"/>
          <w:bCs/>
        </w:rPr>
        <w:t xml:space="preserve"> BNG which has been </w:t>
      </w:r>
      <w:r w:rsidR="000353EE">
        <w:rPr>
          <w:rFonts w:ascii="Times New Roman" w:hAnsi="Times New Roman" w:cs="Times New Roman"/>
          <w:bCs/>
        </w:rPr>
        <w:t xml:space="preserve">legislated for to ensure development makes an appropriate construction to ensure there is a net gain in biodiversity from new development and not to address harm created by other industries. </w:t>
      </w:r>
    </w:p>
    <w:p w14:paraId="26BE30B7" w14:textId="220ED33B" w:rsidR="00E23D42" w:rsidRDefault="0087296B" w:rsidP="00224DA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87296B">
        <w:rPr>
          <w:rFonts w:ascii="Times New Roman" w:hAnsi="Times New Roman" w:cs="Times New Roman"/>
          <w:bCs/>
        </w:rPr>
        <w:t>The Council must also be able to show that the 20% net gain is viable and will not compromise the deliverability of sites or the local plan as a whole. The</w:t>
      </w:r>
      <w:r w:rsidR="004D50C8">
        <w:rPr>
          <w:rFonts w:ascii="Times New Roman" w:hAnsi="Times New Roman" w:cs="Times New Roman"/>
          <w:bCs/>
        </w:rPr>
        <w:t xml:space="preserve"> WPVA</w:t>
      </w:r>
      <w:r w:rsidRPr="0087296B">
        <w:rPr>
          <w:rFonts w:ascii="Times New Roman" w:hAnsi="Times New Roman" w:cs="Times New Roman"/>
          <w:bCs/>
        </w:rPr>
        <w:t xml:space="preserve"> bases the cost assumptions for BNG on research commissioned by Kent County Council which suggests that the cost of delivering 20% will not be significantly more than the statutory 10% minimum. However, in considering the cost of delivering </w:t>
      </w:r>
      <w:r w:rsidR="00986208" w:rsidRPr="0087296B">
        <w:rPr>
          <w:rFonts w:ascii="Times New Roman" w:hAnsi="Times New Roman" w:cs="Times New Roman"/>
          <w:bCs/>
        </w:rPr>
        <w:t>BNG</w:t>
      </w:r>
      <w:r w:rsidRPr="0087296B">
        <w:rPr>
          <w:rFonts w:ascii="Times New Roman" w:hAnsi="Times New Roman" w:cs="Times New Roman"/>
          <w:bCs/>
        </w:rPr>
        <w:t xml:space="preserve"> must be recognised this will depend significantly on the type and extent of the different habitats found on site. Some sites will find it relatively simple to </w:t>
      </w:r>
      <w:r w:rsidR="00986208" w:rsidRPr="0087296B">
        <w:rPr>
          <w:rFonts w:ascii="Times New Roman" w:hAnsi="Times New Roman" w:cs="Times New Roman"/>
          <w:bCs/>
        </w:rPr>
        <w:t>deliver</w:t>
      </w:r>
      <w:r w:rsidRPr="0087296B">
        <w:rPr>
          <w:rFonts w:ascii="Times New Roman" w:hAnsi="Times New Roman" w:cs="Times New Roman"/>
          <w:bCs/>
        </w:rPr>
        <w:t xml:space="preserve"> 10% </w:t>
      </w:r>
      <w:r w:rsidR="00986208" w:rsidRPr="0087296B">
        <w:rPr>
          <w:rFonts w:ascii="Times New Roman" w:hAnsi="Times New Roman" w:cs="Times New Roman"/>
          <w:bCs/>
        </w:rPr>
        <w:t>onsite,</w:t>
      </w:r>
      <w:r w:rsidRPr="0087296B">
        <w:rPr>
          <w:rFonts w:ascii="Times New Roman" w:hAnsi="Times New Roman" w:cs="Times New Roman"/>
          <w:bCs/>
        </w:rPr>
        <w:t xml:space="preserve"> others will find it more difficult and require significantly higher levels of site delivery which increases costs significantly. Therefore, it is concerning that in referring to the research by Kent County Council the VA does not outline that the cost of off-site credits used in that study are based on the 2019 DEFRA Impact Assessment which assumed costs of these at £11,000. However, our members are experiencing costs of over £30,000 per unit with the cost varying based on the habitat type and the where the offsetting units </w:t>
      </w:r>
      <w:r w:rsidR="00986208" w:rsidRPr="0087296B">
        <w:rPr>
          <w:rFonts w:ascii="Times New Roman" w:hAnsi="Times New Roman" w:cs="Times New Roman"/>
          <w:bCs/>
        </w:rPr>
        <w:lastRenderedPageBreak/>
        <w:t>are</w:t>
      </w:r>
      <w:r w:rsidRPr="0087296B">
        <w:rPr>
          <w:rFonts w:ascii="Times New Roman" w:hAnsi="Times New Roman" w:cs="Times New Roman"/>
          <w:bCs/>
        </w:rPr>
        <w:t xml:space="preserve"> being delivered. </w:t>
      </w:r>
      <w:r w:rsidR="00A21499">
        <w:rPr>
          <w:rFonts w:ascii="Times New Roman" w:hAnsi="Times New Roman" w:cs="Times New Roman"/>
          <w:bCs/>
        </w:rPr>
        <w:t xml:space="preserve">Evidence </w:t>
      </w:r>
      <w:r w:rsidR="00E23D42" w:rsidRPr="00E23D42">
        <w:rPr>
          <w:rFonts w:ascii="Times New Roman" w:hAnsi="Times New Roman" w:cs="Times New Roman"/>
          <w:bCs/>
        </w:rPr>
        <w:t>on costs of off-site credits</w:t>
      </w:r>
      <w:r w:rsidR="009160E1">
        <w:rPr>
          <w:rFonts w:ascii="Times New Roman" w:hAnsi="Times New Roman" w:cs="Times New Roman"/>
          <w:bCs/>
        </w:rPr>
        <w:t xml:space="preserve"> produced by Biodvieristy Units UK</w:t>
      </w:r>
      <w:r w:rsidR="004646C9">
        <w:rPr>
          <w:rStyle w:val="FootnoteReference"/>
          <w:rFonts w:ascii="Times New Roman" w:hAnsi="Times New Roman" w:cs="Times New Roman"/>
          <w:bCs/>
        </w:rPr>
        <w:footnoteReference w:id="2"/>
      </w:r>
      <w:r w:rsidR="00E23D42" w:rsidRPr="00E23D42">
        <w:rPr>
          <w:rFonts w:ascii="Times New Roman" w:hAnsi="Times New Roman" w:cs="Times New Roman"/>
          <w:bCs/>
        </w:rPr>
        <w:t xml:space="preserve"> shows that in the south of England costs range from £25,000 for neu</w:t>
      </w:r>
      <w:r w:rsidR="00D45F9D">
        <w:rPr>
          <w:rFonts w:ascii="Times New Roman" w:hAnsi="Times New Roman" w:cs="Times New Roman"/>
          <w:bCs/>
        </w:rPr>
        <w:t>t</w:t>
      </w:r>
      <w:r w:rsidR="00E23D42" w:rsidRPr="00E23D42">
        <w:rPr>
          <w:rFonts w:ascii="Times New Roman" w:hAnsi="Times New Roman" w:cs="Times New Roman"/>
          <w:bCs/>
        </w:rPr>
        <w:t xml:space="preserve">ral grassland of medium distinctiveness up to £190,000 for the very high distinctiveness water courses. </w:t>
      </w:r>
    </w:p>
    <w:p w14:paraId="300A464D" w14:textId="689B1F5B" w:rsidR="00272BBE" w:rsidRDefault="004D50C8" w:rsidP="00D45F9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In particular </w:t>
      </w:r>
      <w:r w:rsidR="00E23D42" w:rsidRPr="00E23D42">
        <w:rPr>
          <w:rFonts w:ascii="Times New Roman" w:hAnsi="Times New Roman" w:cs="Times New Roman"/>
          <w:bCs/>
        </w:rPr>
        <w:t xml:space="preserve">Careful consideration will need to be given as to the type of BNG that may be required on allocated sites, the level of on-site delivery that is possible and ensure that </w:t>
      </w:r>
      <w:r w:rsidR="00432610" w:rsidRPr="00E23D42">
        <w:rPr>
          <w:rFonts w:ascii="Times New Roman" w:hAnsi="Times New Roman" w:cs="Times New Roman"/>
          <w:bCs/>
        </w:rPr>
        <w:t>a</w:t>
      </w:r>
      <w:r w:rsidR="00E23D42" w:rsidRPr="00E23D42">
        <w:rPr>
          <w:rFonts w:ascii="Times New Roman" w:hAnsi="Times New Roman" w:cs="Times New Roman"/>
          <w:bCs/>
        </w:rPr>
        <w:t xml:space="preserve"> viability assessments reflect the potential cost of delivering this habitat offsite. </w:t>
      </w:r>
      <w:r w:rsidR="0087296B" w:rsidRPr="0087296B">
        <w:rPr>
          <w:rFonts w:ascii="Times New Roman" w:hAnsi="Times New Roman" w:cs="Times New Roman"/>
          <w:bCs/>
        </w:rPr>
        <w:t xml:space="preserve">Given that any BNG required in addition to the statutory minimum is likely to require more offsetting, then the </w:t>
      </w:r>
      <w:r>
        <w:rPr>
          <w:rFonts w:ascii="Times New Roman" w:hAnsi="Times New Roman" w:cs="Times New Roman"/>
          <w:bCs/>
        </w:rPr>
        <w:t>WPVA</w:t>
      </w:r>
      <w:r w:rsidR="0087296B" w:rsidRPr="0087296B">
        <w:rPr>
          <w:rFonts w:ascii="Times New Roman" w:hAnsi="Times New Roman" w:cs="Times New Roman"/>
          <w:bCs/>
        </w:rPr>
        <w:t xml:space="preserve"> could be underestimating the cost of this policy.</w:t>
      </w:r>
    </w:p>
    <w:p w14:paraId="0019431A" w14:textId="4C6AAB72" w:rsidR="00BF2FB6" w:rsidRPr="00BF2FB6" w:rsidRDefault="00BF15A7" w:rsidP="00BF2FB6">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BF15A7">
        <w:rPr>
          <w:rFonts w:ascii="Times New Roman" w:hAnsi="Times New Roman" w:cs="Times New Roman"/>
          <w:bCs/>
        </w:rPr>
        <w:t>Turing</w:t>
      </w:r>
      <w:r w:rsidR="00001A00" w:rsidRPr="00BF15A7">
        <w:rPr>
          <w:rFonts w:ascii="Times New Roman" w:hAnsi="Times New Roman" w:cs="Times New Roman"/>
          <w:bCs/>
        </w:rPr>
        <w:t xml:space="preserve"> to part 2 of the </w:t>
      </w:r>
      <w:r w:rsidRPr="00BF15A7">
        <w:rPr>
          <w:rFonts w:ascii="Times New Roman" w:hAnsi="Times New Roman" w:cs="Times New Roman"/>
          <w:bCs/>
        </w:rPr>
        <w:t>policy</w:t>
      </w:r>
      <w:r w:rsidR="00001A00" w:rsidRPr="00BF15A7">
        <w:rPr>
          <w:rFonts w:ascii="Times New Roman" w:hAnsi="Times New Roman" w:cs="Times New Roman"/>
          <w:bCs/>
        </w:rPr>
        <w:t xml:space="preserve"> which sets </w:t>
      </w:r>
      <w:r w:rsidR="008A0ABE" w:rsidRPr="00BF15A7">
        <w:rPr>
          <w:rFonts w:ascii="Times New Roman" w:hAnsi="Times New Roman" w:cs="Times New Roman"/>
          <w:bCs/>
        </w:rPr>
        <w:t xml:space="preserve">out that where offsite net gains </w:t>
      </w:r>
      <w:r w:rsidRPr="00BF15A7">
        <w:rPr>
          <w:rFonts w:ascii="Times New Roman" w:hAnsi="Times New Roman" w:cs="Times New Roman"/>
          <w:bCs/>
        </w:rPr>
        <w:t>should be</w:t>
      </w:r>
      <w:r w:rsidR="008A0ABE" w:rsidRPr="00BF15A7">
        <w:rPr>
          <w:rFonts w:ascii="Times New Roman" w:hAnsi="Times New Roman" w:cs="Times New Roman"/>
          <w:bCs/>
        </w:rPr>
        <w:t xml:space="preserve"> delivered if they cannot be </w:t>
      </w:r>
      <w:r w:rsidRPr="00BF15A7">
        <w:rPr>
          <w:rFonts w:ascii="Times New Roman" w:hAnsi="Times New Roman" w:cs="Times New Roman"/>
          <w:bCs/>
        </w:rPr>
        <w:t>delivered</w:t>
      </w:r>
      <w:r w:rsidR="008A0ABE" w:rsidRPr="00BF15A7">
        <w:rPr>
          <w:rFonts w:ascii="Times New Roman" w:hAnsi="Times New Roman" w:cs="Times New Roman"/>
          <w:bCs/>
        </w:rPr>
        <w:t xml:space="preserve"> on site. </w:t>
      </w:r>
      <w:r w:rsidR="00E4600E" w:rsidRPr="00BF15A7">
        <w:rPr>
          <w:rFonts w:ascii="Times New Roman" w:hAnsi="Times New Roman" w:cs="Times New Roman"/>
          <w:bCs/>
        </w:rPr>
        <w:t xml:space="preserve">This approach is not </w:t>
      </w:r>
      <w:r w:rsidRPr="00BF15A7">
        <w:rPr>
          <w:rFonts w:ascii="Times New Roman" w:hAnsi="Times New Roman" w:cs="Times New Roman"/>
          <w:bCs/>
        </w:rPr>
        <w:t>consistent</w:t>
      </w:r>
      <w:r w:rsidR="00E4600E" w:rsidRPr="00BF15A7">
        <w:rPr>
          <w:rFonts w:ascii="Times New Roman" w:hAnsi="Times New Roman" w:cs="Times New Roman"/>
          <w:bCs/>
        </w:rPr>
        <w:t xml:space="preserve"> with national </w:t>
      </w:r>
      <w:r w:rsidRPr="00BF15A7">
        <w:rPr>
          <w:rFonts w:ascii="Times New Roman" w:hAnsi="Times New Roman" w:cs="Times New Roman"/>
          <w:bCs/>
        </w:rPr>
        <w:t>policy</w:t>
      </w:r>
      <w:r w:rsidR="00E4600E" w:rsidRPr="00BF15A7">
        <w:rPr>
          <w:rFonts w:ascii="Times New Roman" w:hAnsi="Times New Roman" w:cs="Times New Roman"/>
          <w:bCs/>
        </w:rPr>
        <w:t xml:space="preserve"> </w:t>
      </w:r>
      <w:r w:rsidRPr="00BF15A7">
        <w:rPr>
          <w:rFonts w:ascii="Times New Roman" w:hAnsi="Times New Roman" w:cs="Times New Roman"/>
          <w:bCs/>
        </w:rPr>
        <w:t>which</w:t>
      </w:r>
      <w:r w:rsidR="00E4600E" w:rsidRPr="00BF15A7">
        <w:rPr>
          <w:rFonts w:ascii="Times New Roman" w:hAnsi="Times New Roman" w:cs="Times New Roman"/>
          <w:bCs/>
        </w:rPr>
        <w:t xml:space="preserve"> places no </w:t>
      </w:r>
      <w:r w:rsidRPr="00BF15A7">
        <w:rPr>
          <w:rFonts w:ascii="Times New Roman" w:hAnsi="Times New Roman" w:cs="Times New Roman"/>
          <w:bCs/>
        </w:rPr>
        <w:t>specific</w:t>
      </w:r>
      <w:r w:rsidR="00E4600E" w:rsidRPr="00BF15A7">
        <w:rPr>
          <w:rFonts w:ascii="Times New Roman" w:hAnsi="Times New Roman" w:cs="Times New Roman"/>
          <w:bCs/>
        </w:rPr>
        <w:t xml:space="preserve"> </w:t>
      </w:r>
      <w:r w:rsidRPr="00BF15A7">
        <w:rPr>
          <w:rFonts w:ascii="Times New Roman" w:hAnsi="Times New Roman" w:cs="Times New Roman"/>
          <w:bCs/>
        </w:rPr>
        <w:t>requirements</w:t>
      </w:r>
      <w:r w:rsidR="00E4600E" w:rsidRPr="00BF15A7">
        <w:rPr>
          <w:rFonts w:ascii="Times New Roman" w:hAnsi="Times New Roman" w:cs="Times New Roman"/>
          <w:bCs/>
        </w:rPr>
        <w:t xml:space="preserve"> on development to deliver offsite gains </w:t>
      </w:r>
      <w:r w:rsidRPr="00BF15A7">
        <w:rPr>
          <w:rFonts w:ascii="Times New Roman" w:hAnsi="Times New Roman" w:cs="Times New Roman"/>
          <w:bCs/>
        </w:rPr>
        <w:t xml:space="preserve">adjacent to or in close proximity to the development site or in an area identified by the council. </w:t>
      </w:r>
      <w:r w:rsidR="00F93A24">
        <w:rPr>
          <w:rFonts w:ascii="Times New Roman" w:hAnsi="Times New Roman" w:cs="Times New Roman"/>
          <w:bCs/>
        </w:rPr>
        <w:t xml:space="preserve">The incentive to </w:t>
      </w:r>
      <w:r w:rsidR="00E54F17">
        <w:rPr>
          <w:rFonts w:ascii="Times New Roman" w:hAnsi="Times New Roman" w:cs="Times New Roman"/>
          <w:bCs/>
        </w:rPr>
        <w:t>deliver</w:t>
      </w:r>
      <w:r w:rsidR="00F93A24">
        <w:rPr>
          <w:rFonts w:ascii="Times New Roman" w:hAnsi="Times New Roman" w:cs="Times New Roman"/>
          <w:bCs/>
        </w:rPr>
        <w:t xml:space="preserve"> as </w:t>
      </w:r>
      <w:r w:rsidR="00EB44BD">
        <w:rPr>
          <w:rFonts w:ascii="Times New Roman" w:hAnsi="Times New Roman" w:cs="Times New Roman"/>
          <w:bCs/>
        </w:rPr>
        <w:t>close</w:t>
      </w:r>
      <w:r w:rsidR="00F93A24">
        <w:rPr>
          <w:rFonts w:ascii="Times New Roman" w:hAnsi="Times New Roman" w:cs="Times New Roman"/>
          <w:bCs/>
        </w:rPr>
        <w:t xml:space="preserve"> as possible to the site </w:t>
      </w:r>
      <w:r w:rsidR="00EB44BD">
        <w:rPr>
          <w:rFonts w:ascii="Times New Roman" w:hAnsi="Times New Roman" w:cs="Times New Roman"/>
          <w:bCs/>
        </w:rPr>
        <w:t>is</w:t>
      </w:r>
      <w:r w:rsidR="00F93A24">
        <w:rPr>
          <w:rFonts w:ascii="Times New Roman" w:hAnsi="Times New Roman" w:cs="Times New Roman"/>
          <w:bCs/>
        </w:rPr>
        <w:t xml:space="preserve"> already </w:t>
      </w:r>
      <w:r w:rsidR="00E54F17">
        <w:rPr>
          <w:rFonts w:ascii="Times New Roman" w:hAnsi="Times New Roman" w:cs="Times New Roman"/>
          <w:bCs/>
        </w:rPr>
        <w:t xml:space="preserve">within the metric which includes a spatial multiplier which increases the amount of credits required the </w:t>
      </w:r>
      <w:r w:rsidR="00EB44BD">
        <w:rPr>
          <w:rFonts w:ascii="Times New Roman" w:hAnsi="Times New Roman" w:cs="Times New Roman"/>
          <w:bCs/>
        </w:rPr>
        <w:t>further,</w:t>
      </w:r>
      <w:r w:rsidR="00E54F17">
        <w:rPr>
          <w:rFonts w:ascii="Times New Roman" w:hAnsi="Times New Roman" w:cs="Times New Roman"/>
          <w:bCs/>
        </w:rPr>
        <w:t xml:space="preserve"> they are delivered from the site. </w:t>
      </w:r>
      <w:r w:rsidR="00EB44BD">
        <w:rPr>
          <w:rFonts w:ascii="Times New Roman" w:hAnsi="Times New Roman" w:cs="Times New Roman"/>
          <w:bCs/>
        </w:rPr>
        <w:t xml:space="preserve">Where credits are </w:t>
      </w:r>
      <w:r w:rsidR="00BF2FB6">
        <w:rPr>
          <w:rFonts w:ascii="Times New Roman" w:hAnsi="Times New Roman" w:cs="Times New Roman"/>
          <w:bCs/>
        </w:rPr>
        <w:t>delivered</w:t>
      </w:r>
      <w:r w:rsidR="00EB44BD">
        <w:rPr>
          <w:rFonts w:ascii="Times New Roman" w:hAnsi="Times New Roman" w:cs="Times New Roman"/>
          <w:bCs/>
        </w:rPr>
        <w:t xml:space="preserve"> is therefore not the </w:t>
      </w:r>
      <w:r w:rsidR="00BF2FB6">
        <w:rPr>
          <w:rFonts w:ascii="Times New Roman" w:hAnsi="Times New Roman" w:cs="Times New Roman"/>
          <w:bCs/>
        </w:rPr>
        <w:t>responsibility</w:t>
      </w:r>
      <w:r w:rsidR="00EB44BD">
        <w:rPr>
          <w:rFonts w:ascii="Times New Roman" w:hAnsi="Times New Roman" w:cs="Times New Roman"/>
          <w:bCs/>
        </w:rPr>
        <w:t xml:space="preserve"> of the </w:t>
      </w:r>
      <w:r w:rsidR="00BF2FB6">
        <w:rPr>
          <w:rFonts w:ascii="Times New Roman" w:hAnsi="Times New Roman" w:cs="Times New Roman"/>
          <w:bCs/>
        </w:rPr>
        <w:t xml:space="preserve">decision maker when determining a planning application. What is the responsibility of the council is ensuring that there are sufficient locations where offsite credits are available within Swale that </w:t>
      </w:r>
      <w:r w:rsidR="00355F7A">
        <w:rPr>
          <w:rFonts w:ascii="Times New Roman" w:hAnsi="Times New Roman" w:cs="Times New Roman"/>
          <w:bCs/>
        </w:rPr>
        <w:t>deliver</w:t>
      </w:r>
      <w:r w:rsidR="00BF2FB6">
        <w:rPr>
          <w:rFonts w:ascii="Times New Roman" w:hAnsi="Times New Roman" w:cs="Times New Roman"/>
          <w:bCs/>
        </w:rPr>
        <w:t xml:space="preserve"> the </w:t>
      </w:r>
      <w:r w:rsidR="00355F7A">
        <w:rPr>
          <w:rFonts w:ascii="Times New Roman" w:hAnsi="Times New Roman" w:cs="Times New Roman"/>
          <w:bCs/>
        </w:rPr>
        <w:t>best</w:t>
      </w:r>
      <w:r w:rsidR="00BF2FB6">
        <w:rPr>
          <w:rFonts w:ascii="Times New Roman" w:hAnsi="Times New Roman" w:cs="Times New Roman"/>
          <w:bCs/>
        </w:rPr>
        <w:t xml:space="preserve"> </w:t>
      </w:r>
      <w:r w:rsidR="00355F7A">
        <w:rPr>
          <w:rFonts w:ascii="Times New Roman" w:hAnsi="Times New Roman" w:cs="Times New Roman"/>
          <w:bCs/>
        </w:rPr>
        <w:t>outcomes</w:t>
      </w:r>
      <w:r w:rsidR="00BF2FB6">
        <w:rPr>
          <w:rFonts w:ascii="Times New Roman" w:hAnsi="Times New Roman" w:cs="Times New Roman"/>
          <w:bCs/>
        </w:rPr>
        <w:t xml:space="preserve"> in term so net gains. This </w:t>
      </w:r>
      <w:r w:rsidR="00355F7A">
        <w:rPr>
          <w:rFonts w:ascii="Times New Roman" w:hAnsi="Times New Roman" w:cs="Times New Roman"/>
          <w:bCs/>
        </w:rPr>
        <w:t>will</w:t>
      </w:r>
      <w:r w:rsidR="00BF2FB6">
        <w:rPr>
          <w:rFonts w:ascii="Times New Roman" w:hAnsi="Times New Roman" w:cs="Times New Roman"/>
          <w:bCs/>
        </w:rPr>
        <w:t xml:space="preserve"> ensure that when </w:t>
      </w:r>
      <w:r w:rsidR="00355F7A">
        <w:rPr>
          <w:rFonts w:ascii="Times New Roman" w:hAnsi="Times New Roman" w:cs="Times New Roman"/>
          <w:bCs/>
        </w:rPr>
        <w:t xml:space="preserve">a development must purchase credits </w:t>
      </w:r>
      <w:r w:rsidR="002972FC">
        <w:rPr>
          <w:rFonts w:ascii="Times New Roman" w:hAnsi="Times New Roman" w:cs="Times New Roman"/>
          <w:bCs/>
        </w:rPr>
        <w:t>locally,</w:t>
      </w:r>
      <w:r w:rsidR="00355F7A">
        <w:rPr>
          <w:rFonts w:ascii="Times New Roman" w:hAnsi="Times New Roman" w:cs="Times New Roman"/>
          <w:bCs/>
        </w:rPr>
        <w:t xml:space="preserve"> they are able to do so locally minimising cost and ensuring the benefits are </w:t>
      </w:r>
      <w:r w:rsidR="00C2374B">
        <w:rPr>
          <w:rFonts w:ascii="Times New Roman" w:hAnsi="Times New Roman" w:cs="Times New Roman"/>
          <w:bCs/>
        </w:rPr>
        <w:t>seen</w:t>
      </w:r>
      <w:r w:rsidR="00355F7A">
        <w:rPr>
          <w:rFonts w:ascii="Times New Roman" w:hAnsi="Times New Roman" w:cs="Times New Roman"/>
          <w:bCs/>
        </w:rPr>
        <w:t xml:space="preserve"> locally.</w:t>
      </w:r>
      <w:r w:rsidR="00BF2FB6">
        <w:rPr>
          <w:rFonts w:ascii="Times New Roman" w:hAnsi="Times New Roman" w:cs="Times New Roman"/>
          <w:bCs/>
        </w:rPr>
        <w:t xml:space="preserve">  </w:t>
      </w:r>
    </w:p>
    <w:p w14:paraId="0BA66623" w14:textId="3D953366" w:rsidR="0048530E" w:rsidRPr="00FA6B45" w:rsidRDefault="00A55BB0" w:rsidP="00A55BB0">
      <w:pPr>
        <w:widowControl/>
        <w:suppressAutoHyphens w:val="0"/>
        <w:autoSpaceDE/>
        <w:spacing w:after="240" w:line="360" w:lineRule="auto"/>
        <w:jc w:val="both"/>
        <w:rPr>
          <w:rFonts w:ascii="Times New Roman" w:hAnsi="Times New Roman" w:cs="Times New Roman"/>
          <w:b/>
          <w:bCs/>
          <w:lang w:val="en-GB"/>
        </w:rPr>
      </w:pPr>
      <w:r w:rsidRPr="00A55BB0">
        <w:rPr>
          <w:rFonts w:ascii="Times New Roman" w:hAnsi="Times New Roman" w:cs="Times New Roman"/>
          <w:b/>
          <w:bCs/>
          <w:lang w:val="en-GB"/>
        </w:rPr>
        <w:t>Question 81</w:t>
      </w:r>
      <w:r w:rsidR="00FA6B45">
        <w:rPr>
          <w:rFonts w:ascii="Times New Roman" w:hAnsi="Times New Roman" w:cs="Times New Roman"/>
          <w:b/>
          <w:bCs/>
          <w:lang w:val="en-GB"/>
        </w:rPr>
        <w:t xml:space="preserve">: </w:t>
      </w:r>
      <w:r w:rsidRPr="00A55BB0">
        <w:rPr>
          <w:rFonts w:ascii="Times New Roman" w:hAnsi="Times New Roman" w:cs="Times New Roman"/>
          <w:b/>
          <w:lang w:val="en-GB"/>
        </w:rPr>
        <w:t>Do you support or object to Policy B4? What would you add, remove or amend to support it further or</w:t>
      </w:r>
      <w:r w:rsidR="00C8304B" w:rsidRPr="00C8304B">
        <w:rPr>
          <w:rFonts w:ascii="Times New Roman" w:hAnsi="Times New Roman" w:cs="Times New Roman"/>
          <w:b/>
          <w:lang w:val="en-GB"/>
        </w:rPr>
        <w:t xml:space="preserve"> </w:t>
      </w:r>
      <w:r w:rsidRPr="00C8304B">
        <w:rPr>
          <w:rFonts w:ascii="Times New Roman" w:hAnsi="Times New Roman" w:cs="Times New Roman"/>
          <w:b/>
          <w:lang w:val="en-GB"/>
        </w:rPr>
        <w:t>to remove your objection?</w:t>
      </w:r>
    </w:p>
    <w:p w14:paraId="041879A6" w14:textId="3FEA20A4" w:rsidR="00C8304B" w:rsidRPr="00C8304B" w:rsidRDefault="008D7FE9" w:rsidP="0012396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HBF does not support </w:t>
      </w:r>
      <w:r w:rsidR="00501B16">
        <w:rPr>
          <w:rFonts w:ascii="Times New Roman" w:hAnsi="Times New Roman" w:cs="Times New Roman"/>
          <w:bCs/>
          <w:lang w:val="en-GB"/>
        </w:rPr>
        <w:t>t</w:t>
      </w:r>
      <w:r>
        <w:rPr>
          <w:rFonts w:ascii="Times New Roman" w:hAnsi="Times New Roman" w:cs="Times New Roman"/>
          <w:bCs/>
          <w:lang w:val="en-GB"/>
        </w:rPr>
        <w:t xml:space="preserve">he use of </w:t>
      </w:r>
      <w:r w:rsidR="003946E9">
        <w:rPr>
          <w:rFonts w:ascii="Times New Roman" w:hAnsi="Times New Roman" w:cs="Times New Roman"/>
          <w:bCs/>
          <w:lang w:val="en-GB"/>
        </w:rPr>
        <w:t>countryside gaps in local plans</w:t>
      </w:r>
      <w:r w:rsidR="00501B16">
        <w:rPr>
          <w:rFonts w:ascii="Times New Roman" w:hAnsi="Times New Roman" w:cs="Times New Roman"/>
          <w:bCs/>
          <w:lang w:val="en-GB"/>
        </w:rPr>
        <w:t xml:space="preserve">. The </w:t>
      </w:r>
      <w:r w:rsidR="006F6243">
        <w:rPr>
          <w:rFonts w:ascii="Times New Roman" w:hAnsi="Times New Roman" w:cs="Times New Roman"/>
          <w:bCs/>
          <w:lang w:val="en-GB"/>
        </w:rPr>
        <w:t>Council</w:t>
      </w:r>
      <w:r w:rsidR="00501B16">
        <w:rPr>
          <w:rFonts w:ascii="Times New Roman" w:hAnsi="Times New Roman" w:cs="Times New Roman"/>
          <w:bCs/>
          <w:lang w:val="en-GB"/>
        </w:rPr>
        <w:t xml:space="preserve"> suggest that these are necessary to maintain the character </w:t>
      </w:r>
      <w:r w:rsidR="00E20503">
        <w:rPr>
          <w:rFonts w:ascii="Times New Roman" w:hAnsi="Times New Roman" w:cs="Times New Roman"/>
          <w:bCs/>
          <w:lang w:val="en-GB"/>
        </w:rPr>
        <w:t xml:space="preserve">of settlements and prevent encroachment </w:t>
      </w:r>
      <w:r w:rsidR="00FB57B6">
        <w:rPr>
          <w:rFonts w:ascii="Times New Roman" w:hAnsi="Times New Roman" w:cs="Times New Roman"/>
          <w:bCs/>
          <w:lang w:val="en-GB"/>
        </w:rPr>
        <w:t xml:space="preserve">of erosion </w:t>
      </w:r>
      <w:r w:rsidR="006F6243">
        <w:rPr>
          <w:rFonts w:ascii="Times New Roman" w:hAnsi="Times New Roman" w:cs="Times New Roman"/>
          <w:bCs/>
          <w:lang w:val="en-GB"/>
        </w:rPr>
        <w:t>of</w:t>
      </w:r>
      <w:r w:rsidR="00FB57B6">
        <w:rPr>
          <w:rFonts w:ascii="Times New Roman" w:hAnsi="Times New Roman" w:cs="Times New Roman"/>
          <w:bCs/>
          <w:lang w:val="en-GB"/>
        </w:rPr>
        <w:t xml:space="preserve"> </w:t>
      </w:r>
      <w:r w:rsidR="006F6243">
        <w:rPr>
          <w:rFonts w:ascii="Times New Roman" w:hAnsi="Times New Roman" w:cs="Times New Roman"/>
          <w:bCs/>
          <w:lang w:val="en-GB"/>
        </w:rPr>
        <w:t>rural</w:t>
      </w:r>
      <w:r w:rsidR="00FB57B6">
        <w:rPr>
          <w:rFonts w:ascii="Times New Roman" w:hAnsi="Times New Roman" w:cs="Times New Roman"/>
          <w:bCs/>
          <w:lang w:val="en-GB"/>
        </w:rPr>
        <w:t xml:space="preserve"> areas. </w:t>
      </w:r>
      <w:r w:rsidR="00CE1785">
        <w:rPr>
          <w:rFonts w:ascii="Times New Roman" w:hAnsi="Times New Roman" w:cs="Times New Roman"/>
          <w:bCs/>
          <w:lang w:val="en-GB"/>
        </w:rPr>
        <w:t xml:space="preserve">In addition, </w:t>
      </w:r>
      <w:r w:rsidR="0078554A">
        <w:rPr>
          <w:rFonts w:ascii="Times New Roman" w:hAnsi="Times New Roman" w:cs="Times New Roman"/>
          <w:bCs/>
          <w:lang w:val="en-GB"/>
        </w:rPr>
        <w:t>it is</w:t>
      </w:r>
      <w:r w:rsidR="00CE1785">
        <w:rPr>
          <w:rFonts w:ascii="Times New Roman" w:hAnsi="Times New Roman" w:cs="Times New Roman"/>
          <w:bCs/>
          <w:lang w:val="en-GB"/>
        </w:rPr>
        <w:t xml:space="preserve"> suggested that this </w:t>
      </w:r>
      <w:r w:rsidR="0078554A">
        <w:rPr>
          <w:rFonts w:ascii="Times New Roman" w:hAnsi="Times New Roman" w:cs="Times New Roman"/>
          <w:bCs/>
          <w:lang w:val="en-GB"/>
        </w:rPr>
        <w:t xml:space="preserve">is required to in order to meet NPPF requirements around contributing and enhancing the local environment. </w:t>
      </w:r>
      <w:r w:rsidR="00FB57B6">
        <w:rPr>
          <w:rFonts w:ascii="Times New Roman" w:hAnsi="Times New Roman" w:cs="Times New Roman"/>
          <w:bCs/>
          <w:lang w:val="en-GB"/>
        </w:rPr>
        <w:t xml:space="preserve">However, </w:t>
      </w:r>
      <w:r w:rsidR="006F6243">
        <w:rPr>
          <w:rFonts w:ascii="Times New Roman" w:hAnsi="Times New Roman" w:cs="Times New Roman"/>
          <w:bCs/>
          <w:lang w:val="en-GB"/>
        </w:rPr>
        <w:t xml:space="preserve">outside of Green Belt </w:t>
      </w:r>
      <w:r w:rsidR="00FA2194">
        <w:rPr>
          <w:rFonts w:ascii="Times New Roman" w:hAnsi="Times New Roman" w:cs="Times New Roman"/>
          <w:bCs/>
          <w:lang w:val="en-GB"/>
        </w:rPr>
        <w:t>m</w:t>
      </w:r>
      <w:r w:rsidR="00FE3B24">
        <w:rPr>
          <w:rFonts w:ascii="Times New Roman" w:hAnsi="Times New Roman" w:cs="Times New Roman"/>
          <w:bCs/>
          <w:lang w:val="en-GB"/>
        </w:rPr>
        <w:t>aintaining</w:t>
      </w:r>
      <w:r w:rsidR="003946E9">
        <w:rPr>
          <w:rFonts w:ascii="Times New Roman" w:hAnsi="Times New Roman" w:cs="Times New Roman"/>
          <w:bCs/>
          <w:lang w:val="en-GB"/>
        </w:rPr>
        <w:t xml:space="preserve"> the </w:t>
      </w:r>
      <w:r w:rsidR="00FE3B24">
        <w:rPr>
          <w:rFonts w:ascii="Times New Roman" w:hAnsi="Times New Roman" w:cs="Times New Roman"/>
          <w:bCs/>
          <w:lang w:val="en-GB"/>
        </w:rPr>
        <w:t>separation</w:t>
      </w:r>
      <w:r w:rsidR="003946E9">
        <w:rPr>
          <w:rFonts w:ascii="Times New Roman" w:hAnsi="Times New Roman" w:cs="Times New Roman"/>
          <w:bCs/>
          <w:lang w:val="en-GB"/>
        </w:rPr>
        <w:t xml:space="preserve"> </w:t>
      </w:r>
      <w:r w:rsidR="00FE3B24">
        <w:rPr>
          <w:rFonts w:ascii="Times New Roman" w:hAnsi="Times New Roman" w:cs="Times New Roman"/>
          <w:bCs/>
          <w:lang w:val="en-GB"/>
        </w:rPr>
        <w:t>settlements</w:t>
      </w:r>
      <w:r w:rsidR="003946E9">
        <w:rPr>
          <w:rFonts w:ascii="Times New Roman" w:hAnsi="Times New Roman" w:cs="Times New Roman"/>
          <w:bCs/>
          <w:lang w:val="en-GB"/>
        </w:rPr>
        <w:t xml:space="preserve"> have no basis in national policy outside of Green Belt</w:t>
      </w:r>
      <w:r w:rsidR="00FA2194">
        <w:rPr>
          <w:rFonts w:ascii="Times New Roman" w:hAnsi="Times New Roman" w:cs="Times New Roman"/>
          <w:bCs/>
          <w:lang w:val="en-GB"/>
        </w:rPr>
        <w:t>.</w:t>
      </w:r>
      <w:r w:rsidR="00C042CE">
        <w:rPr>
          <w:rFonts w:ascii="Times New Roman" w:hAnsi="Times New Roman" w:cs="Times New Roman"/>
          <w:bCs/>
          <w:lang w:val="en-GB"/>
        </w:rPr>
        <w:t xml:space="preserve"> As such it is not consistent with national policy to include a policy specific looking to maintain the separation of settlements and determine the suitable of development on such criteria. </w:t>
      </w:r>
      <w:r w:rsidR="000F468F">
        <w:rPr>
          <w:rFonts w:ascii="Times New Roman" w:hAnsi="Times New Roman" w:cs="Times New Roman"/>
          <w:bCs/>
          <w:lang w:val="en-GB"/>
        </w:rPr>
        <w:t xml:space="preserve"> It is also the case that</w:t>
      </w:r>
      <w:r w:rsidR="00C042CE">
        <w:rPr>
          <w:rFonts w:ascii="Times New Roman" w:hAnsi="Times New Roman" w:cs="Times New Roman"/>
          <w:bCs/>
          <w:lang w:val="en-GB"/>
        </w:rPr>
        <w:t xml:space="preserve"> </w:t>
      </w:r>
      <w:r w:rsidR="001B2CC6">
        <w:rPr>
          <w:rFonts w:ascii="Times New Roman" w:hAnsi="Times New Roman" w:cs="Times New Roman"/>
          <w:bCs/>
          <w:lang w:val="en-GB"/>
        </w:rPr>
        <w:t>valued landscapes will be considered in policy B2</w:t>
      </w:r>
      <w:r w:rsidR="00C042CE">
        <w:rPr>
          <w:rFonts w:ascii="Times New Roman" w:hAnsi="Times New Roman" w:cs="Times New Roman"/>
          <w:bCs/>
          <w:lang w:val="en-GB"/>
        </w:rPr>
        <w:t xml:space="preserve"> and as such there are already </w:t>
      </w:r>
      <w:r w:rsidR="00F56F8C">
        <w:rPr>
          <w:rFonts w:ascii="Times New Roman" w:hAnsi="Times New Roman" w:cs="Times New Roman"/>
          <w:bCs/>
          <w:lang w:val="en-GB"/>
        </w:rPr>
        <w:t>policies</w:t>
      </w:r>
      <w:r w:rsidR="00C042CE">
        <w:rPr>
          <w:rFonts w:ascii="Times New Roman" w:hAnsi="Times New Roman" w:cs="Times New Roman"/>
          <w:bCs/>
          <w:lang w:val="en-GB"/>
        </w:rPr>
        <w:t xml:space="preserve"> that seek to </w:t>
      </w:r>
      <w:r w:rsidR="00F56F8C">
        <w:rPr>
          <w:rFonts w:ascii="Times New Roman" w:hAnsi="Times New Roman" w:cs="Times New Roman"/>
          <w:bCs/>
          <w:lang w:val="en-GB"/>
        </w:rPr>
        <w:t>ensure</w:t>
      </w:r>
      <w:r w:rsidR="00C042CE">
        <w:rPr>
          <w:rFonts w:ascii="Times New Roman" w:hAnsi="Times New Roman" w:cs="Times New Roman"/>
          <w:bCs/>
          <w:lang w:val="en-GB"/>
        </w:rPr>
        <w:t xml:space="preserve"> that </w:t>
      </w:r>
      <w:r w:rsidR="00F56F8C">
        <w:rPr>
          <w:rFonts w:ascii="Times New Roman" w:hAnsi="Times New Roman" w:cs="Times New Roman"/>
          <w:bCs/>
          <w:lang w:val="en-GB"/>
        </w:rPr>
        <w:t xml:space="preserve">development does not impact negatively on these areas. </w:t>
      </w:r>
      <w:r w:rsidR="00BA25F3">
        <w:rPr>
          <w:rFonts w:ascii="Times New Roman" w:hAnsi="Times New Roman" w:cs="Times New Roman"/>
          <w:bCs/>
          <w:lang w:val="en-GB"/>
        </w:rPr>
        <w:t xml:space="preserve">The policy should therefore be deleted. </w:t>
      </w:r>
    </w:p>
    <w:p w14:paraId="7C03A1E2" w14:textId="77777777" w:rsidR="00F0430A" w:rsidRDefault="00F0430A" w:rsidP="00F0430A">
      <w:pPr>
        <w:spacing w:after="240" w:line="360" w:lineRule="auto"/>
        <w:rPr>
          <w:rFonts w:ascii="Arial" w:hAnsi="Arial" w:cs="Arial"/>
          <w:b/>
        </w:rPr>
      </w:pPr>
      <w:r>
        <w:rPr>
          <w:rFonts w:ascii="Arial" w:hAnsi="Arial" w:cs="Arial"/>
          <w:b/>
        </w:rPr>
        <w:t>Future Engagement</w:t>
      </w:r>
    </w:p>
    <w:p w14:paraId="32666532"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 trust that the Council will find these comments useful as it continues to progress its Local Plan. I would be happy to discuss these issues in greater detail or assist in facilitating discussions with the wider housebuilding industry.</w:t>
      </w:r>
    </w:p>
    <w:p w14:paraId="1D450004" w14:textId="77777777" w:rsidR="00F0430A" w:rsidRDefault="00F0430A" w:rsidP="0043348C">
      <w:pPr>
        <w:pStyle w:val="ListParagraph"/>
        <w:widowControl/>
        <w:numPr>
          <w:ilvl w:val="0"/>
          <w:numId w:val="2"/>
        </w:numPr>
        <w:tabs>
          <w:tab w:val="left" w:pos="2268"/>
        </w:tabs>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The HBF would like to be kept informed of all forthcoming consultations upon the Local Plan and associated documents. Please use the contact details provided below for future correspondence.</w:t>
      </w:r>
    </w:p>
    <w:p w14:paraId="08C53D08" w14:textId="77777777" w:rsidR="0028345D" w:rsidRPr="004612EA" w:rsidRDefault="0028345D" w:rsidP="00C411E9">
      <w:pPr>
        <w:pStyle w:val="ListParagraph"/>
        <w:spacing w:line="360" w:lineRule="auto"/>
        <w:ind w:left="426"/>
        <w:rPr>
          <w:rFonts w:ascii="Times New Roman" w:hAnsi="Times New Roman" w:cs="Times New Roman"/>
          <w:b/>
        </w:rPr>
      </w:pPr>
    </w:p>
    <w:p w14:paraId="11C30352" w14:textId="77777777" w:rsidR="0028345D" w:rsidRPr="004612EA" w:rsidRDefault="0028345D" w:rsidP="00C411E9">
      <w:pPr>
        <w:spacing w:line="360" w:lineRule="auto"/>
        <w:rPr>
          <w:rFonts w:ascii="Times New Roman" w:hAnsi="Times New Roman" w:cs="Times New Roman"/>
          <w:b/>
        </w:rPr>
      </w:pPr>
    </w:p>
    <w:p w14:paraId="01632919" w14:textId="77777777"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71F3E5E" w14:textId="77777777" w:rsidR="003205C3" w:rsidRPr="00527E57" w:rsidRDefault="003205C3" w:rsidP="00527E57">
      <w:pPr>
        <w:tabs>
          <w:tab w:val="left" w:pos="426"/>
          <w:tab w:val="left" w:pos="2380"/>
        </w:tabs>
        <w:rPr>
          <w:rFonts w:ascii="Times New Roman" w:hAnsi="Times New Roman" w:cs="Times New Roman"/>
          <w:bCs/>
        </w:rPr>
      </w:pPr>
    </w:p>
    <w:p w14:paraId="2CCC6B5E" w14:textId="77777777"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69C5" w14:textId="77777777" w:rsidR="00DD5C0A" w:rsidRDefault="00DD5C0A">
      <w:r>
        <w:separator/>
      </w:r>
    </w:p>
  </w:endnote>
  <w:endnote w:type="continuationSeparator" w:id="0">
    <w:p w14:paraId="66BE9BC4" w14:textId="77777777" w:rsidR="00DD5C0A" w:rsidRDefault="00DD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0"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0"/>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65408"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4B12D798" id="Graphic 20" o:spid="_x0000_s1026" style="position:absolute;margin-left:0;margin-top:8.7pt;width:540pt;height:1.2pt;z-index:251665408;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A9A2" w14:textId="77777777" w:rsidR="00DD5C0A" w:rsidRDefault="00DD5C0A">
      <w:r>
        <w:rPr>
          <w:color w:val="000000"/>
        </w:rPr>
        <w:separator/>
      </w:r>
    </w:p>
  </w:footnote>
  <w:footnote w:type="continuationSeparator" w:id="0">
    <w:p w14:paraId="5DF98CFB" w14:textId="77777777" w:rsidR="00DD5C0A" w:rsidRDefault="00DD5C0A">
      <w:r>
        <w:continuationSeparator/>
      </w:r>
    </w:p>
  </w:footnote>
  <w:footnote w:id="1">
    <w:p w14:paraId="639390CB" w14:textId="52D62DED" w:rsidR="00E41AD7" w:rsidRPr="00E41AD7" w:rsidRDefault="00E41AD7">
      <w:pPr>
        <w:pStyle w:val="FootnoteText"/>
        <w:rPr>
          <w:lang w:val="en-GB"/>
        </w:rPr>
      </w:pPr>
      <w:r>
        <w:rPr>
          <w:rStyle w:val="FootnoteReference"/>
        </w:rPr>
        <w:footnoteRef/>
      </w:r>
      <w:r>
        <w:t xml:space="preserve"> </w:t>
      </w:r>
      <w:hyperlink r:id="rId1" w:history="1">
        <w:r w:rsidRPr="00973AF4">
          <w:rPr>
            <w:rStyle w:val="Hyperlink"/>
          </w:rPr>
          <w:t>https://www.gov.uk/government/publications/consideration-of-embodied-carbon-in-new-buildings/the-practical-technical-and-economic-impacts-of-measuring-and-reducing-embodied-carbon-in-new-buildings-executive-summary</w:t>
        </w:r>
      </w:hyperlink>
      <w:r>
        <w:t xml:space="preserve"> </w:t>
      </w:r>
    </w:p>
  </w:footnote>
  <w:footnote w:id="2">
    <w:p w14:paraId="66A24FF3" w14:textId="1C7220B6" w:rsidR="004646C9" w:rsidRPr="004646C9" w:rsidRDefault="004646C9">
      <w:pPr>
        <w:pStyle w:val="FootnoteText"/>
        <w:rPr>
          <w:lang w:val="en-GB"/>
        </w:rPr>
      </w:pPr>
      <w:r>
        <w:rPr>
          <w:rStyle w:val="FootnoteReference"/>
        </w:rPr>
        <w:footnoteRef/>
      </w:r>
      <w:r>
        <w:t xml:space="preserve"> </w:t>
      </w:r>
      <w:hyperlink r:id="rId2" w:history="1">
        <w:r w:rsidRPr="00973AF4">
          <w:rPr>
            <w:rStyle w:val="Hyperlink"/>
          </w:rPr>
          <w:t>https://www.biodiversityunits.com/signup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6336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2385"/>
    <w:multiLevelType w:val="hybridMultilevel"/>
    <w:tmpl w:val="DC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83F5E51"/>
    <w:multiLevelType w:val="hybridMultilevel"/>
    <w:tmpl w:val="81B21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D53849"/>
    <w:multiLevelType w:val="hybridMultilevel"/>
    <w:tmpl w:val="471ED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3758027">
    <w:abstractNumId w:val="1"/>
  </w:num>
  <w:num w:numId="2" w16cid:durableId="1235816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8080483">
    <w:abstractNumId w:val="4"/>
  </w:num>
  <w:num w:numId="5" w16cid:durableId="1614702790">
    <w:abstractNumId w:val="0"/>
  </w:num>
  <w:num w:numId="6" w16cid:durableId="295911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1A00"/>
    <w:rsid w:val="00001DD2"/>
    <w:rsid w:val="00005849"/>
    <w:rsid w:val="00011983"/>
    <w:rsid w:val="0001786E"/>
    <w:rsid w:val="000308CF"/>
    <w:rsid w:val="000353EE"/>
    <w:rsid w:val="00044843"/>
    <w:rsid w:val="00045D2E"/>
    <w:rsid w:val="00056303"/>
    <w:rsid w:val="00070733"/>
    <w:rsid w:val="000731F4"/>
    <w:rsid w:val="00076EBD"/>
    <w:rsid w:val="00080483"/>
    <w:rsid w:val="000829D2"/>
    <w:rsid w:val="00085399"/>
    <w:rsid w:val="000861CD"/>
    <w:rsid w:val="00086584"/>
    <w:rsid w:val="0009544D"/>
    <w:rsid w:val="00096954"/>
    <w:rsid w:val="000A1088"/>
    <w:rsid w:val="000A3F36"/>
    <w:rsid w:val="000A7260"/>
    <w:rsid w:val="000B0125"/>
    <w:rsid w:val="000B0364"/>
    <w:rsid w:val="000B4E79"/>
    <w:rsid w:val="000B5007"/>
    <w:rsid w:val="000B5766"/>
    <w:rsid w:val="000D0BDD"/>
    <w:rsid w:val="000D3BB5"/>
    <w:rsid w:val="000D7947"/>
    <w:rsid w:val="000F468F"/>
    <w:rsid w:val="00100123"/>
    <w:rsid w:val="00107D0B"/>
    <w:rsid w:val="00112374"/>
    <w:rsid w:val="0011389E"/>
    <w:rsid w:val="00114759"/>
    <w:rsid w:val="00123960"/>
    <w:rsid w:val="001317C7"/>
    <w:rsid w:val="001318F9"/>
    <w:rsid w:val="00134A23"/>
    <w:rsid w:val="00135E74"/>
    <w:rsid w:val="00137784"/>
    <w:rsid w:val="00143CBB"/>
    <w:rsid w:val="00155364"/>
    <w:rsid w:val="00157532"/>
    <w:rsid w:val="00162F6D"/>
    <w:rsid w:val="001776E7"/>
    <w:rsid w:val="0019356E"/>
    <w:rsid w:val="001A149B"/>
    <w:rsid w:val="001A3372"/>
    <w:rsid w:val="001A49A7"/>
    <w:rsid w:val="001A722A"/>
    <w:rsid w:val="001B051D"/>
    <w:rsid w:val="001B26B3"/>
    <w:rsid w:val="001B2CC6"/>
    <w:rsid w:val="001B64BC"/>
    <w:rsid w:val="001C1FC1"/>
    <w:rsid w:val="001C2E66"/>
    <w:rsid w:val="001C5149"/>
    <w:rsid w:val="001E370E"/>
    <w:rsid w:val="001E5976"/>
    <w:rsid w:val="001F6025"/>
    <w:rsid w:val="00204DC7"/>
    <w:rsid w:val="002109CE"/>
    <w:rsid w:val="002133F0"/>
    <w:rsid w:val="00215C07"/>
    <w:rsid w:val="0021674D"/>
    <w:rsid w:val="00223A40"/>
    <w:rsid w:val="00224DAD"/>
    <w:rsid w:val="00225638"/>
    <w:rsid w:val="00230FF9"/>
    <w:rsid w:val="00243BE2"/>
    <w:rsid w:val="002554BF"/>
    <w:rsid w:val="002662DD"/>
    <w:rsid w:val="0026762D"/>
    <w:rsid w:val="00271B2A"/>
    <w:rsid w:val="0027229F"/>
    <w:rsid w:val="00272BBE"/>
    <w:rsid w:val="00274E92"/>
    <w:rsid w:val="0028345D"/>
    <w:rsid w:val="00293F36"/>
    <w:rsid w:val="00294506"/>
    <w:rsid w:val="00294B28"/>
    <w:rsid w:val="00295399"/>
    <w:rsid w:val="002972FC"/>
    <w:rsid w:val="002A0174"/>
    <w:rsid w:val="002A0C8F"/>
    <w:rsid w:val="002A7FF3"/>
    <w:rsid w:val="002B1B34"/>
    <w:rsid w:val="002B4059"/>
    <w:rsid w:val="002B50C9"/>
    <w:rsid w:val="002C4B0D"/>
    <w:rsid w:val="002C7976"/>
    <w:rsid w:val="002D2604"/>
    <w:rsid w:val="002D4B79"/>
    <w:rsid w:val="002D7045"/>
    <w:rsid w:val="002D7B3A"/>
    <w:rsid w:val="002E1B22"/>
    <w:rsid w:val="002E4409"/>
    <w:rsid w:val="002F0685"/>
    <w:rsid w:val="002F360E"/>
    <w:rsid w:val="003077CD"/>
    <w:rsid w:val="00307E1D"/>
    <w:rsid w:val="00313024"/>
    <w:rsid w:val="00313950"/>
    <w:rsid w:val="00315118"/>
    <w:rsid w:val="0032050C"/>
    <w:rsid w:val="003205C3"/>
    <w:rsid w:val="00321EB8"/>
    <w:rsid w:val="00327936"/>
    <w:rsid w:val="003345BF"/>
    <w:rsid w:val="00337466"/>
    <w:rsid w:val="00342780"/>
    <w:rsid w:val="00344C11"/>
    <w:rsid w:val="00355F7A"/>
    <w:rsid w:val="00356371"/>
    <w:rsid w:val="00360485"/>
    <w:rsid w:val="0036102D"/>
    <w:rsid w:val="0037259C"/>
    <w:rsid w:val="0037722C"/>
    <w:rsid w:val="00380A97"/>
    <w:rsid w:val="00380ED8"/>
    <w:rsid w:val="00381C3F"/>
    <w:rsid w:val="00391DDE"/>
    <w:rsid w:val="00393D94"/>
    <w:rsid w:val="003946E9"/>
    <w:rsid w:val="003A2EE5"/>
    <w:rsid w:val="003B083F"/>
    <w:rsid w:val="003B13DF"/>
    <w:rsid w:val="003B1697"/>
    <w:rsid w:val="003B5D9E"/>
    <w:rsid w:val="003B7B26"/>
    <w:rsid w:val="003C18E5"/>
    <w:rsid w:val="003C282B"/>
    <w:rsid w:val="003D4269"/>
    <w:rsid w:val="003D7D88"/>
    <w:rsid w:val="003E28B5"/>
    <w:rsid w:val="003F28D2"/>
    <w:rsid w:val="00406E0B"/>
    <w:rsid w:val="00406F58"/>
    <w:rsid w:val="00412A6A"/>
    <w:rsid w:val="00416E77"/>
    <w:rsid w:val="004271DF"/>
    <w:rsid w:val="00432610"/>
    <w:rsid w:val="0043348C"/>
    <w:rsid w:val="00441932"/>
    <w:rsid w:val="00442C19"/>
    <w:rsid w:val="004452DC"/>
    <w:rsid w:val="004612EA"/>
    <w:rsid w:val="00462517"/>
    <w:rsid w:val="004646C9"/>
    <w:rsid w:val="00467DD6"/>
    <w:rsid w:val="00477888"/>
    <w:rsid w:val="0048530E"/>
    <w:rsid w:val="00490DAC"/>
    <w:rsid w:val="00493206"/>
    <w:rsid w:val="00493E20"/>
    <w:rsid w:val="004A1F48"/>
    <w:rsid w:val="004A41AC"/>
    <w:rsid w:val="004A7434"/>
    <w:rsid w:val="004B1651"/>
    <w:rsid w:val="004D50C8"/>
    <w:rsid w:val="004F3E27"/>
    <w:rsid w:val="005001DA"/>
    <w:rsid w:val="005003F9"/>
    <w:rsid w:val="00501B16"/>
    <w:rsid w:val="00506E16"/>
    <w:rsid w:val="00510131"/>
    <w:rsid w:val="005118CF"/>
    <w:rsid w:val="00512D6C"/>
    <w:rsid w:val="0051526E"/>
    <w:rsid w:val="00523FD7"/>
    <w:rsid w:val="00524A2F"/>
    <w:rsid w:val="0052771B"/>
    <w:rsid w:val="00527E57"/>
    <w:rsid w:val="00532D24"/>
    <w:rsid w:val="00543DDD"/>
    <w:rsid w:val="00543F50"/>
    <w:rsid w:val="005522C5"/>
    <w:rsid w:val="00567861"/>
    <w:rsid w:val="00570825"/>
    <w:rsid w:val="005728DE"/>
    <w:rsid w:val="00575B45"/>
    <w:rsid w:val="00577931"/>
    <w:rsid w:val="005819A3"/>
    <w:rsid w:val="005862DC"/>
    <w:rsid w:val="00591DE8"/>
    <w:rsid w:val="00597B7F"/>
    <w:rsid w:val="005A2427"/>
    <w:rsid w:val="005A3564"/>
    <w:rsid w:val="005B381B"/>
    <w:rsid w:val="005C22C8"/>
    <w:rsid w:val="005C5090"/>
    <w:rsid w:val="005D11A6"/>
    <w:rsid w:val="005E091B"/>
    <w:rsid w:val="005E6EBC"/>
    <w:rsid w:val="005E7AF3"/>
    <w:rsid w:val="005F05E4"/>
    <w:rsid w:val="005F2B60"/>
    <w:rsid w:val="005F66BB"/>
    <w:rsid w:val="00611837"/>
    <w:rsid w:val="0061289D"/>
    <w:rsid w:val="0062321F"/>
    <w:rsid w:val="0062412B"/>
    <w:rsid w:val="00627C1D"/>
    <w:rsid w:val="0063255B"/>
    <w:rsid w:val="00634544"/>
    <w:rsid w:val="00636819"/>
    <w:rsid w:val="006421E8"/>
    <w:rsid w:val="006513F0"/>
    <w:rsid w:val="006515B8"/>
    <w:rsid w:val="006531B6"/>
    <w:rsid w:val="0065371C"/>
    <w:rsid w:val="006540EF"/>
    <w:rsid w:val="00671EC3"/>
    <w:rsid w:val="00673C94"/>
    <w:rsid w:val="006777F0"/>
    <w:rsid w:val="006A7054"/>
    <w:rsid w:val="006C4C51"/>
    <w:rsid w:val="006C5B3B"/>
    <w:rsid w:val="006D4D2A"/>
    <w:rsid w:val="006E289E"/>
    <w:rsid w:val="006E6258"/>
    <w:rsid w:val="006F1D72"/>
    <w:rsid w:val="006F6243"/>
    <w:rsid w:val="006F6808"/>
    <w:rsid w:val="00701068"/>
    <w:rsid w:val="00702BDC"/>
    <w:rsid w:val="00704CD5"/>
    <w:rsid w:val="007143A1"/>
    <w:rsid w:val="00714CFC"/>
    <w:rsid w:val="00715381"/>
    <w:rsid w:val="00717A9C"/>
    <w:rsid w:val="00736BF6"/>
    <w:rsid w:val="007418AA"/>
    <w:rsid w:val="00744F0B"/>
    <w:rsid w:val="0074673D"/>
    <w:rsid w:val="00747E13"/>
    <w:rsid w:val="0075502E"/>
    <w:rsid w:val="007639FE"/>
    <w:rsid w:val="007774B7"/>
    <w:rsid w:val="0077776B"/>
    <w:rsid w:val="0078554A"/>
    <w:rsid w:val="00790C2C"/>
    <w:rsid w:val="00792F49"/>
    <w:rsid w:val="0079770F"/>
    <w:rsid w:val="007A3948"/>
    <w:rsid w:val="007A6A49"/>
    <w:rsid w:val="007B7EDE"/>
    <w:rsid w:val="007D6B87"/>
    <w:rsid w:val="007D7222"/>
    <w:rsid w:val="007E02F9"/>
    <w:rsid w:val="007E5B4E"/>
    <w:rsid w:val="007E73B2"/>
    <w:rsid w:val="007F3F23"/>
    <w:rsid w:val="00803698"/>
    <w:rsid w:val="008054B8"/>
    <w:rsid w:val="00805BB4"/>
    <w:rsid w:val="00806EE9"/>
    <w:rsid w:val="008076AC"/>
    <w:rsid w:val="008107A0"/>
    <w:rsid w:val="00812CC4"/>
    <w:rsid w:val="00820400"/>
    <w:rsid w:val="00824048"/>
    <w:rsid w:val="008354F6"/>
    <w:rsid w:val="00836B4E"/>
    <w:rsid w:val="00840D97"/>
    <w:rsid w:val="0085769F"/>
    <w:rsid w:val="008610DD"/>
    <w:rsid w:val="00866649"/>
    <w:rsid w:val="0087296B"/>
    <w:rsid w:val="00873200"/>
    <w:rsid w:val="0087548F"/>
    <w:rsid w:val="00885796"/>
    <w:rsid w:val="008A0ABE"/>
    <w:rsid w:val="008A3E33"/>
    <w:rsid w:val="008A3EA7"/>
    <w:rsid w:val="008B0B01"/>
    <w:rsid w:val="008B32F6"/>
    <w:rsid w:val="008B57E3"/>
    <w:rsid w:val="008B5F05"/>
    <w:rsid w:val="008C2762"/>
    <w:rsid w:val="008D3CF8"/>
    <w:rsid w:val="008D56F2"/>
    <w:rsid w:val="008D78BF"/>
    <w:rsid w:val="008D7EEE"/>
    <w:rsid w:val="008D7FE9"/>
    <w:rsid w:val="008E011E"/>
    <w:rsid w:val="008E07BD"/>
    <w:rsid w:val="008E08F0"/>
    <w:rsid w:val="008E2554"/>
    <w:rsid w:val="008E26C6"/>
    <w:rsid w:val="008E3A2E"/>
    <w:rsid w:val="008E53A6"/>
    <w:rsid w:val="008E581C"/>
    <w:rsid w:val="008E6D6C"/>
    <w:rsid w:val="008F4F66"/>
    <w:rsid w:val="009049AA"/>
    <w:rsid w:val="00906723"/>
    <w:rsid w:val="00910760"/>
    <w:rsid w:val="00912F55"/>
    <w:rsid w:val="00913C5F"/>
    <w:rsid w:val="00914A4B"/>
    <w:rsid w:val="009160E1"/>
    <w:rsid w:val="00933D47"/>
    <w:rsid w:val="00935F32"/>
    <w:rsid w:val="0093627B"/>
    <w:rsid w:val="00936B77"/>
    <w:rsid w:val="0094320A"/>
    <w:rsid w:val="00955A72"/>
    <w:rsid w:val="0095658E"/>
    <w:rsid w:val="00965B1C"/>
    <w:rsid w:val="009853B1"/>
    <w:rsid w:val="00986208"/>
    <w:rsid w:val="00990A72"/>
    <w:rsid w:val="00991D26"/>
    <w:rsid w:val="00996641"/>
    <w:rsid w:val="009A5802"/>
    <w:rsid w:val="009A7C8D"/>
    <w:rsid w:val="009C2E39"/>
    <w:rsid w:val="009C5C02"/>
    <w:rsid w:val="009D01D4"/>
    <w:rsid w:val="009D50F0"/>
    <w:rsid w:val="009D5F70"/>
    <w:rsid w:val="009D6B9B"/>
    <w:rsid w:val="009F0069"/>
    <w:rsid w:val="009F6784"/>
    <w:rsid w:val="00A042FA"/>
    <w:rsid w:val="00A07FBC"/>
    <w:rsid w:val="00A10793"/>
    <w:rsid w:val="00A13A71"/>
    <w:rsid w:val="00A13FD0"/>
    <w:rsid w:val="00A170B9"/>
    <w:rsid w:val="00A21499"/>
    <w:rsid w:val="00A21DC4"/>
    <w:rsid w:val="00A36116"/>
    <w:rsid w:val="00A43D55"/>
    <w:rsid w:val="00A50BD0"/>
    <w:rsid w:val="00A52914"/>
    <w:rsid w:val="00A53879"/>
    <w:rsid w:val="00A53B19"/>
    <w:rsid w:val="00A55BB0"/>
    <w:rsid w:val="00A6381C"/>
    <w:rsid w:val="00A649D0"/>
    <w:rsid w:val="00A70308"/>
    <w:rsid w:val="00A74ABC"/>
    <w:rsid w:val="00A77A90"/>
    <w:rsid w:val="00A80AB2"/>
    <w:rsid w:val="00A80D93"/>
    <w:rsid w:val="00A8343D"/>
    <w:rsid w:val="00A835B0"/>
    <w:rsid w:val="00AA2D7E"/>
    <w:rsid w:val="00AA6083"/>
    <w:rsid w:val="00AA6B91"/>
    <w:rsid w:val="00AA7B78"/>
    <w:rsid w:val="00AB3E93"/>
    <w:rsid w:val="00AC09AA"/>
    <w:rsid w:val="00AC51E2"/>
    <w:rsid w:val="00AC618D"/>
    <w:rsid w:val="00AC6A5A"/>
    <w:rsid w:val="00AD0237"/>
    <w:rsid w:val="00AD2DF5"/>
    <w:rsid w:val="00AE46A0"/>
    <w:rsid w:val="00AE6D8C"/>
    <w:rsid w:val="00AE704A"/>
    <w:rsid w:val="00B024FE"/>
    <w:rsid w:val="00B24D41"/>
    <w:rsid w:val="00B4490E"/>
    <w:rsid w:val="00B516CA"/>
    <w:rsid w:val="00B52F30"/>
    <w:rsid w:val="00B56212"/>
    <w:rsid w:val="00B6275C"/>
    <w:rsid w:val="00B737EB"/>
    <w:rsid w:val="00B8698F"/>
    <w:rsid w:val="00B872B3"/>
    <w:rsid w:val="00B93060"/>
    <w:rsid w:val="00BA25F3"/>
    <w:rsid w:val="00BA2E06"/>
    <w:rsid w:val="00BB1004"/>
    <w:rsid w:val="00BB3FAD"/>
    <w:rsid w:val="00BC1A1B"/>
    <w:rsid w:val="00BC4956"/>
    <w:rsid w:val="00BC62DD"/>
    <w:rsid w:val="00BD19BB"/>
    <w:rsid w:val="00BD3725"/>
    <w:rsid w:val="00BD69B1"/>
    <w:rsid w:val="00BE305C"/>
    <w:rsid w:val="00BF0D89"/>
    <w:rsid w:val="00BF15A7"/>
    <w:rsid w:val="00BF2FB6"/>
    <w:rsid w:val="00BF5100"/>
    <w:rsid w:val="00C01804"/>
    <w:rsid w:val="00C042CE"/>
    <w:rsid w:val="00C2374B"/>
    <w:rsid w:val="00C241D9"/>
    <w:rsid w:val="00C26455"/>
    <w:rsid w:val="00C3013B"/>
    <w:rsid w:val="00C304DC"/>
    <w:rsid w:val="00C411E9"/>
    <w:rsid w:val="00C47162"/>
    <w:rsid w:val="00C518B9"/>
    <w:rsid w:val="00C64AFC"/>
    <w:rsid w:val="00C66F4E"/>
    <w:rsid w:val="00C824E7"/>
    <w:rsid w:val="00C8304B"/>
    <w:rsid w:val="00C851B2"/>
    <w:rsid w:val="00CA3B5D"/>
    <w:rsid w:val="00CC2CE3"/>
    <w:rsid w:val="00CC34B3"/>
    <w:rsid w:val="00CD6897"/>
    <w:rsid w:val="00CE1785"/>
    <w:rsid w:val="00CE2F86"/>
    <w:rsid w:val="00CE3C2F"/>
    <w:rsid w:val="00CF0BFD"/>
    <w:rsid w:val="00CF4A13"/>
    <w:rsid w:val="00CF504D"/>
    <w:rsid w:val="00CF5DB4"/>
    <w:rsid w:val="00D05B47"/>
    <w:rsid w:val="00D24E04"/>
    <w:rsid w:val="00D25D0D"/>
    <w:rsid w:val="00D264FF"/>
    <w:rsid w:val="00D27697"/>
    <w:rsid w:val="00D368A1"/>
    <w:rsid w:val="00D4035F"/>
    <w:rsid w:val="00D40D23"/>
    <w:rsid w:val="00D45EFB"/>
    <w:rsid w:val="00D45F9D"/>
    <w:rsid w:val="00D47A0B"/>
    <w:rsid w:val="00D520B5"/>
    <w:rsid w:val="00D52E84"/>
    <w:rsid w:val="00D5785D"/>
    <w:rsid w:val="00D60704"/>
    <w:rsid w:val="00D76CEC"/>
    <w:rsid w:val="00D844CC"/>
    <w:rsid w:val="00D97D11"/>
    <w:rsid w:val="00DA0742"/>
    <w:rsid w:val="00DA7B86"/>
    <w:rsid w:val="00DB1FAC"/>
    <w:rsid w:val="00DB2A59"/>
    <w:rsid w:val="00DB59D0"/>
    <w:rsid w:val="00DB6FDD"/>
    <w:rsid w:val="00DD01BC"/>
    <w:rsid w:val="00DD0825"/>
    <w:rsid w:val="00DD13A7"/>
    <w:rsid w:val="00DD350C"/>
    <w:rsid w:val="00DD5C0A"/>
    <w:rsid w:val="00DE2A34"/>
    <w:rsid w:val="00DE53B3"/>
    <w:rsid w:val="00DF4FE8"/>
    <w:rsid w:val="00DF5EC2"/>
    <w:rsid w:val="00E02D81"/>
    <w:rsid w:val="00E04E85"/>
    <w:rsid w:val="00E137EB"/>
    <w:rsid w:val="00E16589"/>
    <w:rsid w:val="00E20503"/>
    <w:rsid w:val="00E23D42"/>
    <w:rsid w:val="00E2703B"/>
    <w:rsid w:val="00E31D48"/>
    <w:rsid w:val="00E370C9"/>
    <w:rsid w:val="00E41AD7"/>
    <w:rsid w:val="00E4600E"/>
    <w:rsid w:val="00E539DA"/>
    <w:rsid w:val="00E53F16"/>
    <w:rsid w:val="00E54B9B"/>
    <w:rsid w:val="00E54F17"/>
    <w:rsid w:val="00E55B56"/>
    <w:rsid w:val="00E614BE"/>
    <w:rsid w:val="00E64C62"/>
    <w:rsid w:val="00E714DB"/>
    <w:rsid w:val="00E8726D"/>
    <w:rsid w:val="00E938B0"/>
    <w:rsid w:val="00EA01C4"/>
    <w:rsid w:val="00EA1837"/>
    <w:rsid w:val="00EA33BF"/>
    <w:rsid w:val="00EA5F44"/>
    <w:rsid w:val="00EA6F8A"/>
    <w:rsid w:val="00EB241B"/>
    <w:rsid w:val="00EB2FE1"/>
    <w:rsid w:val="00EB3443"/>
    <w:rsid w:val="00EB4325"/>
    <w:rsid w:val="00EB44BD"/>
    <w:rsid w:val="00EB7908"/>
    <w:rsid w:val="00EC1438"/>
    <w:rsid w:val="00EC3DE0"/>
    <w:rsid w:val="00ED1DB6"/>
    <w:rsid w:val="00ED46EF"/>
    <w:rsid w:val="00ED6DB0"/>
    <w:rsid w:val="00EE0F3D"/>
    <w:rsid w:val="00EE1EA1"/>
    <w:rsid w:val="00EF2848"/>
    <w:rsid w:val="00F0430A"/>
    <w:rsid w:val="00F0761E"/>
    <w:rsid w:val="00F2158D"/>
    <w:rsid w:val="00F21CEF"/>
    <w:rsid w:val="00F24A59"/>
    <w:rsid w:val="00F25C47"/>
    <w:rsid w:val="00F4085B"/>
    <w:rsid w:val="00F41324"/>
    <w:rsid w:val="00F47112"/>
    <w:rsid w:val="00F5108A"/>
    <w:rsid w:val="00F56F8C"/>
    <w:rsid w:val="00F57ACC"/>
    <w:rsid w:val="00F65C8E"/>
    <w:rsid w:val="00F70354"/>
    <w:rsid w:val="00F741F1"/>
    <w:rsid w:val="00F83C3E"/>
    <w:rsid w:val="00F92B0B"/>
    <w:rsid w:val="00F93A24"/>
    <w:rsid w:val="00F97886"/>
    <w:rsid w:val="00FA089C"/>
    <w:rsid w:val="00FA13C2"/>
    <w:rsid w:val="00FA2194"/>
    <w:rsid w:val="00FA5257"/>
    <w:rsid w:val="00FA558D"/>
    <w:rsid w:val="00FA6B45"/>
    <w:rsid w:val="00FB3D18"/>
    <w:rsid w:val="00FB57B6"/>
    <w:rsid w:val="00FB5DAC"/>
    <w:rsid w:val="00FC317C"/>
    <w:rsid w:val="00FC57D3"/>
    <w:rsid w:val="00FD462F"/>
    <w:rsid w:val="00FD6208"/>
    <w:rsid w:val="00FD74F8"/>
    <w:rsid w:val="00FE3B24"/>
    <w:rsid w:val="00FF16CD"/>
    <w:rsid w:val="00FF6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FootnoteText">
    <w:name w:val="footnote text"/>
    <w:basedOn w:val="Normal"/>
    <w:link w:val="FootnoteTextChar"/>
    <w:uiPriority w:val="99"/>
    <w:semiHidden/>
    <w:unhideWhenUsed/>
    <w:rsid w:val="00E41AD7"/>
    <w:rPr>
      <w:sz w:val="20"/>
      <w:szCs w:val="20"/>
    </w:rPr>
  </w:style>
  <w:style w:type="character" w:customStyle="1" w:styleId="FootnoteTextChar">
    <w:name w:val="Footnote Text Char"/>
    <w:basedOn w:val="DefaultParagraphFont"/>
    <w:link w:val="FootnoteText"/>
    <w:uiPriority w:val="99"/>
    <w:semiHidden/>
    <w:rsid w:val="00E41AD7"/>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E41AD7"/>
    <w:rPr>
      <w:vertAlign w:val="superscript"/>
    </w:rPr>
  </w:style>
  <w:style w:type="character" w:styleId="UnresolvedMention">
    <w:name w:val="Unresolved Mention"/>
    <w:basedOn w:val="DefaultParagraphFont"/>
    <w:uiPriority w:val="99"/>
    <w:semiHidden/>
    <w:unhideWhenUsed/>
    <w:rsid w:val="00E4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iodiversityunits.com/signup" TargetMode="External"/><Relationship Id="rId1" Type="http://schemas.openxmlformats.org/officeDocument/2006/relationships/hyperlink" Target="https://www.gov.uk/government/publications/consideration-of-embodied-carbon-in-new-buildings/the-practical-technical-and-economic-impacts-of-measuring-and-reducing-embodied-carbon-in-new-buildings-executive-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a5c7bb56c8e65b4ad1421a23854a6e7a">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1a3be9b80c18f69632e21e3859a4f9d1"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2.xml><?xml version="1.0" encoding="utf-8"?>
<ds:datastoreItem xmlns:ds="http://schemas.openxmlformats.org/officeDocument/2006/customXml" ds:itemID="{AD26CD54-8697-499A-A9B3-EEE529F89003}">
  <ds:schemaRefs>
    <ds:schemaRef ds:uri="http://schemas.microsoft.com/sharepoint/v3/contenttype/forms"/>
  </ds:schemaRefs>
</ds:datastoreItem>
</file>

<file path=customXml/itemProps3.xml><?xml version="1.0" encoding="utf-8"?>
<ds:datastoreItem xmlns:ds="http://schemas.openxmlformats.org/officeDocument/2006/customXml" ds:itemID="{D7E5D255-0A4D-452C-976A-73E7B394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DA477-F973-4596-9A5D-BF17DC39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Pages>
  <Words>6497</Words>
  <Characters>37039</Characters>
  <Application>Microsoft Office Word</Application>
  <DocSecurity>0</DocSecurity>
  <Lines>308</Lines>
  <Paragraphs>86</Paragraphs>
  <ScaleCrop>false</ScaleCrop>
  <Company/>
  <LinksUpToDate>false</LinksUpToDate>
  <CharactersWithSpaces>43450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Mark Behrendt</cp:lastModifiedBy>
  <cp:revision>253</cp:revision>
  <dcterms:created xsi:type="dcterms:W3CDTF">2026-02-16T08:26:00Z</dcterms:created>
  <dcterms:modified xsi:type="dcterms:W3CDTF">2026-02-16T13:04:00Z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