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756" w14:textId="434FAEBC" w:rsidR="0028345D" w:rsidRPr="00C411E9" w:rsidRDefault="0028345D" w:rsidP="0028345D">
      <w:pPr>
        <w:spacing w:line="276" w:lineRule="auto"/>
        <w:rPr>
          <w:rFonts w:ascii="Times New Roman" w:hAnsi="Times New Roman" w:cs="Times New Roman"/>
        </w:rPr>
      </w:pPr>
      <w:r w:rsidRPr="00C411E9">
        <w:rPr>
          <w:rFonts w:ascii="Times New Roman" w:hAnsi="Times New Roman" w:cs="Times New Roman"/>
          <w:highlight w:val="yellow"/>
        </w:rPr>
        <w:t>Address</w:t>
      </w:r>
    </w:p>
    <w:p w14:paraId="4CCF833C" w14:textId="77777777" w:rsidR="0028345D" w:rsidRPr="00C411E9" w:rsidRDefault="0028345D" w:rsidP="0028345D">
      <w:pPr>
        <w:spacing w:line="276" w:lineRule="auto"/>
        <w:jc w:val="right"/>
        <w:rPr>
          <w:rFonts w:ascii="Times New Roman" w:hAnsi="Times New Roman" w:cs="Times New Roman"/>
        </w:rPr>
      </w:pPr>
    </w:p>
    <w:p w14:paraId="716344B2" w14:textId="77777777" w:rsidR="0028345D" w:rsidRPr="00C411E9" w:rsidRDefault="0028345D" w:rsidP="0028345D">
      <w:pPr>
        <w:spacing w:line="276" w:lineRule="auto"/>
        <w:jc w:val="right"/>
        <w:rPr>
          <w:rFonts w:ascii="Times New Roman" w:hAnsi="Times New Roman" w:cs="Times New Roman"/>
        </w:rPr>
      </w:pPr>
    </w:p>
    <w:p w14:paraId="5E7AD8ED" w14:textId="4FEA7A51"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rPr>
        <w:t>SENT BY EMAIL</w:t>
      </w:r>
    </w:p>
    <w:p w14:paraId="29E0D710" w14:textId="77777777"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highlight w:val="yellow"/>
        </w:rPr>
        <w:t>Email</w:t>
      </w:r>
    </w:p>
    <w:p w14:paraId="31A747EC" w14:textId="43B473A4" w:rsidR="0028345D" w:rsidRPr="00C411E9" w:rsidRDefault="0028345D" w:rsidP="0028345D">
      <w:pPr>
        <w:spacing w:line="276" w:lineRule="auto"/>
        <w:ind w:left="720" w:firstLine="720"/>
        <w:jc w:val="right"/>
        <w:rPr>
          <w:rFonts w:ascii="Times New Roman" w:hAnsi="Times New Roman" w:cs="Times New Roman"/>
        </w:rPr>
      </w:pPr>
      <w:r w:rsidRPr="00C411E9">
        <w:rPr>
          <w:rFonts w:ascii="Times New Roman" w:hAnsi="Times New Roman" w:cs="Times New Roman"/>
        </w:rPr>
        <w:t xml:space="preserve"> </w:t>
      </w:r>
      <w:r w:rsidR="00C411E9">
        <w:rPr>
          <w:rFonts w:ascii="Times New Roman" w:hAnsi="Times New Roman" w:cs="Times New Roman"/>
        </w:rPr>
        <w:t>Date</w:t>
      </w:r>
    </w:p>
    <w:p w14:paraId="797EEAAB" w14:textId="77777777" w:rsidR="0028345D" w:rsidRPr="00C411E9" w:rsidRDefault="0028345D" w:rsidP="0028345D">
      <w:pPr>
        <w:spacing w:line="276" w:lineRule="auto"/>
        <w:rPr>
          <w:rFonts w:ascii="Times New Roman" w:hAnsi="Times New Roman" w:cs="Times New Roman"/>
        </w:rPr>
      </w:pPr>
    </w:p>
    <w:p w14:paraId="14FD9C55" w14:textId="77777777" w:rsidR="0028345D" w:rsidRPr="001977B8" w:rsidRDefault="0028345D" w:rsidP="0028345D">
      <w:pPr>
        <w:spacing w:line="276" w:lineRule="auto"/>
        <w:rPr>
          <w:rFonts w:ascii="Arial" w:hAnsi="Arial" w:cs="Arial"/>
        </w:rPr>
      </w:pPr>
    </w:p>
    <w:p w14:paraId="31120CFD" w14:textId="77777777" w:rsidR="00F0430A" w:rsidRDefault="00F0430A" w:rsidP="00F0430A">
      <w:pPr>
        <w:spacing w:after="240" w:line="276" w:lineRule="auto"/>
        <w:rPr>
          <w:rFonts w:ascii="Times New Roman" w:hAnsi="Times New Roman" w:cs="Times New Roman"/>
        </w:rPr>
      </w:pPr>
      <w:r>
        <w:rPr>
          <w:rFonts w:ascii="Times New Roman" w:hAnsi="Times New Roman" w:cs="Times New Roman"/>
        </w:rPr>
        <w:t>Dear Sir/ Madam</w:t>
      </w:r>
    </w:p>
    <w:p w14:paraId="1C89053A" w14:textId="7CC0F1F4" w:rsidR="00F0430A" w:rsidRDefault="000741F2" w:rsidP="00F0430A">
      <w:pPr>
        <w:pStyle w:val="Heading3"/>
        <w:spacing w:after="240" w:line="276" w:lineRule="auto"/>
        <w:rPr>
          <w:rFonts w:ascii="Arial" w:hAnsi="Arial" w:cs="Arial"/>
          <w:sz w:val="22"/>
          <w:szCs w:val="22"/>
        </w:rPr>
      </w:pPr>
      <w:r>
        <w:rPr>
          <w:rFonts w:ascii="Arial" w:hAnsi="Arial" w:cs="Arial"/>
          <w:sz w:val="22"/>
          <w:szCs w:val="22"/>
        </w:rPr>
        <w:t>COLCHESTER</w:t>
      </w:r>
      <w:r w:rsidR="00F0430A">
        <w:rPr>
          <w:rFonts w:ascii="Arial" w:hAnsi="Arial" w:cs="Arial"/>
          <w:sz w:val="22"/>
          <w:szCs w:val="22"/>
        </w:rPr>
        <w:t xml:space="preserve"> LOCAL PLAN</w:t>
      </w:r>
    </w:p>
    <w:p w14:paraId="4F9A4834" w14:textId="7308F1DA"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Thank you for consulting with the Home Builders Federation (HBF) on the </w:t>
      </w:r>
      <w:r w:rsidR="000741F2">
        <w:rPr>
          <w:rFonts w:ascii="Times New Roman" w:hAnsi="Times New Roman" w:cs="Times New Roman"/>
          <w:bCs/>
        </w:rPr>
        <w:t>Colchester</w:t>
      </w:r>
      <w:r>
        <w:rPr>
          <w:rFonts w:ascii="Times New Roman" w:hAnsi="Times New Roman" w:cs="Times New Roman"/>
          <w:bCs/>
        </w:rPr>
        <w:t xml:space="preserve"> Local Plan.</w:t>
      </w:r>
    </w:p>
    <w:p w14:paraId="6CD0CD54"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is the principal representative body of the house-building industry in England and Wales. Our representations reflect the views of our membership, which include multi-national PLC’s, regional developers and small, local builders. In any one year, our members account for over 80% of all new “for sale” market housing built in England and Wales as well as a large proportion of newly built affordable housing. </w:t>
      </w:r>
    </w:p>
    <w:p w14:paraId="6F3A0655" w14:textId="77777777" w:rsidR="00D24F46" w:rsidRDefault="00D24F46" w:rsidP="00B91E16">
      <w:pPr>
        <w:widowControl/>
        <w:tabs>
          <w:tab w:val="left" w:pos="2268"/>
        </w:tabs>
        <w:suppressAutoHyphens w:val="0"/>
        <w:autoSpaceDE/>
        <w:spacing w:after="240" w:line="360" w:lineRule="auto"/>
        <w:jc w:val="both"/>
        <w:rPr>
          <w:rFonts w:ascii="Times New Roman" w:hAnsi="Times New Roman" w:cs="Times New Roman"/>
          <w:b/>
        </w:rPr>
      </w:pPr>
      <w:r>
        <w:rPr>
          <w:rFonts w:ascii="Times New Roman" w:hAnsi="Times New Roman" w:cs="Times New Roman"/>
          <w:b/>
        </w:rPr>
        <w:t>P</w:t>
      </w:r>
      <w:r w:rsidR="00B91E16" w:rsidRPr="00B91E16">
        <w:rPr>
          <w:rFonts w:ascii="Times New Roman" w:hAnsi="Times New Roman" w:cs="Times New Roman"/>
          <w:b/>
        </w:rPr>
        <w:t>oli</w:t>
      </w:r>
      <w:r w:rsidR="00B91E16">
        <w:rPr>
          <w:rFonts w:ascii="Times New Roman" w:hAnsi="Times New Roman" w:cs="Times New Roman"/>
          <w:b/>
        </w:rPr>
        <w:t>cy</w:t>
      </w:r>
      <w:r>
        <w:rPr>
          <w:rFonts w:ascii="Times New Roman" w:hAnsi="Times New Roman" w:cs="Times New Roman"/>
          <w:b/>
        </w:rPr>
        <w:t xml:space="preserve"> references</w:t>
      </w:r>
    </w:p>
    <w:p w14:paraId="448F8DBA" w14:textId="066E770B" w:rsidR="00B91E16" w:rsidRDefault="00C71C86"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would recommend that each of the </w:t>
      </w:r>
      <w:r w:rsidR="00754ED6">
        <w:rPr>
          <w:rFonts w:ascii="Times New Roman" w:hAnsi="Times New Roman" w:cs="Times New Roman"/>
          <w:bCs/>
        </w:rPr>
        <w:t>paragraphs</w:t>
      </w:r>
      <w:r w:rsidR="000848DE">
        <w:rPr>
          <w:rFonts w:ascii="Times New Roman" w:hAnsi="Times New Roman" w:cs="Times New Roman"/>
          <w:bCs/>
        </w:rPr>
        <w:t xml:space="preserve"> in the policies are numbered for ease of referencing</w:t>
      </w:r>
      <w:r w:rsidR="00A0107C">
        <w:rPr>
          <w:rFonts w:ascii="Times New Roman" w:hAnsi="Times New Roman" w:cs="Times New Roman"/>
          <w:bCs/>
        </w:rPr>
        <w:t xml:space="preserve">. This </w:t>
      </w:r>
      <w:r w:rsidR="009469F3">
        <w:rPr>
          <w:rFonts w:ascii="Times New Roman" w:hAnsi="Times New Roman" w:cs="Times New Roman"/>
          <w:bCs/>
        </w:rPr>
        <w:t>will</w:t>
      </w:r>
      <w:r w:rsidR="00A0107C">
        <w:rPr>
          <w:rFonts w:ascii="Times New Roman" w:hAnsi="Times New Roman" w:cs="Times New Roman"/>
          <w:bCs/>
        </w:rPr>
        <w:t xml:space="preserve"> not only help at the </w:t>
      </w:r>
      <w:r w:rsidR="00754ED6">
        <w:rPr>
          <w:rFonts w:ascii="Times New Roman" w:hAnsi="Times New Roman" w:cs="Times New Roman"/>
          <w:bCs/>
        </w:rPr>
        <w:t>examination</w:t>
      </w:r>
      <w:r w:rsidR="00A0107C">
        <w:rPr>
          <w:rFonts w:ascii="Times New Roman" w:hAnsi="Times New Roman" w:cs="Times New Roman"/>
          <w:bCs/>
        </w:rPr>
        <w:t xml:space="preserve"> but also for both decision makers and applicants. </w:t>
      </w:r>
      <w:r>
        <w:rPr>
          <w:rFonts w:ascii="Times New Roman" w:hAnsi="Times New Roman" w:cs="Times New Roman"/>
          <w:bCs/>
        </w:rPr>
        <w:t xml:space="preserve"> </w:t>
      </w:r>
      <w:r w:rsidR="00D24F46" w:rsidRPr="00D24F46">
        <w:rPr>
          <w:rFonts w:ascii="Times New Roman" w:hAnsi="Times New Roman" w:cs="Times New Roman"/>
          <w:bCs/>
        </w:rPr>
        <w:t>Paragraphs</w:t>
      </w:r>
      <w:r w:rsidR="00B91E16" w:rsidRPr="00D24F46">
        <w:rPr>
          <w:rFonts w:ascii="Times New Roman" w:hAnsi="Times New Roman" w:cs="Times New Roman"/>
          <w:bCs/>
        </w:rPr>
        <w:t xml:space="preserve"> would be helpful and add to </w:t>
      </w:r>
      <w:r w:rsidR="000143C4" w:rsidRPr="00D24F46">
        <w:rPr>
          <w:rFonts w:ascii="Times New Roman" w:hAnsi="Times New Roman" w:cs="Times New Roman"/>
          <w:bCs/>
        </w:rPr>
        <w:t>clarity</w:t>
      </w:r>
      <w:r w:rsidR="00B91E16" w:rsidRPr="00D24F46">
        <w:rPr>
          <w:rFonts w:ascii="Times New Roman" w:hAnsi="Times New Roman" w:cs="Times New Roman"/>
          <w:bCs/>
        </w:rPr>
        <w:t xml:space="preserve"> for </w:t>
      </w:r>
      <w:r w:rsidR="000143C4" w:rsidRPr="00D24F46">
        <w:rPr>
          <w:rFonts w:ascii="Times New Roman" w:hAnsi="Times New Roman" w:cs="Times New Roman"/>
          <w:bCs/>
        </w:rPr>
        <w:t>decision</w:t>
      </w:r>
      <w:r w:rsidR="00B91E16" w:rsidRPr="00D24F46">
        <w:rPr>
          <w:rFonts w:ascii="Times New Roman" w:hAnsi="Times New Roman" w:cs="Times New Roman"/>
          <w:bCs/>
        </w:rPr>
        <w:t xml:space="preserve"> makers and applicants.</w:t>
      </w:r>
      <w:r w:rsidR="00754ED6">
        <w:rPr>
          <w:rFonts w:ascii="Times New Roman" w:hAnsi="Times New Roman" w:cs="Times New Roman"/>
          <w:bCs/>
        </w:rPr>
        <w:t xml:space="preserve"> Should the local plan be adopted.</w:t>
      </w:r>
    </w:p>
    <w:p w14:paraId="6C2CEE66" w14:textId="0452CF25" w:rsidR="00623656" w:rsidRDefault="00C2507A" w:rsidP="00B91E16">
      <w:pPr>
        <w:widowControl/>
        <w:tabs>
          <w:tab w:val="left" w:pos="2268"/>
        </w:tabs>
        <w:suppressAutoHyphens w:val="0"/>
        <w:autoSpaceDE/>
        <w:spacing w:after="240" w:line="360" w:lineRule="auto"/>
        <w:jc w:val="both"/>
        <w:rPr>
          <w:rFonts w:ascii="Times New Roman" w:hAnsi="Times New Roman" w:cs="Times New Roman"/>
          <w:b/>
        </w:rPr>
      </w:pPr>
      <w:r w:rsidRPr="00C2507A">
        <w:rPr>
          <w:rFonts w:ascii="Times New Roman" w:hAnsi="Times New Roman" w:cs="Times New Roman"/>
          <w:b/>
        </w:rPr>
        <w:t>NPPF consultation</w:t>
      </w:r>
    </w:p>
    <w:p w14:paraId="5BB3085C" w14:textId="155DD779" w:rsidR="00C2507A" w:rsidRPr="00C2507A" w:rsidRDefault="0010176F"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10176F">
        <w:rPr>
          <w:rFonts w:ascii="Times New Roman" w:hAnsi="Times New Roman" w:cs="Times New Roman"/>
          <w:bCs/>
        </w:rPr>
        <w:t>In December 2025 the Government published a consultation on the new NPPF. HBF recognise this will have no weight until it is formally adopted but once adopted the Council may need to give weight to some aspects of the policy. On the basis of paragraph 4 and 8 in Annex A of the draft NPPF being consulted on, this local plan, which the Council propose to submit under the current plan making process, will be examined under the NPPF24. However, it is also notable that in relation to decision making Annex A also states that from the date the new NPPF is published local plan policies that are “</w:t>
      </w:r>
      <w:r w:rsidRPr="005404C9">
        <w:rPr>
          <w:rFonts w:ascii="Times New Roman" w:hAnsi="Times New Roman" w:cs="Times New Roman"/>
          <w:bCs/>
          <w:i/>
          <w:iCs/>
        </w:rPr>
        <w:t>…any way inconsistent with national decision making policies in this Framework should be given very limited weight, except where they have been examined and adopted against this Framework</w:t>
      </w:r>
      <w:r w:rsidRPr="0010176F">
        <w:rPr>
          <w:rFonts w:ascii="Times New Roman" w:hAnsi="Times New Roman" w:cs="Times New Roman"/>
          <w:bCs/>
        </w:rPr>
        <w:t>”. Therefore, should this new iteration of the NPPF be adopted un-changed the Council may need to have regard to national policies for decision making given that any inconsistency would effectively render policies in the local plan that are not consistent with the new Framework redundant as soon as the local plan is adopted.</w:t>
      </w:r>
    </w:p>
    <w:p w14:paraId="240BD8A6" w14:textId="2F73D465" w:rsidR="00C071CC" w:rsidRDefault="00C071CC" w:rsidP="00B91E16">
      <w:pPr>
        <w:widowControl/>
        <w:tabs>
          <w:tab w:val="left" w:pos="2268"/>
        </w:tabs>
        <w:suppressAutoHyphens w:val="0"/>
        <w:autoSpaceDE/>
        <w:spacing w:after="240" w:line="360" w:lineRule="auto"/>
        <w:jc w:val="both"/>
        <w:rPr>
          <w:rFonts w:ascii="Times New Roman" w:hAnsi="Times New Roman" w:cs="Times New Roman"/>
          <w:b/>
        </w:rPr>
      </w:pPr>
      <w:r>
        <w:rPr>
          <w:rFonts w:ascii="Times New Roman" w:hAnsi="Times New Roman" w:cs="Times New Roman"/>
          <w:b/>
        </w:rPr>
        <w:t>Duty to co-operate</w:t>
      </w:r>
    </w:p>
    <w:p w14:paraId="5305DA61" w14:textId="4551E913" w:rsidR="00F10368" w:rsidRDefault="006854B2" w:rsidP="00C5094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bookmarkStart w:id="0" w:name="_Hlk215991331"/>
      <w:r w:rsidRPr="006854B2">
        <w:rPr>
          <w:rFonts w:ascii="Times New Roman" w:hAnsi="Times New Roman" w:cs="Times New Roman"/>
          <w:bCs/>
        </w:rPr>
        <w:lastRenderedPageBreak/>
        <w:t>Following the publication of the Housing and Planning Minister Written Ministerial Statement on the 27</w:t>
      </w:r>
      <w:r w:rsidRPr="006854B2">
        <w:rPr>
          <w:rFonts w:ascii="Times New Roman" w:hAnsi="Times New Roman" w:cs="Times New Roman"/>
          <w:bCs/>
          <w:vertAlign w:val="superscript"/>
        </w:rPr>
        <w:t>th</w:t>
      </w:r>
      <w:r w:rsidRPr="006854B2">
        <w:rPr>
          <w:rFonts w:ascii="Times New Roman" w:hAnsi="Times New Roman" w:cs="Times New Roman"/>
          <w:bCs/>
        </w:rPr>
        <w:t xml:space="preserve"> of November the Government have d</w:t>
      </w:r>
      <w:r>
        <w:rPr>
          <w:rFonts w:ascii="Times New Roman" w:hAnsi="Times New Roman" w:cs="Times New Roman"/>
          <w:bCs/>
        </w:rPr>
        <w:t>e</w:t>
      </w:r>
      <w:r w:rsidR="004A28B3">
        <w:rPr>
          <w:rFonts w:ascii="Times New Roman" w:hAnsi="Times New Roman" w:cs="Times New Roman"/>
          <w:bCs/>
        </w:rPr>
        <w:t>cid</w:t>
      </w:r>
      <w:r w:rsidRPr="006854B2">
        <w:rPr>
          <w:rFonts w:ascii="Times New Roman" w:hAnsi="Times New Roman" w:cs="Times New Roman"/>
          <w:bCs/>
        </w:rPr>
        <w:t xml:space="preserve">ed not to save the Duty to Co-operate. </w:t>
      </w:r>
      <w:r w:rsidR="000E1BAF">
        <w:rPr>
          <w:rFonts w:ascii="Times New Roman" w:hAnsi="Times New Roman" w:cs="Times New Roman"/>
          <w:bCs/>
        </w:rPr>
        <w:t>Therefore,</w:t>
      </w:r>
      <w:r w:rsidR="004A28B3">
        <w:rPr>
          <w:rFonts w:ascii="Times New Roman" w:hAnsi="Times New Roman" w:cs="Times New Roman"/>
          <w:bCs/>
        </w:rPr>
        <w:t xml:space="preserve"> once the relevant regulations have been enacted</w:t>
      </w:r>
      <w:r w:rsidRPr="006854B2">
        <w:rPr>
          <w:rFonts w:ascii="Times New Roman" w:hAnsi="Times New Roman" w:cs="Times New Roman"/>
          <w:bCs/>
        </w:rPr>
        <w:t xml:space="preserve"> </w:t>
      </w:r>
      <w:r w:rsidR="004A28B3">
        <w:rPr>
          <w:rFonts w:ascii="Times New Roman" w:hAnsi="Times New Roman" w:cs="Times New Roman"/>
          <w:bCs/>
        </w:rPr>
        <w:t>Colchester</w:t>
      </w:r>
      <w:r w:rsidRPr="006854B2">
        <w:rPr>
          <w:rFonts w:ascii="Times New Roman" w:hAnsi="Times New Roman" w:cs="Times New Roman"/>
          <w:bCs/>
        </w:rPr>
        <w:t xml:space="preserve"> </w:t>
      </w:r>
      <w:r w:rsidR="004A28B3">
        <w:rPr>
          <w:rFonts w:ascii="Times New Roman" w:hAnsi="Times New Roman" w:cs="Times New Roman"/>
          <w:bCs/>
        </w:rPr>
        <w:t>will no</w:t>
      </w:r>
      <w:r w:rsidRPr="006854B2">
        <w:rPr>
          <w:rFonts w:ascii="Times New Roman" w:hAnsi="Times New Roman" w:cs="Times New Roman"/>
          <w:bCs/>
        </w:rPr>
        <w:t xml:space="preserve"> longer </w:t>
      </w:r>
      <w:r w:rsidR="004A28B3">
        <w:rPr>
          <w:rFonts w:ascii="Times New Roman" w:hAnsi="Times New Roman" w:cs="Times New Roman"/>
          <w:bCs/>
        </w:rPr>
        <w:t xml:space="preserve">be </w:t>
      </w:r>
      <w:r w:rsidRPr="006854B2">
        <w:rPr>
          <w:rFonts w:ascii="Times New Roman" w:hAnsi="Times New Roman" w:cs="Times New Roman"/>
          <w:bCs/>
        </w:rPr>
        <w:t xml:space="preserve">under a duty to co-operate with its neighbours. However, this does not remove the policy requirement in the NPPF to maintain effective co-operation nor </w:t>
      </w:r>
      <w:r w:rsidR="00853A68">
        <w:rPr>
          <w:rFonts w:ascii="Times New Roman" w:hAnsi="Times New Roman" w:cs="Times New Roman"/>
          <w:bCs/>
        </w:rPr>
        <w:t xml:space="preserve">the need to consider, </w:t>
      </w:r>
      <w:r w:rsidRPr="006854B2">
        <w:rPr>
          <w:rFonts w:ascii="Times New Roman" w:hAnsi="Times New Roman" w:cs="Times New Roman"/>
          <w:bCs/>
        </w:rPr>
        <w:t>in addition to their own</w:t>
      </w:r>
      <w:r w:rsidR="00853A68">
        <w:rPr>
          <w:rFonts w:ascii="Times New Roman" w:hAnsi="Times New Roman" w:cs="Times New Roman"/>
          <w:bCs/>
        </w:rPr>
        <w:t xml:space="preserve"> housing</w:t>
      </w:r>
      <w:r w:rsidRPr="006854B2">
        <w:rPr>
          <w:rFonts w:ascii="Times New Roman" w:hAnsi="Times New Roman" w:cs="Times New Roman"/>
          <w:bCs/>
        </w:rPr>
        <w:t xml:space="preserve"> needs</w:t>
      </w:r>
      <w:r w:rsidR="00853A68">
        <w:rPr>
          <w:rFonts w:ascii="Times New Roman" w:hAnsi="Times New Roman" w:cs="Times New Roman"/>
          <w:bCs/>
        </w:rPr>
        <w:t>,</w:t>
      </w:r>
      <w:r w:rsidRPr="006854B2">
        <w:rPr>
          <w:rFonts w:ascii="Times New Roman" w:hAnsi="Times New Roman" w:cs="Times New Roman"/>
          <w:bCs/>
        </w:rPr>
        <w:t xml:space="preserve"> “</w:t>
      </w:r>
      <w:r w:rsidRPr="006854B2">
        <w:rPr>
          <w:rFonts w:ascii="Times New Roman" w:hAnsi="Times New Roman" w:cs="Times New Roman"/>
          <w:bCs/>
          <w:i/>
          <w:iCs/>
        </w:rPr>
        <w:t xml:space="preserve">… any needs that cannot be met within neighbouring areas </w:t>
      </w:r>
      <w:r w:rsidR="00853A68">
        <w:rPr>
          <w:rFonts w:ascii="Times New Roman" w:hAnsi="Times New Roman" w:cs="Times New Roman"/>
          <w:bCs/>
          <w:i/>
          <w:iCs/>
        </w:rPr>
        <w:t>…</w:t>
      </w:r>
      <w:r w:rsidRPr="006854B2">
        <w:rPr>
          <w:rFonts w:ascii="Times New Roman" w:hAnsi="Times New Roman" w:cs="Times New Roman"/>
          <w:bCs/>
        </w:rPr>
        <w:t>”</w:t>
      </w:r>
      <w:r w:rsidR="00853A68">
        <w:rPr>
          <w:rFonts w:ascii="Times New Roman" w:hAnsi="Times New Roman" w:cs="Times New Roman"/>
          <w:bCs/>
        </w:rPr>
        <w:t xml:space="preserve"> as set </w:t>
      </w:r>
      <w:r w:rsidR="00BA5DED">
        <w:rPr>
          <w:rFonts w:ascii="Times New Roman" w:hAnsi="Times New Roman" w:cs="Times New Roman"/>
          <w:bCs/>
        </w:rPr>
        <w:t>out in</w:t>
      </w:r>
      <w:r w:rsidR="00853A68">
        <w:rPr>
          <w:rFonts w:ascii="Times New Roman" w:hAnsi="Times New Roman" w:cs="Times New Roman"/>
          <w:bCs/>
        </w:rPr>
        <w:t xml:space="preserve"> paragraph 6</w:t>
      </w:r>
      <w:r w:rsidR="00BA5DED">
        <w:rPr>
          <w:rFonts w:ascii="Times New Roman" w:hAnsi="Times New Roman" w:cs="Times New Roman"/>
          <w:bCs/>
        </w:rPr>
        <w:t>2</w:t>
      </w:r>
      <w:r w:rsidR="00853A68">
        <w:rPr>
          <w:rFonts w:ascii="Times New Roman" w:hAnsi="Times New Roman" w:cs="Times New Roman"/>
          <w:bCs/>
        </w:rPr>
        <w:t xml:space="preserve"> of the NPPF</w:t>
      </w:r>
      <w:r w:rsidRPr="006854B2">
        <w:rPr>
          <w:rFonts w:ascii="Times New Roman" w:hAnsi="Times New Roman" w:cs="Times New Roman"/>
          <w:bCs/>
        </w:rPr>
        <w:t xml:space="preserve">. </w:t>
      </w:r>
      <w:r w:rsidR="00F10368">
        <w:rPr>
          <w:rFonts w:ascii="Times New Roman" w:hAnsi="Times New Roman" w:cs="Times New Roman"/>
          <w:bCs/>
        </w:rPr>
        <w:t xml:space="preserve">The only difference arising from the the removal of the duty is that </w:t>
      </w:r>
      <w:r w:rsidR="00473070">
        <w:rPr>
          <w:rFonts w:ascii="Times New Roman" w:hAnsi="Times New Roman" w:cs="Times New Roman"/>
          <w:bCs/>
        </w:rPr>
        <w:t xml:space="preserve">a failure to co-operate </w:t>
      </w:r>
      <w:r w:rsidR="00387516">
        <w:rPr>
          <w:rFonts w:ascii="Times New Roman" w:hAnsi="Times New Roman" w:cs="Times New Roman"/>
          <w:bCs/>
        </w:rPr>
        <w:t>effectively</w:t>
      </w:r>
      <w:r w:rsidR="00473070">
        <w:rPr>
          <w:rFonts w:ascii="Times New Roman" w:hAnsi="Times New Roman" w:cs="Times New Roman"/>
          <w:bCs/>
        </w:rPr>
        <w:t xml:space="preserve"> is a soundness matter  that can be rectified through main </w:t>
      </w:r>
      <w:r w:rsidR="00387516">
        <w:rPr>
          <w:rFonts w:ascii="Times New Roman" w:hAnsi="Times New Roman" w:cs="Times New Roman"/>
          <w:bCs/>
        </w:rPr>
        <w:t>modifications.</w:t>
      </w:r>
    </w:p>
    <w:p w14:paraId="554F5518" w14:textId="6E6C8321" w:rsidR="00C2507A" w:rsidRPr="00C2507A" w:rsidRDefault="00387516" w:rsidP="00C5094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With regard to the potential for unmet housing needs the </w:t>
      </w:r>
      <w:r w:rsidR="00672B2E">
        <w:rPr>
          <w:rFonts w:ascii="Times New Roman" w:hAnsi="Times New Roman" w:cs="Times New Roman"/>
          <w:bCs/>
        </w:rPr>
        <w:t xml:space="preserve">HBF </w:t>
      </w:r>
      <w:r w:rsidR="006F64D8">
        <w:rPr>
          <w:rFonts w:ascii="Times New Roman" w:hAnsi="Times New Roman" w:cs="Times New Roman"/>
          <w:bCs/>
        </w:rPr>
        <w:t xml:space="preserve">note that </w:t>
      </w:r>
      <w:r w:rsidR="007C6892">
        <w:rPr>
          <w:rFonts w:ascii="Times New Roman" w:hAnsi="Times New Roman" w:cs="Times New Roman"/>
          <w:bCs/>
        </w:rPr>
        <w:t>paragraph</w:t>
      </w:r>
      <w:r w:rsidR="00D70B8D">
        <w:rPr>
          <w:rFonts w:ascii="Times New Roman" w:hAnsi="Times New Roman" w:cs="Times New Roman"/>
          <w:bCs/>
        </w:rPr>
        <w:t xml:space="preserve"> 2.56 of the </w:t>
      </w:r>
      <w:r w:rsidR="007C6892">
        <w:rPr>
          <w:rFonts w:ascii="Times New Roman" w:hAnsi="Times New Roman" w:cs="Times New Roman"/>
          <w:bCs/>
        </w:rPr>
        <w:t>Sustainability</w:t>
      </w:r>
      <w:r w:rsidR="00D70B8D">
        <w:rPr>
          <w:rFonts w:ascii="Times New Roman" w:hAnsi="Times New Roman" w:cs="Times New Roman"/>
          <w:bCs/>
        </w:rPr>
        <w:t xml:space="preserve"> </w:t>
      </w:r>
      <w:r w:rsidR="007C6892">
        <w:rPr>
          <w:rFonts w:ascii="Times New Roman" w:hAnsi="Times New Roman" w:cs="Times New Roman"/>
          <w:bCs/>
        </w:rPr>
        <w:t>Appraisal</w:t>
      </w:r>
      <w:r w:rsidR="00D70B8D">
        <w:rPr>
          <w:rFonts w:ascii="Times New Roman" w:hAnsi="Times New Roman" w:cs="Times New Roman"/>
          <w:bCs/>
        </w:rPr>
        <w:t xml:space="preserve"> states that initial discussions with neighbouring </w:t>
      </w:r>
      <w:r w:rsidR="007C6892">
        <w:rPr>
          <w:rFonts w:ascii="Times New Roman" w:hAnsi="Times New Roman" w:cs="Times New Roman"/>
          <w:bCs/>
        </w:rPr>
        <w:t>authorities</w:t>
      </w:r>
      <w:r w:rsidR="00D70B8D">
        <w:rPr>
          <w:rFonts w:ascii="Times New Roman" w:hAnsi="Times New Roman" w:cs="Times New Roman"/>
          <w:bCs/>
        </w:rPr>
        <w:t xml:space="preserve"> progressing plans </w:t>
      </w:r>
      <w:r w:rsidR="007C6892">
        <w:rPr>
          <w:rFonts w:ascii="Times New Roman" w:hAnsi="Times New Roman" w:cs="Times New Roman"/>
          <w:bCs/>
        </w:rPr>
        <w:t xml:space="preserve">did not raise any issues in respect to unmet development </w:t>
      </w:r>
      <w:r w:rsidR="00B51D63">
        <w:rPr>
          <w:rFonts w:ascii="Times New Roman" w:hAnsi="Times New Roman" w:cs="Times New Roman"/>
          <w:bCs/>
        </w:rPr>
        <w:t>needs,</w:t>
      </w:r>
      <w:r w:rsidR="007077C7">
        <w:rPr>
          <w:rFonts w:ascii="Times New Roman" w:hAnsi="Times New Roman" w:cs="Times New Roman"/>
          <w:bCs/>
        </w:rPr>
        <w:t xml:space="preserve"> but we could find no other evidence on </w:t>
      </w:r>
      <w:r w:rsidR="009065AA">
        <w:rPr>
          <w:rFonts w:ascii="Times New Roman" w:hAnsi="Times New Roman" w:cs="Times New Roman"/>
          <w:bCs/>
        </w:rPr>
        <w:t>what co-operation has taken place – such as statements of common ground</w:t>
      </w:r>
      <w:r w:rsidR="00BC3032">
        <w:rPr>
          <w:rFonts w:ascii="Times New Roman" w:hAnsi="Times New Roman" w:cs="Times New Roman"/>
          <w:bCs/>
        </w:rPr>
        <w:t xml:space="preserve"> as required by paragraph 26 of the </w:t>
      </w:r>
      <w:bookmarkEnd w:id="0"/>
      <w:r w:rsidR="00BC3032">
        <w:rPr>
          <w:rFonts w:ascii="Times New Roman" w:hAnsi="Times New Roman" w:cs="Times New Roman"/>
          <w:bCs/>
        </w:rPr>
        <w:t xml:space="preserve">NPPF. </w:t>
      </w:r>
      <w:r w:rsidR="007A7C5C">
        <w:rPr>
          <w:rFonts w:ascii="Times New Roman" w:hAnsi="Times New Roman" w:cs="Times New Roman"/>
          <w:bCs/>
        </w:rPr>
        <w:t>As such it is not possible at this stage to comment on the effectiveness of any co-operation that has taken place with regard to housing</w:t>
      </w:r>
      <w:r w:rsidR="00710AD6">
        <w:rPr>
          <w:rFonts w:ascii="Times New Roman" w:hAnsi="Times New Roman" w:cs="Times New Roman"/>
          <w:bCs/>
        </w:rPr>
        <w:t xml:space="preserve"> or other cross boundary issues</w:t>
      </w:r>
      <w:r w:rsidR="007A7C5C">
        <w:rPr>
          <w:rFonts w:ascii="Times New Roman" w:hAnsi="Times New Roman" w:cs="Times New Roman"/>
          <w:bCs/>
        </w:rPr>
        <w:t xml:space="preserve">. </w:t>
      </w:r>
      <w:r w:rsidR="00DE7E23">
        <w:rPr>
          <w:rFonts w:ascii="Times New Roman" w:hAnsi="Times New Roman" w:cs="Times New Roman"/>
          <w:bCs/>
        </w:rPr>
        <w:t xml:space="preserve">Any co-operation must also extend beyond those </w:t>
      </w:r>
      <w:r w:rsidR="00EF158B">
        <w:rPr>
          <w:rFonts w:ascii="Times New Roman" w:hAnsi="Times New Roman" w:cs="Times New Roman"/>
          <w:bCs/>
        </w:rPr>
        <w:t xml:space="preserve">neighbouring </w:t>
      </w:r>
      <w:r w:rsidR="00C50944">
        <w:rPr>
          <w:rFonts w:ascii="Times New Roman" w:hAnsi="Times New Roman" w:cs="Times New Roman"/>
          <w:bCs/>
        </w:rPr>
        <w:t>authorities</w:t>
      </w:r>
      <w:r w:rsidR="00EF158B">
        <w:rPr>
          <w:rFonts w:ascii="Times New Roman" w:hAnsi="Times New Roman" w:cs="Times New Roman"/>
          <w:bCs/>
        </w:rPr>
        <w:t xml:space="preserve"> at a similar </w:t>
      </w:r>
      <w:r w:rsidR="00C50944">
        <w:rPr>
          <w:rFonts w:ascii="Times New Roman" w:hAnsi="Times New Roman" w:cs="Times New Roman"/>
          <w:bCs/>
        </w:rPr>
        <w:t>stage</w:t>
      </w:r>
      <w:r w:rsidR="00EF158B">
        <w:rPr>
          <w:rFonts w:ascii="Times New Roman" w:hAnsi="Times New Roman" w:cs="Times New Roman"/>
          <w:bCs/>
        </w:rPr>
        <w:t xml:space="preserve"> of plan makin</w:t>
      </w:r>
      <w:r w:rsidR="00C50944">
        <w:rPr>
          <w:rFonts w:ascii="Times New Roman" w:hAnsi="Times New Roman" w:cs="Times New Roman"/>
          <w:bCs/>
        </w:rPr>
        <w:t>g.</w:t>
      </w:r>
    </w:p>
    <w:p w14:paraId="784EF49C" w14:textId="56E9FA96" w:rsidR="00C167BC" w:rsidRDefault="00C167BC" w:rsidP="00C167BC">
      <w:pPr>
        <w:spacing w:after="240" w:line="360" w:lineRule="auto"/>
        <w:rPr>
          <w:rFonts w:ascii="Times New Roman" w:hAnsi="Times New Roman" w:cs="Times New Roman"/>
          <w:b/>
          <w:bCs/>
          <w:lang w:val="en-GB"/>
        </w:rPr>
      </w:pPr>
      <w:r w:rsidRPr="00C167BC">
        <w:rPr>
          <w:rFonts w:ascii="Times New Roman" w:hAnsi="Times New Roman" w:cs="Times New Roman"/>
          <w:b/>
          <w:bCs/>
          <w:lang w:val="en-GB"/>
        </w:rPr>
        <w:t>Policy ST1: Health and Wellbeing</w:t>
      </w:r>
    </w:p>
    <w:p w14:paraId="2748BC22" w14:textId="1B0A9A8F" w:rsidR="00C167BC" w:rsidRPr="00687D1B" w:rsidRDefault="00C167BC" w:rsidP="00C167B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The </w:t>
      </w:r>
      <w:r w:rsidR="00100CB5">
        <w:rPr>
          <w:rFonts w:ascii="Times New Roman" w:hAnsi="Times New Roman" w:cs="Times New Roman"/>
          <w:lang w:val="en-GB"/>
        </w:rPr>
        <w:t xml:space="preserve">Council </w:t>
      </w:r>
      <w:r>
        <w:rPr>
          <w:rFonts w:ascii="Times New Roman" w:hAnsi="Times New Roman" w:cs="Times New Roman"/>
          <w:lang w:val="en-GB"/>
        </w:rPr>
        <w:t xml:space="preserve">will </w:t>
      </w:r>
      <w:r w:rsidR="00100CB5">
        <w:rPr>
          <w:rFonts w:ascii="Times New Roman" w:hAnsi="Times New Roman" w:cs="Times New Roman"/>
          <w:lang w:val="en-GB"/>
        </w:rPr>
        <w:t>require</w:t>
      </w:r>
      <w:r>
        <w:rPr>
          <w:rFonts w:ascii="Times New Roman" w:hAnsi="Times New Roman" w:cs="Times New Roman"/>
          <w:lang w:val="en-GB"/>
        </w:rPr>
        <w:t xml:space="preserve"> a Health </w:t>
      </w:r>
      <w:r w:rsidR="00100CB5">
        <w:rPr>
          <w:rFonts w:ascii="Times New Roman" w:hAnsi="Times New Roman" w:cs="Times New Roman"/>
          <w:lang w:val="en-GB"/>
        </w:rPr>
        <w:t>Impact</w:t>
      </w:r>
      <w:r>
        <w:rPr>
          <w:rFonts w:ascii="Times New Roman" w:hAnsi="Times New Roman" w:cs="Times New Roman"/>
          <w:lang w:val="en-GB"/>
        </w:rPr>
        <w:t xml:space="preserve"> </w:t>
      </w:r>
      <w:r w:rsidR="00100CB5">
        <w:rPr>
          <w:rFonts w:ascii="Times New Roman" w:hAnsi="Times New Roman" w:cs="Times New Roman"/>
          <w:lang w:val="en-GB"/>
        </w:rPr>
        <w:t>Assessment on</w:t>
      </w:r>
      <w:r>
        <w:rPr>
          <w:rFonts w:ascii="Times New Roman" w:hAnsi="Times New Roman" w:cs="Times New Roman"/>
          <w:lang w:val="en-GB"/>
        </w:rPr>
        <w:t xml:space="preserve"> </w:t>
      </w:r>
      <w:r w:rsidR="00687D1B">
        <w:rPr>
          <w:rFonts w:ascii="Times New Roman" w:hAnsi="Times New Roman" w:cs="Times New Roman"/>
          <w:lang w:val="en-GB"/>
        </w:rPr>
        <w:t xml:space="preserve">residential </w:t>
      </w:r>
      <w:r>
        <w:rPr>
          <w:rFonts w:ascii="Times New Roman" w:hAnsi="Times New Roman" w:cs="Times New Roman"/>
          <w:lang w:val="en-GB"/>
        </w:rPr>
        <w:t>development</w:t>
      </w:r>
      <w:r w:rsidR="00687D1B">
        <w:rPr>
          <w:rFonts w:ascii="Times New Roman" w:hAnsi="Times New Roman" w:cs="Times New Roman"/>
          <w:lang w:val="en-GB"/>
        </w:rPr>
        <w:t>s</w:t>
      </w:r>
      <w:r>
        <w:rPr>
          <w:rFonts w:ascii="Times New Roman" w:hAnsi="Times New Roman" w:cs="Times New Roman"/>
          <w:lang w:val="en-GB"/>
        </w:rPr>
        <w:t xml:space="preserve"> </w:t>
      </w:r>
      <w:r w:rsidR="00100CB5">
        <w:rPr>
          <w:rFonts w:ascii="Times New Roman" w:hAnsi="Times New Roman" w:cs="Times New Roman"/>
          <w:lang w:val="en-GB"/>
        </w:rPr>
        <w:t xml:space="preserve">in excess of 50 units. HBF do </w:t>
      </w:r>
      <w:r w:rsidR="00E827A7">
        <w:rPr>
          <w:rFonts w:ascii="Times New Roman" w:hAnsi="Times New Roman" w:cs="Times New Roman"/>
          <w:lang w:val="en-GB"/>
        </w:rPr>
        <w:t>not</w:t>
      </w:r>
      <w:r w:rsidR="00100CB5">
        <w:rPr>
          <w:rFonts w:ascii="Times New Roman" w:hAnsi="Times New Roman" w:cs="Times New Roman"/>
          <w:lang w:val="en-GB"/>
        </w:rPr>
        <w:t xml:space="preserve"> </w:t>
      </w:r>
      <w:r w:rsidR="00E827A7">
        <w:rPr>
          <w:rFonts w:ascii="Times New Roman" w:hAnsi="Times New Roman" w:cs="Times New Roman"/>
          <w:lang w:val="en-GB"/>
        </w:rPr>
        <w:t>consider</w:t>
      </w:r>
      <w:r w:rsidR="00100CB5">
        <w:rPr>
          <w:rFonts w:ascii="Times New Roman" w:hAnsi="Times New Roman" w:cs="Times New Roman"/>
          <w:lang w:val="en-GB"/>
        </w:rPr>
        <w:t xml:space="preserve"> such a </w:t>
      </w:r>
      <w:r w:rsidR="00E827A7">
        <w:rPr>
          <w:rFonts w:ascii="Times New Roman" w:hAnsi="Times New Roman" w:cs="Times New Roman"/>
          <w:lang w:val="en-GB"/>
        </w:rPr>
        <w:t>policy</w:t>
      </w:r>
      <w:r w:rsidR="00100CB5">
        <w:rPr>
          <w:rFonts w:ascii="Times New Roman" w:hAnsi="Times New Roman" w:cs="Times New Roman"/>
          <w:lang w:val="en-GB"/>
        </w:rPr>
        <w:t xml:space="preserve"> </w:t>
      </w:r>
      <w:r w:rsidR="00E827A7">
        <w:rPr>
          <w:rFonts w:ascii="Times New Roman" w:hAnsi="Times New Roman" w:cs="Times New Roman"/>
          <w:lang w:val="en-GB"/>
        </w:rPr>
        <w:t>to</w:t>
      </w:r>
      <w:r w:rsidR="00100CB5">
        <w:rPr>
          <w:rFonts w:ascii="Times New Roman" w:hAnsi="Times New Roman" w:cs="Times New Roman"/>
          <w:lang w:val="en-GB"/>
        </w:rPr>
        <w:t xml:space="preserve"> be </w:t>
      </w:r>
      <w:r w:rsidR="00E827A7">
        <w:rPr>
          <w:rFonts w:ascii="Times New Roman" w:hAnsi="Times New Roman" w:cs="Times New Roman"/>
          <w:lang w:val="en-GB"/>
        </w:rPr>
        <w:t>necessary</w:t>
      </w:r>
      <w:r w:rsidR="00100CB5">
        <w:rPr>
          <w:rFonts w:ascii="Times New Roman" w:hAnsi="Times New Roman" w:cs="Times New Roman"/>
          <w:lang w:val="en-GB"/>
        </w:rPr>
        <w:t xml:space="preserve">. The health impacts of </w:t>
      </w:r>
      <w:r w:rsidR="00E827A7">
        <w:rPr>
          <w:rFonts w:ascii="Times New Roman" w:hAnsi="Times New Roman" w:cs="Times New Roman"/>
          <w:lang w:val="en-GB"/>
        </w:rPr>
        <w:t>development</w:t>
      </w:r>
      <w:r w:rsidR="00100CB5">
        <w:rPr>
          <w:rFonts w:ascii="Times New Roman" w:hAnsi="Times New Roman" w:cs="Times New Roman"/>
          <w:lang w:val="en-GB"/>
        </w:rPr>
        <w:t xml:space="preserve"> </w:t>
      </w:r>
      <w:r w:rsidR="007D6CC0">
        <w:rPr>
          <w:rFonts w:ascii="Times New Roman" w:hAnsi="Times New Roman" w:cs="Times New Roman"/>
          <w:lang w:val="en-GB"/>
        </w:rPr>
        <w:t xml:space="preserve">across </w:t>
      </w:r>
      <w:r w:rsidR="00E827A7">
        <w:rPr>
          <w:rFonts w:ascii="Times New Roman" w:hAnsi="Times New Roman" w:cs="Times New Roman"/>
          <w:lang w:val="en-GB"/>
        </w:rPr>
        <w:t>Colchester</w:t>
      </w:r>
      <w:r w:rsidR="007D6CC0">
        <w:rPr>
          <w:rFonts w:ascii="Times New Roman" w:hAnsi="Times New Roman" w:cs="Times New Roman"/>
          <w:lang w:val="en-GB"/>
        </w:rPr>
        <w:t xml:space="preserve"> sho</w:t>
      </w:r>
      <w:r w:rsidR="00E827A7">
        <w:rPr>
          <w:rFonts w:ascii="Times New Roman" w:hAnsi="Times New Roman" w:cs="Times New Roman"/>
          <w:lang w:val="en-GB"/>
        </w:rPr>
        <w:t>uld</w:t>
      </w:r>
      <w:r w:rsidR="007D6CC0">
        <w:rPr>
          <w:rFonts w:ascii="Times New Roman" w:hAnsi="Times New Roman" w:cs="Times New Roman"/>
          <w:lang w:val="en-GB"/>
        </w:rPr>
        <w:t xml:space="preserve"> be considered as part of plan making with the </w:t>
      </w:r>
      <w:r w:rsidR="00E827A7">
        <w:rPr>
          <w:rFonts w:ascii="Times New Roman" w:hAnsi="Times New Roman" w:cs="Times New Roman"/>
          <w:lang w:val="en-GB"/>
        </w:rPr>
        <w:t>policies</w:t>
      </w:r>
      <w:r w:rsidR="007D6CC0">
        <w:rPr>
          <w:rFonts w:ascii="Times New Roman" w:hAnsi="Times New Roman" w:cs="Times New Roman"/>
          <w:lang w:val="en-GB"/>
        </w:rPr>
        <w:t xml:space="preserve"> </w:t>
      </w:r>
      <w:r w:rsidR="00E827A7">
        <w:rPr>
          <w:rFonts w:ascii="Times New Roman" w:hAnsi="Times New Roman" w:cs="Times New Roman"/>
          <w:lang w:val="en-GB"/>
        </w:rPr>
        <w:t>in the</w:t>
      </w:r>
      <w:r w:rsidR="007D6CC0">
        <w:rPr>
          <w:rFonts w:ascii="Times New Roman" w:hAnsi="Times New Roman" w:cs="Times New Roman"/>
          <w:lang w:val="en-GB"/>
        </w:rPr>
        <w:t xml:space="preserve"> plan </w:t>
      </w:r>
      <w:r w:rsidR="00E827A7">
        <w:rPr>
          <w:rFonts w:ascii="Times New Roman" w:hAnsi="Times New Roman" w:cs="Times New Roman"/>
          <w:lang w:val="en-GB"/>
        </w:rPr>
        <w:t xml:space="preserve">ensuring </w:t>
      </w:r>
      <w:r w:rsidR="00E04C11">
        <w:rPr>
          <w:rFonts w:ascii="Times New Roman" w:hAnsi="Times New Roman" w:cs="Times New Roman"/>
          <w:lang w:val="en-GB"/>
        </w:rPr>
        <w:t>that development address</w:t>
      </w:r>
      <w:r w:rsidR="00CF4328">
        <w:rPr>
          <w:rFonts w:ascii="Times New Roman" w:hAnsi="Times New Roman" w:cs="Times New Roman"/>
          <w:lang w:val="en-GB"/>
        </w:rPr>
        <w:t>es</w:t>
      </w:r>
      <w:r w:rsidR="00E04C11">
        <w:rPr>
          <w:rFonts w:ascii="Times New Roman" w:hAnsi="Times New Roman" w:cs="Times New Roman"/>
          <w:lang w:val="en-GB"/>
        </w:rPr>
        <w:t xml:space="preserve"> the health objectives for the area. As such </w:t>
      </w:r>
      <w:r w:rsidR="00CF4328">
        <w:rPr>
          <w:rFonts w:ascii="Times New Roman" w:hAnsi="Times New Roman" w:cs="Times New Roman"/>
          <w:lang w:val="en-GB"/>
        </w:rPr>
        <w:t xml:space="preserve">sites that </w:t>
      </w:r>
      <w:r w:rsidR="002860A1">
        <w:rPr>
          <w:rFonts w:ascii="Times New Roman" w:hAnsi="Times New Roman" w:cs="Times New Roman"/>
          <w:lang w:val="en-GB"/>
        </w:rPr>
        <w:t xml:space="preserve">are </w:t>
      </w:r>
      <w:r w:rsidR="002860A1" w:rsidRPr="008460DC">
        <w:rPr>
          <w:rFonts w:ascii="Times New Roman" w:hAnsi="Times New Roman" w:cs="Times New Roman"/>
          <w:bCs/>
        </w:rPr>
        <w:t>compliant</w:t>
      </w:r>
      <w:r w:rsidR="002860A1">
        <w:rPr>
          <w:rFonts w:ascii="Times New Roman" w:hAnsi="Times New Roman" w:cs="Times New Roman"/>
          <w:lang w:val="en-GB"/>
        </w:rPr>
        <w:t xml:space="preserve"> with the</w:t>
      </w:r>
      <w:r w:rsidR="00D43B7E">
        <w:rPr>
          <w:rFonts w:ascii="Times New Roman" w:hAnsi="Times New Roman" w:cs="Times New Roman"/>
          <w:lang w:val="en-GB"/>
        </w:rPr>
        <w:t xml:space="preserve"> relevant po</w:t>
      </w:r>
      <w:r w:rsidR="008460DC">
        <w:rPr>
          <w:rFonts w:ascii="Times New Roman" w:hAnsi="Times New Roman" w:cs="Times New Roman"/>
          <w:lang w:val="en-GB"/>
        </w:rPr>
        <w:t xml:space="preserve">licies in this </w:t>
      </w:r>
      <w:r w:rsidR="00D43B7E">
        <w:rPr>
          <w:rFonts w:ascii="Times New Roman" w:hAnsi="Times New Roman" w:cs="Times New Roman"/>
          <w:lang w:val="en-GB"/>
        </w:rPr>
        <w:t>plan should not need to c</w:t>
      </w:r>
      <w:r w:rsidR="008460DC">
        <w:rPr>
          <w:rFonts w:ascii="Times New Roman" w:hAnsi="Times New Roman" w:cs="Times New Roman"/>
          <w:lang w:val="en-GB"/>
        </w:rPr>
        <w:t>omplete</w:t>
      </w:r>
      <w:r w:rsidR="00D43B7E">
        <w:rPr>
          <w:rFonts w:ascii="Times New Roman" w:hAnsi="Times New Roman" w:cs="Times New Roman"/>
          <w:lang w:val="en-GB"/>
        </w:rPr>
        <w:t xml:space="preserve"> a health impact </w:t>
      </w:r>
      <w:r w:rsidR="008460DC">
        <w:rPr>
          <w:rFonts w:ascii="Times New Roman" w:hAnsi="Times New Roman" w:cs="Times New Roman"/>
          <w:lang w:val="en-GB"/>
        </w:rPr>
        <w:t>assessment</w:t>
      </w:r>
      <w:r w:rsidR="00D43B7E">
        <w:rPr>
          <w:rFonts w:ascii="Times New Roman" w:hAnsi="Times New Roman" w:cs="Times New Roman"/>
          <w:lang w:val="en-GB"/>
        </w:rPr>
        <w:t xml:space="preserve">. The only situation where a HIA may be </w:t>
      </w:r>
      <w:r w:rsidR="00CD43B8">
        <w:rPr>
          <w:rFonts w:ascii="Times New Roman" w:hAnsi="Times New Roman" w:cs="Times New Roman"/>
          <w:lang w:val="en-GB"/>
        </w:rPr>
        <w:t>appropriate</w:t>
      </w:r>
      <w:r w:rsidR="00D43B7E">
        <w:rPr>
          <w:rFonts w:ascii="Times New Roman" w:hAnsi="Times New Roman" w:cs="Times New Roman"/>
          <w:lang w:val="en-GB"/>
        </w:rPr>
        <w:t xml:space="preserve"> </w:t>
      </w:r>
      <w:r w:rsidR="005F4669">
        <w:rPr>
          <w:rFonts w:ascii="Times New Roman" w:hAnsi="Times New Roman" w:cs="Times New Roman"/>
          <w:lang w:val="en-GB"/>
        </w:rPr>
        <w:t xml:space="preserve">for residential schemes </w:t>
      </w:r>
      <w:r w:rsidR="00D43B7E">
        <w:rPr>
          <w:rFonts w:ascii="Times New Roman" w:hAnsi="Times New Roman" w:cs="Times New Roman"/>
          <w:lang w:val="en-GB"/>
        </w:rPr>
        <w:t xml:space="preserve">would be for </w:t>
      </w:r>
      <w:r w:rsidR="00CD43B8">
        <w:rPr>
          <w:rFonts w:ascii="Times New Roman" w:hAnsi="Times New Roman" w:cs="Times New Roman"/>
          <w:lang w:val="en-GB"/>
        </w:rPr>
        <w:t>larger</w:t>
      </w:r>
      <w:r w:rsidR="00D43B7E">
        <w:rPr>
          <w:rFonts w:ascii="Times New Roman" w:hAnsi="Times New Roman" w:cs="Times New Roman"/>
          <w:lang w:val="en-GB"/>
        </w:rPr>
        <w:t xml:space="preserve"> windfall schem</w:t>
      </w:r>
      <w:r w:rsidR="00CD43B8">
        <w:rPr>
          <w:rFonts w:ascii="Times New Roman" w:hAnsi="Times New Roman" w:cs="Times New Roman"/>
          <w:lang w:val="en-GB"/>
        </w:rPr>
        <w:t xml:space="preserve">es that that </w:t>
      </w:r>
      <w:r w:rsidR="008460DC">
        <w:rPr>
          <w:rFonts w:ascii="Times New Roman" w:hAnsi="Times New Roman" w:cs="Times New Roman"/>
          <w:lang w:val="en-GB"/>
        </w:rPr>
        <w:t>have not been considered as part of plan preparation and may</w:t>
      </w:r>
      <w:r w:rsidR="00CD43B8">
        <w:rPr>
          <w:rFonts w:ascii="Times New Roman" w:hAnsi="Times New Roman" w:cs="Times New Roman"/>
          <w:lang w:val="en-GB"/>
        </w:rPr>
        <w:t xml:space="preserve"> negatively on health services</w:t>
      </w:r>
      <w:r w:rsidR="008460DC">
        <w:rPr>
          <w:rFonts w:ascii="Times New Roman" w:hAnsi="Times New Roman" w:cs="Times New Roman"/>
          <w:lang w:val="en-GB"/>
        </w:rPr>
        <w:t>.</w:t>
      </w:r>
    </w:p>
    <w:p w14:paraId="08C53D08" w14:textId="5FBD32B3" w:rsidR="0028345D" w:rsidRDefault="00C72ECA" w:rsidP="00D42B72">
      <w:pPr>
        <w:spacing w:line="360" w:lineRule="auto"/>
        <w:rPr>
          <w:rFonts w:ascii="Times New Roman" w:hAnsi="Times New Roman" w:cs="Times New Roman"/>
          <w:b/>
        </w:rPr>
      </w:pPr>
      <w:r>
        <w:rPr>
          <w:rFonts w:ascii="Times New Roman" w:hAnsi="Times New Roman" w:cs="Times New Roman"/>
          <w:b/>
        </w:rPr>
        <w:t>ST5 Colchester’s Housing</w:t>
      </w:r>
      <w:r w:rsidR="00D42B72">
        <w:rPr>
          <w:rFonts w:ascii="Times New Roman" w:hAnsi="Times New Roman" w:cs="Times New Roman"/>
          <w:b/>
        </w:rPr>
        <w:t xml:space="preserve"> </w:t>
      </w:r>
      <w:r>
        <w:rPr>
          <w:rFonts w:ascii="Times New Roman" w:hAnsi="Times New Roman" w:cs="Times New Roman"/>
          <w:b/>
        </w:rPr>
        <w:t>N</w:t>
      </w:r>
      <w:r w:rsidR="00D42B72">
        <w:rPr>
          <w:rFonts w:ascii="Times New Roman" w:hAnsi="Times New Roman" w:cs="Times New Roman"/>
          <w:b/>
        </w:rPr>
        <w:t>eed</w:t>
      </w:r>
    </w:p>
    <w:p w14:paraId="3D8F5FAE" w14:textId="77777777" w:rsidR="00D42B72" w:rsidRDefault="00D42B72" w:rsidP="00D42B72">
      <w:pPr>
        <w:spacing w:line="360" w:lineRule="auto"/>
        <w:rPr>
          <w:rFonts w:ascii="Times New Roman" w:hAnsi="Times New Roman" w:cs="Times New Roman"/>
          <w:b/>
        </w:rPr>
      </w:pPr>
    </w:p>
    <w:p w14:paraId="6CAEB76D" w14:textId="6C5C495E" w:rsidR="00207F02" w:rsidRPr="00EA1287" w:rsidRDefault="00EA1287" w:rsidP="00D42B72">
      <w:pPr>
        <w:spacing w:line="360" w:lineRule="auto"/>
        <w:rPr>
          <w:rFonts w:ascii="Times New Roman" w:hAnsi="Times New Roman" w:cs="Times New Roman"/>
          <w:bCs/>
          <w:i/>
          <w:iCs/>
        </w:rPr>
      </w:pPr>
      <w:r w:rsidRPr="00EA1287">
        <w:rPr>
          <w:rFonts w:ascii="Times New Roman" w:hAnsi="Times New Roman" w:cs="Times New Roman"/>
          <w:bCs/>
          <w:i/>
          <w:iCs/>
        </w:rPr>
        <w:t>Housing requirement</w:t>
      </w:r>
    </w:p>
    <w:p w14:paraId="7A951A6C" w14:textId="77777777" w:rsidR="00EA1287" w:rsidRDefault="00EA1287" w:rsidP="00D42B72">
      <w:pPr>
        <w:spacing w:line="360" w:lineRule="auto"/>
        <w:rPr>
          <w:rFonts w:ascii="Times New Roman" w:hAnsi="Times New Roman" w:cs="Times New Roman"/>
          <w:b/>
        </w:rPr>
      </w:pPr>
    </w:p>
    <w:p w14:paraId="0200E0BA" w14:textId="0F5A5110" w:rsidR="00D42B72" w:rsidRPr="00312435" w:rsidRDefault="00802819"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Based on the most </w:t>
      </w:r>
      <w:r w:rsidR="005C055E">
        <w:rPr>
          <w:rFonts w:ascii="Times New Roman" w:hAnsi="Times New Roman" w:cs="Times New Roman"/>
          <w:bCs/>
        </w:rPr>
        <w:t>recent</w:t>
      </w:r>
      <w:r>
        <w:rPr>
          <w:rFonts w:ascii="Times New Roman" w:hAnsi="Times New Roman" w:cs="Times New Roman"/>
          <w:bCs/>
        </w:rPr>
        <w:t xml:space="preserve"> data the standard method establishes the housing needs in </w:t>
      </w:r>
      <w:r w:rsidR="005C055E">
        <w:rPr>
          <w:rFonts w:ascii="Times New Roman" w:hAnsi="Times New Roman" w:cs="Times New Roman"/>
          <w:bCs/>
        </w:rPr>
        <w:t>Colchester</w:t>
      </w:r>
      <w:r>
        <w:rPr>
          <w:rFonts w:ascii="Times New Roman" w:hAnsi="Times New Roman" w:cs="Times New Roman"/>
          <w:bCs/>
        </w:rPr>
        <w:t xml:space="preserve"> as 1,</w:t>
      </w:r>
      <w:r w:rsidR="005C055E">
        <w:rPr>
          <w:rFonts w:ascii="Times New Roman" w:hAnsi="Times New Roman" w:cs="Times New Roman"/>
          <w:bCs/>
        </w:rPr>
        <w:t xml:space="preserve">293 dpa. </w:t>
      </w:r>
      <w:r w:rsidR="00553E9C">
        <w:rPr>
          <w:rFonts w:ascii="Times New Roman" w:hAnsi="Times New Roman" w:cs="Times New Roman"/>
          <w:bCs/>
        </w:rPr>
        <w:t xml:space="preserve">The Council are proposing to meet the housing </w:t>
      </w:r>
      <w:r w:rsidR="005C055E">
        <w:rPr>
          <w:rFonts w:ascii="Times New Roman" w:hAnsi="Times New Roman" w:cs="Times New Roman"/>
          <w:bCs/>
        </w:rPr>
        <w:t>over the plan period</w:t>
      </w:r>
      <w:r w:rsidR="0014752B">
        <w:rPr>
          <w:rFonts w:ascii="Times New Roman" w:hAnsi="Times New Roman" w:cs="Times New Roman"/>
          <w:bCs/>
        </w:rPr>
        <w:t xml:space="preserve"> with ST5 stating that the </w:t>
      </w:r>
      <w:r w:rsidR="00A52C5F">
        <w:rPr>
          <w:rFonts w:ascii="Times New Roman" w:hAnsi="Times New Roman" w:cs="Times New Roman"/>
          <w:bCs/>
        </w:rPr>
        <w:t>Council</w:t>
      </w:r>
      <w:r w:rsidR="0014752B">
        <w:rPr>
          <w:rFonts w:ascii="Times New Roman" w:hAnsi="Times New Roman" w:cs="Times New Roman"/>
          <w:bCs/>
        </w:rPr>
        <w:t xml:space="preserve"> will </w:t>
      </w:r>
      <w:r w:rsidR="00A52C5F">
        <w:rPr>
          <w:rFonts w:ascii="Times New Roman" w:hAnsi="Times New Roman" w:cs="Times New Roman"/>
          <w:bCs/>
        </w:rPr>
        <w:t>deliver</w:t>
      </w:r>
      <w:r w:rsidR="0014752B">
        <w:rPr>
          <w:rFonts w:ascii="Times New Roman" w:hAnsi="Times New Roman" w:cs="Times New Roman"/>
          <w:bCs/>
        </w:rPr>
        <w:t xml:space="preserve"> a </w:t>
      </w:r>
      <w:r w:rsidR="00A52C5F">
        <w:rPr>
          <w:rFonts w:ascii="Times New Roman" w:hAnsi="Times New Roman" w:cs="Times New Roman"/>
          <w:bCs/>
        </w:rPr>
        <w:t>minimum</w:t>
      </w:r>
      <w:r w:rsidR="0014752B">
        <w:rPr>
          <w:rFonts w:ascii="Times New Roman" w:hAnsi="Times New Roman" w:cs="Times New Roman"/>
          <w:bCs/>
        </w:rPr>
        <w:t xml:space="preserve"> of </w:t>
      </w:r>
      <w:r w:rsidR="00A52C5F">
        <w:rPr>
          <w:rFonts w:ascii="Times New Roman" w:hAnsi="Times New Roman" w:cs="Times New Roman"/>
          <w:bCs/>
        </w:rPr>
        <w:t xml:space="preserve">20,800 homes over the plan period. While not a soundness issue HBF would suggest that the annual housing requirement is also included within the body of the policy for the sake of clarity. </w:t>
      </w:r>
    </w:p>
    <w:p w14:paraId="4CC5F797" w14:textId="77777777" w:rsidR="00F90B34" w:rsidRDefault="000734A5"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However, the </w:t>
      </w:r>
      <w:r w:rsidR="004375C2">
        <w:rPr>
          <w:rFonts w:ascii="Times New Roman" w:hAnsi="Times New Roman" w:cs="Times New Roman"/>
          <w:bCs/>
        </w:rPr>
        <w:t>Council</w:t>
      </w:r>
      <w:r>
        <w:rPr>
          <w:rFonts w:ascii="Times New Roman" w:hAnsi="Times New Roman" w:cs="Times New Roman"/>
          <w:bCs/>
        </w:rPr>
        <w:t xml:space="preserve"> will need to amend the period over which housing needs are </w:t>
      </w:r>
      <w:r w:rsidR="004375C2">
        <w:rPr>
          <w:rFonts w:ascii="Times New Roman" w:hAnsi="Times New Roman" w:cs="Times New Roman"/>
          <w:bCs/>
        </w:rPr>
        <w:t xml:space="preserve">considered in order to be consistent with paragraph 22 of the NPPF which states that plans should as a minimum look ahead for at least 15 years. </w:t>
      </w:r>
      <w:r w:rsidR="007E6B76">
        <w:rPr>
          <w:rFonts w:ascii="Times New Roman" w:hAnsi="Times New Roman" w:cs="Times New Roman"/>
          <w:bCs/>
        </w:rPr>
        <w:t xml:space="preserve">Based on the LDS the expectation is that the plan will be submitted in </w:t>
      </w:r>
      <w:r w:rsidR="001C15B2">
        <w:rPr>
          <w:rFonts w:ascii="Times New Roman" w:hAnsi="Times New Roman" w:cs="Times New Roman"/>
          <w:bCs/>
        </w:rPr>
        <w:t>October</w:t>
      </w:r>
      <w:r w:rsidR="007E6B76">
        <w:rPr>
          <w:rFonts w:ascii="Times New Roman" w:hAnsi="Times New Roman" w:cs="Times New Roman"/>
          <w:bCs/>
        </w:rPr>
        <w:t xml:space="preserve"> of next year following the regulation 19 consultation in the summer. </w:t>
      </w:r>
      <w:r w:rsidR="001C15B2">
        <w:rPr>
          <w:rFonts w:ascii="Times New Roman" w:hAnsi="Times New Roman" w:cs="Times New Roman"/>
          <w:bCs/>
        </w:rPr>
        <w:t xml:space="preserve">As a minimum the time from submission to adoption will take </w:t>
      </w:r>
      <w:r w:rsidR="008B730B">
        <w:rPr>
          <w:rFonts w:ascii="Times New Roman" w:hAnsi="Times New Roman" w:cs="Times New Roman"/>
          <w:bCs/>
        </w:rPr>
        <w:t>a minimum of</w:t>
      </w:r>
      <w:r w:rsidR="001C15B2">
        <w:rPr>
          <w:rFonts w:ascii="Times New Roman" w:hAnsi="Times New Roman" w:cs="Times New Roman"/>
          <w:bCs/>
        </w:rPr>
        <w:t xml:space="preserve"> 12 months</w:t>
      </w:r>
      <w:r w:rsidR="008B730B">
        <w:rPr>
          <w:rFonts w:ascii="Times New Roman" w:hAnsi="Times New Roman" w:cs="Times New Roman"/>
          <w:bCs/>
        </w:rPr>
        <w:t>.</w:t>
      </w:r>
      <w:r w:rsidR="00E133B7">
        <w:rPr>
          <w:rFonts w:ascii="Times New Roman" w:hAnsi="Times New Roman" w:cs="Times New Roman"/>
          <w:bCs/>
        </w:rPr>
        <w:t xml:space="preserve"> </w:t>
      </w:r>
      <w:r w:rsidR="008B730B">
        <w:rPr>
          <w:rFonts w:ascii="Times New Roman" w:hAnsi="Times New Roman" w:cs="Times New Roman"/>
          <w:bCs/>
        </w:rPr>
        <w:t xml:space="preserve"> </w:t>
      </w:r>
      <w:r w:rsidR="001D7A3E" w:rsidRPr="00312435">
        <w:rPr>
          <w:rFonts w:ascii="Times New Roman" w:hAnsi="Times New Roman" w:cs="Times New Roman"/>
          <w:bCs/>
        </w:rPr>
        <w:t>Therefore,</w:t>
      </w:r>
      <w:r w:rsidR="0097656C" w:rsidRPr="00312435">
        <w:rPr>
          <w:rFonts w:ascii="Times New Roman" w:hAnsi="Times New Roman" w:cs="Times New Roman"/>
          <w:bCs/>
        </w:rPr>
        <w:t xml:space="preserve"> </w:t>
      </w:r>
      <w:r w:rsidR="008B730B">
        <w:rPr>
          <w:rFonts w:ascii="Times New Roman" w:hAnsi="Times New Roman" w:cs="Times New Roman"/>
          <w:bCs/>
        </w:rPr>
        <w:t>it is likely that the plan will be adopted in e</w:t>
      </w:r>
      <w:r w:rsidR="0097656C" w:rsidRPr="00312435">
        <w:rPr>
          <w:rFonts w:ascii="Times New Roman" w:hAnsi="Times New Roman" w:cs="Times New Roman"/>
          <w:bCs/>
        </w:rPr>
        <w:t xml:space="preserve">arly 2028. </w:t>
      </w:r>
      <w:r w:rsidR="00263A82">
        <w:rPr>
          <w:rFonts w:ascii="Times New Roman" w:hAnsi="Times New Roman" w:cs="Times New Roman"/>
          <w:bCs/>
        </w:rPr>
        <w:t xml:space="preserve">As a </w:t>
      </w:r>
      <w:r w:rsidR="0027026E">
        <w:rPr>
          <w:rFonts w:ascii="Times New Roman" w:hAnsi="Times New Roman" w:cs="Times New Roman"/>
          <w:bCs/>
        </w:rPr>
        <w:t>result,</w:t>
      </w:r>
      <w:r w:rsidR="00263A82">
        <w:rPr>
          <w:rFonts w:ascii="Times New Roman" w:hAnsi="Times New Roman" w:cs="Times New Roman"/>
          <w:bCs/>
        </w:rPr>
        <w:t xml:space="preserve"> the plan </w:t>
      </w:r>
      <w:r w:rsidR="00263A82">
        <w:rPr>
          <w:rFonts w:ascii="Times New Roman" w:hAnsi="Times New Roman" w:cs="Times New Roman"/>
          <w:bCs/>
        </w:rPr>
        <w:lastRenderedPageBreak/>
        <w:t>will look ahead for</w:t>
      </w:r>
      <w:r w:rsidR="002E23F9" w:rsidRPr="00312435">
        <w:rPr>
          <w:rFonts w:ascii="Times New Roman" w:hAnsi="Times New Roman" w:cs="Times New Roman"/>
          <w:bCs/>
        </w:rPr>
        <w:t xml:space="preserve"> 13 full years from point of adoption</w:t>
      </w:r>
      <w:r w:rsidR="00263A82">
        <w:rPr>
          <w:rFonts w:ascii="Times New Roman" w:hAnsi="Times New Roman" w:cs="Times New Roman"/>
          <w:bCs/>
        </w:rPr>
        <w:t xml:space="preserve"> rather than the required 15 year</w:t>
      </w:r>
      <w:r w:rsidR="0027026E">
        <w:rPr>
          <w:rFonts w:ascii="Times New Roman" w:hAnsi="Times New Roman" w:cs="Times New Roman"/>
          <w:bCs/>
        </w:rPr>
        <w:t>s</w:t>
      </w:r>
      <w:r w:rsidR="002E23F9" w:rsidRPr="00312435">
        <w:rPr>
          <w:rFonts w:ascii="Times New Roman" w:hAnsi="Times New Roman" w:cs="Times New Roman"/>
          <w:bCs/>
        </w:rPr>
        <w:t xml:space="preserve">. </w:t>
      </w:r>
      <w:r w:rsidR="0027026E">
        <w:rPr>
          <w:rFonts w:ascii="Times New Roman" w:hAnsi="Times New Roman" w:cs="Times New Roman"/>
          <w:bCs/>
        </w:rPr>
        <w:t xml:space="preserve">In order for the plan to be consistent with national policy it must be </w:t>
      </w:r>
      <w:r w:rsidR="002E23F9" w:rsidRPr="00312435">
        <w:rPr>
          <w:rFonts w:ascii="Times New Roman" w:hAnsi="Times New Roman" w:cs="Times New Roman"/>
          <w:bCs/>
        </w:rPr>
        <w:t xml:space="preserve">extended by </w:t>
      </w:r>
      <w:r w:rsidR="00566C66">
        <w:rPr>
          <w:rFonts w:ascii="Times New Roman" w:hAnsi="Times New Roman" w:cs="Times New Roman"/>
          <w:bCs/>
        </w:rPr>
        <w:t>tw</w:t>
      </w:r>
      <w:r w:rsidR="002365B1">
        <w:rPr>
          <w:rFonts w:ascii="Times New Roman" w:hAnsi="Times New Roman" w:cs="Times New Roman"/>
          <w:bCs/>
        </w:rPr>
        <w:t>o</w:t>
      </w:r>
      <w:r w:rsidR="002E23F9" w:rsidRPr="00312435">
        <w:rPr>
          <w:rFonts w:ascii="Times New Roman" w:hAnsi="Times New Roman" w:cs="Times New Roman"/>
          <w:bCs/>
        </w:rPr>
        <w:t xml:space="preserve"> years to 2042/43</w:t>
      </w:r>
      <w:r w:rsidR="0027026E">
        <w:rPr>
          <w:rFonts w:ascii="Times New Roman" w:hAnsi="Times New Roman" w:cs="Times New Roman"/>
          <w:bCs/>
        </w:rPr>
        <w:t>.</w:t>
      </w:r>
      <w:r w:rsidR="002365B1">
        <w:rPr>
          <w:rFonts w:ascii="Times New Roman" w:hAnsi="Times New Roman" w:cs="Times New Roman"/>
          <w:bCs/>
        </w:rPr>
        <w:t xml:space="preserve"> This will increase the overall housing requirement to be met in this local plan to </w:t>
      </w:r>
      <w:r w:rsidR="004B794F">
        <w:rPr>
          <w:rFonts w:ascii="Times New Roman" w:hAnsi="Times New Roman" w:cs="Times New Roman"/>
          <w:bCs/>
        </w:rPr>
        <w:t>24,567</w:t>
      </w:r>
      <w:r w:rsidR="00207F02">
        <w:rPr>
          <w:rFonts w:ascii="Times New Roman" w:hAnsi="Times New Roman" w:cs="Times New Roman"/>
          <w:bCs/>
        </w:rPr>
        <w:t xml:space="preserve"> homes.</w:t>
      </w:r>
      <w:r w:rsidR="00F90B34" w:rsidRPr="00F90B34">
        <w:rPr>
          <w:rFonts w:ascii="Times New Roman" w:hAnsi="Times New Roman" w:cs="Times New Roman"/>
          <w:bCs/>
        </w:rPr>
        <w:t xml:space="preserve"> </w:t>
      </w:r>
    </w:p>
    <w:p w14:paraId="0B117BA6" w14:textId="61B83F22" w:rsidR="00F90B34" w:rsidRDefault="00F90B34"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F90B34">
        <w:rPr>
          <w:rFonts w:ascii="Times New Roman" w:hAnsi="Times New Roman" w:cs="Times New Roman"/>
          <w:bCs/>
        </w:rPr>
        <w:t>The Council are not proposing in this consultation to use a stepped housing requirement. While HBF recognises that PPG allows for stepped trajectories, a key starting point for any spatial strategy should be to ensure that the plan delivers homes consistently across the plan period and does not seek to unnecessarily delay the delivery of new homes on the basis of the sites that are selected to meet housing needs. Therefore, the Council must do all it can to avoid pushing back the delivery to new homes to later in the plan period on the basis of its spatial strategy. If the Council choice of strategy reveals it cannot meet needs and does not have a five year land supply on adoption it should seek to allocate additional sites not to amend the trajectory. A stepped trajectory should only be entertained once all other options to ensure a consistent supply of homes across the plan period have been considered and shows that the Council is not, as required by paragraph 68-12 of PPG, unnecessarily delaying meeting identified development needs.</w:t>
      </w:r>
    </w:p>
    <w:p w14:paraId="1F5E51EE" w14:textId="2628D703" w:rsidR="00207F02" w:rsidRPr="00207F02" w:rsidRDefault="00207F02" w:rsidP="00307877">
      <w:pPr>
        <w:widowControl/>
        <w:tabs>
          <w:tab w:val="left" w:pos="2268"/>
        </w:tabs>
        <w:suppressAutoHyphens w:val="0"/>
        <w:autoSpaceDE/>
        <w:spacing w:after="240" w:line="360" w:lineRule="auto"/>
        <w:jc w:val="both"/>
        <w:rPr>
          <w:rFonts w:ascii="Times New Roman" w:hAnsi="Times New Roman" w:cs="Times New Roman"/>
          <w:bCs/>
          <w:i/>
          <w:iCs/>
        </w:rPr>
      </w:pPr>
      <w:r w:rsidRPr="00207F02">
        <w:rPr>
          <w:rFonts w:ascii="Times New Roman" w:hAnsi="Times New Roman" w:cs="Times New Roman"/>
          <w:bCs/>
          <w:i/>
          <w:iCs/>
        </w:rPr>
        <w:t>Housing supply</w:t>
      </w:r>
    </w:p>
    <w:p w14:paraId="0F20DE32" w14:textId="46DA107B" w:rsidR="000143C4" w:rsidRDefault="00EA1287"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w:t>
      </w:r>
      <w:r w:rsidR="0060684F">
        <w:rPr>
          <w:rFonts w:ascii="Times New Roman" w:hAnsi="Times New Roman" w:cs="Times New Roman"/>
          <w:bCs/>
        </w:rPr>
        <w:t xml:space="preserve">he </w:t>
      </w:r>
      <w:r w:rsidR="00E12216">
        <w:rPr>
          <w:rFonts w:ascii="Times New Roman" w:hAnsi="Times New Roman" w:cs="Times New Roman"/>
          <w:bCs/>
        </w:rPr>
        <w:t>Council</w:t>
      </w:r>
      <w:r w:rsidR="002E447A">
        <w:rPr>
          <w:rFonts w:ascii="Times New Roman" w:hAnsi="Times New Roman" w:cs="Times New Roman"/>
          <w:bCs/>
        </w:rPr>
        <w:t xml:space="preserve"> </w:t>
      </w:r>
      <w:r w:rsidR="00447E3D">
        <w:rPr>
          <w:rFonts w:ascii="Times New Roman" w:hAnsi="Times New Roman" w:cs="Times New Roman"/>
          <w:bCs/>
        </w:rPr>
        <w:t>has</w:t>
      </w:r>
      <w:r w:rsidR="002E447A">
        <w:rPr>
          <w:rFonts w:ascii="Times New Roman" w:hAnsi="Times New Roman" w:cs="Times New Roman"/>
          <w:bCs/>
        </w:rPr>
        <w:t xml:space="preserve"> </w:t>
      </w:r>
      <w:r w:rsidR="00E12216">
        <w:rPr>
          <w:rFonts w:ascii="Times New Roman" w:hAnsi="Times New Roman" w:cs="Times New Roman"/>
          <w:bCs/>
        </w:rPr>
        <w:t>identified</w:t>
      </w:r>
      <w:r w:rsidR="002E447A">
        <w:rPr>
          <w:rFonts w:ascii="Times New Roman" w:hAnsi="Times New Roman" w:cs="Times New Roman"/>
          <w:bCs/>
        </w:rPr>
        <w:t xml:space="preserve"> </w:t>
      </w:r>
      <w:r w:rsidR="00E12216">
        <w:rPr>
          <w:rFonts w:ascii="Times New Roman" w:hAnsi="Times New Roman" w:cs="Times New Roman"/>
          <w:bCs/>
        </w:rPr>
        <w:t xml:space="preserve">supply over the proposed plan period of </w:t>
      </w:r>
      <w:r w:rsidR="00180C48" w:rsidRPr="00312435">
        <w:rPr>
          <w:rFonts w:ascii="Times New Roman" w:hAnsi="Times New Roman" w:cs="Times New Roman"/>
          <w:bCs/>
        </w:rPr>
        <w:t>21,106</w:t>
      </w:r>
      <w:r w:rsidR="00E12216">
        <w:rPr>
          <w:rFonts w:ascii="Times New Roman" w:hAnsi="Times New Roman" w:cs="Times New Roman"/>
          <w:bCs/>
        </w:rPr>
        <w:t xml:space="preserve"> homes, just over 300 homes more than the proposed requ</w:t>
      </w:r>
      <w:r w:rsidR="00550CD5">
        <w:rPr>
          <w:rFonts w:ascii="Times New Roman" w:hAnsi="Times New Roman" w:cs="Times New Roman"/>
          <w:bCs/>
        </w:rPr>
        <w:t>irement</w:t>
      </w:r>
      <w:r w:rsidR="00771E1A">
        <w:rPr>
          <w:rFonts w:ascii="Times New Roman" w:hAnsi="Times New Roman" w:cs="Times New Roman"/>
          <w:bCs/>
        </w:rPr>
        <w:t xml:space="preserve"> and </w:t>
      </w:r>
      <w:r w:rsidR="00804BE3">
        <w:rPr>
          <w:rFonts w:ascii="Times New Roman" w:hAnsi="Times New Roman" w:cs="Times New Roman"/>
          <w:bCs/>
        </w:rPr>
        <w:t xml:space="preserve">3,461 homes </w:t>
      </w:r>
      <w:r w:rsidR="00447E3D">
        <w:rPr>
          <w:rFonts w:ascii="Times New Roman" w:hAnsi="Times New Roman" w:cs="Times New Roman"/>
          <w:bCs/>
        </w:rPr>
        <w:t xml:space="preserve">below what is required over a policy compliant plan period. </w:t>
      </w:r>
      <w:r w:rsidR="00A8305D">
        <w:rPr>
          <w:rFonts w:ascii="Times New Roman" w:hAnsi="Times New Roman" w:cs="Times New Roman"/>
          <w:bCs/>
        </w:rPr>
        <w:t>Th</w:t>
      </w:r>
      <w:r w:rsidR="0033642F">
        <w:rPr>
          <w:rFonts w:ascii="Times New Roman" w:hAnsi="Times New Roman" w:cs="Times New Roman"/>
          <w:bCs/>
        </w:rPr>
        <w:t>e Gar</w:t>
      </w:r>
      <w:r w:rsidR="00AC77EC">
        <w:rPr>
          <w:rFonts w:ascii="Times New Roman" w:hAnsi="Times New Roman" w:cs="Times New Roman"/>
          <w:bCs/>
        </w:rPr>
        <w:t>d</w:t>
      </w:r>
      <w:r w:rsidR="0033642F">
        <w:rPr>
          <w:rFonts w:ascii="Times New Roman" w:hAnsi="Times New Roman" w:cs="Times New Roman"/>
          <w:bCs/>
        </w:rPr>
        <w:t xml:space="preserve">en </w:t>
      </w:r>
      <w:r w:rsidR="00AC77EC">
        <w:rPr>
          <w:rFonts w:ascii="Times New Roman" w:hAnsi="Times New Roman" w:cs="Times New Roman"/>
          <w:bCs/>
        </w:rPr>
        <w:t>C</w:t>
      </w:r>
      <w:r w:rsidR="0033642F">
        <w:rPr>
          <w:rFonts w:ascii="Times New Roman" w:hAnsi="Times New Roman" w:cs="Times New Roman"/>
          <w:bCs/>
        </w:rPr>
        <w:t xml:space="preserve">ommunity will delivery beyond the plan period </w:t>
      </w:r>
      <w:r w:rsidR="00044A43">
        <w:rPr>
          <w:rFonts w:ascii="Times New Roman" w:hAnsi="Times New Roman" w:cs="Times New Roman"/>
          <w:bCs/>
        </w:rPr>
        <w:t xml:space="preserve">and will provide some </w:t>
      </w:r>
      <w:r w:rsidR="00BB04A7">
        <w:rPr>
          <w:rFonts w:ascii="Times New Roman" w:hAnsi="Times New Roman" w:cs="Times New Roman"/>
          <w:bCs/>
        </w:rPr>
        <w:t>additional</w:t>
      </w:r>
      <w:r w:rsidR="00044A43">
        <w:rPr>
          <w:rFonts w:ascii="Times New Roman" w:hAnsi="Times New Roman" w:cs="Times New Roman"/>
          <w:bCs/>
        </w:rPr>
        <w:t xml:space="preserve"> supply to meet needs in the additional </w:t>
      </w:r>
      <w:r w:rsidR="00BB04A7">
        <w:rPr>
          <w:rFonts w:ascii="Times New Roman" w:hAnsi="Times New Roman" w:cs="Times New Roman"/>
          <w:bCs/>
        </w:rPr>
        <w:t xml:space="preserve">years. However, </w:t>
      </w:r>
      <w:r w:rsidR="0033642F">
        <w:rPr>
          <w:rFonts w:ascii="Times New Roman" w:hAnsi="Times New Roman" w:cs="Times New Roman"/>
          <w:bCs/>
        </w:rPr>
        <w:t>the</w:t>
      </w:r>
      <w:r w:rsidR="00447E3D">
        <w:rPr>
          <w:rFonts w:ascii="Times New Roman" w:hAnsi="Times New Roman" w:cs="Times New Roman"/>
          <w:bCs/>
        </w:rPr>
        <w:t xml:space="preserve"> Council will </w:t>
      </w:r>
      <w:r w:rsidR="00AC77EC">
        <w:rPr>
          <w:rFonts w:ascii="Times New Roman" w:hAnsi="Times New Roman" w:cs="Times New Roman"/>
          <w:bCs/>
        </w:rPr>
        <w:t xml:space="preserve">still </w:t>
      </w:r>
      <w:r w:rsidR="00447E3D">
        <w:rPr>
          <w:rFonts w:ascii="Times New Roman" w:hAnsi="Times New Roman" w:cs="Times New Roman"/>
          <w:bCs/>
        </w:rPr>
        <w:t xml:space="preserve">need to </w:t>
      </w:r>
      <w:r w:rsidR="003425AB">
        <w:rPr>
          <w:rFonts w:ascii="Times New Roman" w:hAnsi="Times New Roman" w:cs="Times New Roman"/>
          <w:bCs/>
        </w:rPr>
        <w:t>find additional</w:t>
      </w:r>
      <w:r w:rsidR="00447E3D">
        <w:rPr>
          <w:rFonts w:ascii="Times New Roman" w:hAnsi="Times New Roman" w:cs="Times New Roman"/>
          <w:bCs/>
        </w:rPr>
        <w:t xml:space="preserve"> supply in order to meet their housing needs in full.</w:t>
      </w:r>
      <w:r w:rsidR="008C7439">
        <w:rPr>
          <w:rFonts w:ascii="Times New Roman" w:hAnsi="Times New Roman" w:cs="Times New Roman"/>
          <w:bCs/>
        </w:rPr>
        <w:t xml:space="preserve"> </w:t>
      </w:r>
      <w:r w:rsidR="00BB04A7">
        <w:rPr>
          <w:rFonts w:ascii="Times New Roman" w:hAnsi="Times New Roman" w:cs="Times New Roman"/>
          <w:bCs/>
        </w:rPr>
        <w:t>I</w:t>
      </w:r>
      <w:r w:rsidR="00F1224E">
        <w:rPr>
          <w:rFonts w:ascii="Times New Roman" w:hAnsi="Times New Roman" w:cs="Times New Roman"/>
          <w:bCs/>
        </w:rPr>
        <w:t>n</w:t>
      </w:r>
      <w:r w:rsidR="00BB04A7">
        <w:rPr>
          <w:rFonts w:ascii="Times New Roman" w:hAnsi="Times New Roman" w:cs="Times New Roman"/>
          <w:bCs/>
        </w:rPr>
        <w:t xml:space="preserve"> </w:t>
      </w:r>
      <w:r w:rsidR="00F1224E">
        <w:rPr>
          <w:rFonts w:ascii="Times New Roman" w:hAnsi="Times New Roman" w:cs="Times New Roman"/>
          <w:bCs/>
        </w:rPr>
        <w:t>addition,</w:t>
      </w:r>
      <w:r w:rsidR="00BB04A7">
        <w:rPr>
          <w:rFonts w:ascii="Times New Roman" w:hAnsi="Times New Roman" w:cs="Times New Roman"/>
          <w:bCs/>
        </w:rPr>
        <w:t xml:space="preserve"> </w:t>
      </w:r>
      <w:r w:rsidR="008C7439">
        <w:rPr>
          <w:rFonts w:ascii="Times New Roman" w:hAnsi="Times New Roman" w:cs="Times New Roman"/>
          <w:bCs/>
        </w:rPr>
        <w:t>HBF would also</w:t>
      </w:r>
      <w:r w:rsidR="008C7439" w:rsidRPr="008C7439">
        <w:rPr>
          <w:rFonts w:ascii="Times New Roman" w:hAnsi="Times New Roman" w:cs="Times New Roman"/>
          <w:bCs/>
        </w:rPr>
        <w:t xml:space="preserve"> recommend that there is a 10% buffer between the number of homes expected to be delivered over the plan period and the housing requirement. This buffer in supply is required to take account of the fact that not all sites deliver as expected and will ensure that the Council and others can be confident that development needs will be met in full over the plan period and that the plan is therefore both positively prepared and effective.</w:t>
      </w:r>
    </w:p>
    <w:p w14:paraId="3965DDD4" w14:textId="77777777" w:rsidR="000F1634" w:rsidRDefault="003425AB"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Council has not included a housing trajectory within this local plan</w:t>
      </w:r>
      <w:r w:rsidR="00F73584">
        <w:rPr>
          <w:rFonts w:ascii="Times New Roman" w:hAnsi="Times New Roman" w:cs="Times New Roman"/>
          <w:bCs/>
        </w:rPr>
        <w:t xml:space="preserve">. While a draft </w:t>
      </w:r>
      <w:r w:rsidR="00DA395C">
        <w:rPr>
          <w:rFonts w:ascii="Times New Roman" w:hAnsi="Times New Roman" w:cs="Times New Roman"/>
          <w:bCs/>
        </w:rPr>
        <w:t>trajectory</w:t>
      </w:r>
      <w:r w:rsidR="00F73584">
        <w:rPr>
          <w:rFonts w:ascii="Times New Roman" w:hAnsi="Times New Roman" w:cs="Times New Roman"/>
          <w:bCs/>
        </w:rPr>
        <w:t xml:space="preserve"> has been produced to inform </w:t>
      </w:r>
      <w:r w:rsidR="00DA395C">
        <w:rPr>
          <w:rFonts w:ascii="Times New Roman" w:hAnsi="Times New Roman" w:cs="Times New Roman"/>
          <w:bCs/>
        </w:rPr>
        <w:t>infrastructure</w:t>
      </w:r>
      <w:r w:rsidR="00F106A0">
        <w:rPr>
          <w:rFonts w:ascii="Times New Roman" w:hAnsi="Times New Roman" w:cs="Times New Roman"/>
          <w:bCs/>
        </w:rPr>
        <w:t xml:space="preserve"> planning the Council state that further refinement is necessary. As the Council will be aware </w:t>
      </w:r>
      <w:r w:rsidR="00DA395C">
        <w:rPr>
          <w:rFonts w:ascii="Times New Roman" w:hAnsi="Times New Roman" w:cs="Times New Roman"/>
          <w:bCs/>
        </w:rPr>
        <w:t xml:space="preserve">they are required by paragraph 78 of the </w:t>
      </w:r>
      <w:r w:rsidR="004B671C">
        <w:rPr>
          <w:rFonts w:ascii="Times New Roman" w:hAnsi="Times New Roman" w:cs="Times New Roman"/>
          <w:bCs/>
        </w:rPr>
        <w:t>to include housing trajectory</w:t>
      </w:r>
      <w:r w:rsidR="00DA395C">
        <w:rPr>
          <w:rFonts w:ascii="Times New Roman" w:hAnsi="Times New Roman" w:cs="Times New Roman"/>
          <w:bCs/>
        </w:rPr>
        <w:t xml:space="preserve"> </w:t>
      </w:r>
      <w:r w:rsidR="00F106A0">
        <w:rPr>
          <w:rFonts w:ascii="Times New Roman" w:hAnsi="Times New Roman" w:cs="Times New Roman"/>
          <w:bCs/>
        </w:rPr>
        <w:t>in</w:t>
      </w:r>
      <w:r w:rsidR="00DA395C">
        <w:rPr>
          <w:rFonts w:ascii="Times New Roman" w:hAnsi="Times New Roman" w:cs="Times New Roman"/>
          <w:bCs/>
        </w:rPr>
        <w:t xml:space="preserve"> </w:t>
      </w:r>
      <w:r w:rsidR="00F106A0">
        <w:rPr>
          <w:rFonts w:ascii="Times New Roman" w:hAnsi="Times New Roman" w:cs="Times New Roman"/>
          <w:bCs/>
        </w:rPr>
        <w:t>the local plan</w:t>
      </w:r>
      <w:r w:rsidR="004B671C">
        <w:rPr>
          <w:rFonts w:ascii="Times New Roman" w:hAnsi="Times New Roman" w:cs="Times New Roman"/>
          <w:bCs/>
        </w:rPr>
        <w:t xml:space="preserve"> which</w:t>
      </w:r>
      <w:r w:rsidR="00F106A0">
        <w:rPr>
          <w:rFonts w:ascii="Times New Roman" w:hAnsi="Times New Roman" w:cs="Times New Roman"/>
          <w:bCs/>
        </w:rPr>
        <w:t xml:space="preserve"> </w:t>
      </w:r>
      <w:r w:rsidR="005F3510">
        <w:rPr>
          <w:rFonts w:ascii="Times New Roman" w:hAnsi="Times New Roman" w:cs="Times New Roman"/>
          <w:bCs/>
        </w:rPr>
        <w:t>illustrat</w:t>
      </w:r>
      <w:r w:rsidR="004B671C">
        <w:rPr>
          <w:rFonts w:ascii="Times New Roman" w:hAnsi="Times New Roman" w:cs="Times New Roman"/>
          <w:bCs/>
        </w:rPr>
        <w:t>es</w:t>
      </w:r>
      <w:r w:rsidR="005F3510">
        <w:rPr>
          <w:rFonts w:ascii="Times New Roman" w:hAnsi="Times New Roman" w:cs="Times New Roman"/>
          <w:bCs/>
        </w:rPr>
        <w:t xml:space="preserve"> the</w:t>
      </w:r>
      <w:r w:rsidR="00DA395C">
        <w:rPr>
          <w:rFonts w:ascii="Times New Roman" w:hAnsi="Times New Roman" w:cs="Times New Roman"/>
          <w:bCs/>
        </w:rPr>
        <w:t xml:space="preserve"> expected rate of housing</w:t>
      </w:r>
      <w:r w:rsidR="00F106A0">
        <w:rPr>
          <w:rFonts w:ascii="Times New Roman" w:hAnsi="Times New Roman" w:cs="Times New Roman"/>
          <w:bCs/>
        </w:rPr>
        <w:t xml:space="preserve"> </w:t>
      </w:r>
      <w:r w:rsidR="00AF20FB">
        <w:rPr>
          <w:rFonts w:ascii="Times New Roman" w:hAnsi="Times New Roman" w:cs="Times New Roman"/>
          <w:bCs/>
        </w:rPr>
        <w:t xml:space="preserve">delivery over the plan period. HBF would recommend that this does not just </w:t>
      </w:r>
      <w:r w:rsidR="00942638">
        <w:rPr>
          <w:rFonts w:ascii="Times New Roman" w:hAnsi="Times New Roman" w:cs="Times New Roman"/>
          <w:bCs/>
        </w:rPr>
        <w:t>provides</w:t>
      </w:r>
      <w:r w:rsidR="00AF20FB">
        <w:rPr>
          <w:rFonts w:ascii="Times New Roman" w:hAnsi="Times New Roman" w:cs="Times New Roman"/>
          <w:bCs/>
        </w:rPr>
        <w:t xml:space="preserve"> an overall trajectory but also includes </w:t>
      </w:r>
      <w:r w:rsidR="00F90209">
        <w:rPr>
          <w:rFonts w:ascii="Times New Roman" w:hAnsi="Times New Roman" w:cs="Times New Roman"/>
          <w:bCs/>
        </w:rPr>
        <w:t>the anticipated</w:t>
      </w:r>
      <w:r w:rsidR="00BF17BB">
        <w:rPr>
          <w:rFonts w:ascii="Times New Roman" w:hAnsi="Times New Roman" w:cs="Times New Roman"/>
          <w:bCs/>
        </w:rPr>
        <w:t xml:space="preserve"> </w:t>
      </w:r>
      <w:r w:rsidR="00F90209">
        <w:rPr>
          <w:rFonts w:ascii="Times New Roman" w:hAnsi="Times New Roman" w:cs="Times New Roman"/>
          <w:bCs/>
        </w:rPr>
        <w:t xml:space="preserve">rate of delivery for </w:t>
      </w:r>
      <w:r w:rsidR="0051236A">
        <w:rPr>
          <w:rFonts w:ascii="Times New Roman" w:hAnsi="Times New Roman" w:cs="Times New Roman"/>
          <w:bCs/>
        </w:rPr>
        <w:t xml:space="preserve">each of the </w:t>
      </w:r>
      <w:r w:rsidR="00F90209">
        <w:rPr>
          <w:rFonts w:ascii="Times New Roman" w:hAnsi="Times New Roman" w:cs="Times New Roman"/>
          <w:bCs/>
        </w:rPr>
        <w:t xml:space="preserve">specific sites </w:t>
      </w:r>
      <w:r w:rsidR="0051236A">
        <w:rPr>
          <w:rFonts w:ascii="Times New Roman" w:hAnsi="Times New Roman" w:cs="Times New Roman"/>
          <w:bCs/>
        </w:rPr>
        <w:t xml:space="preserve">required to meet housing needs as well as the rate of windfall development. </w:t>
      </w:r>
      <w:r w:rsidR="00FB7195">
        <w:rPr>
          <w:rFonts w:ascii="Times New Roman" w:hAnsi="Times New Roman" w:cs="Times New Roman"/>
          <w:bCs/>
        </w:rPr>
        <w:t xml:space="preserve">Given that the </w:t>
      </w:r>
      <w:r w:rsidR="0039462E">
        <w:rPr>
          <w:rFonts w:ascii="Times New Roman" w:hAnsi="Times New Roman" w:cs="Times New Roman"/>
          <w:bCs/>
        </w:rPr>
        <w:t xml:space="preserve">trajectory in </w:t>
      </w:r>
      <w:r w:rsidR="004F659A">
        <w:rPr>
          <w:rFonts w:ascii="Times New Roman" w:hAnsi="Times New Roman" w:cs="Times New Roman"/>
          <w:bCs/>
        </w:rPr>
        <w:t>the</w:t>
      </w:r>
      <w:r w:rsidR="0039462E">
        <w:rPr>
          <w:rFonts w:ascii="Times New Roman" w:hAnsi="Times New Roman" w:cs="Times New Roman"/>
          <w:bCs/>
        </w:rPr>
        <w:t xml:space="preserve"> IADP is done in </w:t>
      </w:r>
      <w:r w:rsidR="004F659A">
        <w:rPr>
          <w:rFonts w:ascii="Times New Roman" w:hAnsi="Times New Roman" w:cs="Times New Roman"/>
          <w:bCs/>
        </w:rPr>
        <w:t xml:space="preserve">5 year </w:t>
      </w:r>
      <w:r w:rsidR="0039462E">
        <w:rPr>
          <w:rFonts w:ascii="Times New Roman" w:hAnsi="Times New Roman" w:cs="Times New Roman"/>
          <w:bCs/>
        </w:rPr>
        <w:t xml:space="preserve">tranches we would recommend that any trajectory produced for the next iteration of </w:t>
      </w:r>
      <w:r w:rsidR="004F659A">
        <w:rPr>
          <w:rFonts w:ascii="Times New Roman" w:hAnsi="Times New Roman" w:cs="Times New Roman"/>
          <w:bCs/>
        </w:rPr>
        <w:t>th</w:t>
      </w:r>
      <w:r w:rsidR="0039462E">
        <w:rPr>
          <w:rFonts w:ascii="Times New Roman" w:hAnsi="Times New Roman" w:cs="Times New Roman"/>
          <w:bCs/>
        </w:rPr>
        <w:t>e</w:t>
      </w:r>
      <w:r w:rsidR="004F659A">
        <w:rPr>
          <w:rFonts w:ascii="Times New Roman" w:hAnsi="Times New Roman" w:cs="Times New Roman"/>
          <w:bCs/>
        </w:rPr>
        <w:t xml:space="preserve"> local</w:t>
      </w:r>
      <w:r w:rsidR="0039462E">
        <w:rPr>
          <w:rFonts w:ascii="Times New Roman" w:hAnsi="Times New Roman" w:cs="Times New Roman"/>
          <w:bCs/>
        </w:rPr>
        <w:t xml:space="preserve"> plan is </w:t>
      </w:r>
      <w:r w:rsidR="004F659A">
        <w:rPr>
          <w:rFonts w:ascii="Times New Roman" w:hAnsi="Times New Roman" w:cs="Times New Roman"/>
          <w:bCs/>
        </w:rPr>
        <w:t xml:space="preserve">provided annually. </w:t>
      </w:r>
    </w:p>
    <w:p w14:paraId="1EE72047" w14:textId="013CFF85" w:rsidR="00281DB0" w:rsidRDefault="0051236A"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w:t>
      </w:r>
      <w:r w:rsidR="000F1634">
        <w:rPr>
          <w:rFonts w:ascii="Times New Roman" w:hAnsi="Times New Roman" w:cs="Times New Roman"/>
          <w:bCs/>
        </w:rPr>
        <w:t xml:space="preserve">e detailed trajectory for each site </w:t>
      </w:r>
      <w:r>
        <w:rPr>
          <w:rFonts w:ascii="Times New Roman" w:hAnsi="Times New Roman" w:cs="Times New Roman"/>
          <w:bCs/>
        </w:rPr>
        <w:t xml:space="preserve">does not necessarily need </w:t>
      </w:r>
      <w:r w:rsidR="00942638">
        <w:rPr>
          <w:rFonts w:ascii="Times New Roman" w:hAnsi="Times New Roman" w:cs="Times New Roman"/>
          <w:bCs/>
        </w:rPr>
        <w:t>to</w:t>
      </w:r>
      <w:r>
        <w:rPr>
          <w:rFonts w:ascii="Times New Roman" w:hAnsi="Times New Roman" w:cs="Times New Roman"/>
          <w:bCs/>
        </w:rPr>
        <w:t xml:space="preserve"> be </w:t>
      </w:r>
      <w:r w:rsidR="00942638">
        <w:rPr>
          <w:rFonts w:ascii="Times New Roman" w:hAnsi="Times New Roman" w:cs="Times New Roman"/>
          <w:bCs/>
        </w:rPr>
        <w:t>provided</w:t>
      </w:r>
      <w:r>
        <w:rPr>
          <w:rFonts w:ascii="Times New Roman" w:hAnsi="Times New Roman" w:cs="Times New Roman"/>
          <w:bCs/>
        </w:rPr>
        <w:t xml:space="preserve"> the local plan itself but </w:t>
      </w:r>
      <w:r w:rsidR="00942638">
        <w:rPr>
          <w:rFonts w:ascii="Times New Roman" w:hAnsi="Times New Roman" w:cs="Times New Roman"/>
          <w:bCs/>
        </w:rPr>
        <w:t>should</w:t>
      </w:r>
      <w:r>
        <w:rPr>
          <w:rFonts w:ascii="Times New Roman" w:hAnsi="Times New Roman" w:cs="Times New Roman"/>
          <w:bCs/>
        </w:rPr>
        <w:t xml:space="preserve"> for</w:t>
      </w:r>
      <w:r w:rsidR="00942638">
        <w:rPr>
          <w:rFonts w:ascii="Times New Roman" w:hAnsi="Times New Roman" w:cs="Times New Roman"/>
          <w:bCs/>
        </w:rPr>
        <w:t>m</w:t>
      </w:r>
      <w:r>
        <w:rPr>
          <w:rFonts w:ascii="Times New Roman" w:hAnsi="Times New Roman" w:cs="Times New Roman"/>
          <w:bCs/>
        </w:rPr>
        <w:t xml:space="preserve"> part </w:t>
      </w:r>
      <w:r w:rsidR="00942638">
        <w:rPr>
          <w:rFonts w:ascii="Times New Roman" w:hAnsi="Times New Roman" w:cs="Times New Roman"/>
          <w:bCs/>
        </w:rPr>
        <w:t>of</w:t>
      </w:r>
      <w:r>
        <w:rPr>
          <w:rFonts w:ascii="Times New Roman" w:hAnsi="Times New Roman" w:cs="Times New Roman"/>
          <w:bCs/>
        </w:rPr>
        <w:t xml:space="preserve"> the evidence base. Detailed information on </w:t>
      </w:r>
      <w:r w:rsidR="00942638">
        <w:rPr>
          <w:rFonts w:ascii="Times New Roman" w:hAnsi="Times New Roman" w:cs="Times New Roman"/>
          <w:bCs/>
        </w:rPr>
        <w:t>supply expectations is essential in order for those parties with an interest in the local plan, as well as the Inspector appointed to examine it, can effectively</w:t>
      </w:r>
      <w:r w:rsidR="00F82742">
        <w:rPr>
          <w:rFonts w:ascii="Times New Roman" w:hAnsi="Times New Roman" w:cs="Times New Roman"/>
          <w:bCs/>
        </w:rPr>
        <w:t>, and easily,</w:t>
      </w:r>
      <w:r w:rsidR="00942638">
        <w:rPr>
          <w:rFonts w:ascii="Times New Roman" w:hAnsi="Times New Roman" w:cs="Times New Roman"/>
          <w:bCs/>
        </w:rPr>
        <w:t xml:space="preserve"> scrutinise the assumptions that have been made </w:t>
      </w:r>
      <w:r w:rsidR="00F82742">
        <w:rPr>
          <w:rFonts w:ascii="Times New Roman" w:hAnsi="Times New Roman" w:cs="Times New Roman"/>
          <w:bCs/>
        </w:rPr>
        <w:t>and the soundness of those assumptions.</w:t>
      </w:r>
      <w:r w:rsidR="00097769">
        <w:rPr>
          <w:rFonts w:ascii="Times New Roman" w:hAnsi="Times New Roman" w:cs="Times New Roman"/>
          <w:bCs/>
        </w:rPr>
        <w:t xml:space="preserve"> </w:t>
      </w:r>
    </w:p>
    <w:p w14:paraId="2914504E" w14:textId="1466D865" w:rsidR="00AF47AA" w:rsidRPr="0048380E" w:rsidRDefault="00AF47AA" w:rsidP="00AF47AA">
      <w:pPr>
        <w:widowControl/>
        <w:tabs>
          <w:tab w:val="left" w:pos="2268"/>
        </w:tabs>
        <w:suppressAutoHyphens w:val="0"/>
        <w:autoSpaceDE/>
        <w:spacing w:after="240" w:line="360" w:lineRule="auto"/>
        <w:jc w:val="both"/>
        <w:rPr>
          <w:rFonts w:ascii="Times New Roman" w:hAnsi="Times New Roman" w:cs="Times New Roman"/>
          <w:bCs/>
          <w:i/>
          <w:iCs/>
        </w:rPr>
      </w:pPr>
      <w:r w:rsidRPr="0048380E">
        <w:rPr>
          <w:rFonts w:ascii="Times New Roman" w:hAnsi="Times New Roman" w:cs="Times New Roman"/>
          <w:bCs/>
          <w:i/>
          <w:iCs/>
        </w:rPr>
        <w:lastRenderedPageBreak/>
        <w:t>10%</w:t>
      </w:r>
      <w:r w:rsidR="00C863AF" w:rsidRPr="0048380E">
        <w:rPr>
          <w:rFonts w:ascii="Times New Roman" w:hAnsi="Times New Roman" w:cs="Times New Roman"/>
          <w:bCs/>
          <w:i/>
          <w:iCs/>
        </w:rPr>
        <w:t xml:space="preserve"> of delivery on</w:t>
      </w:r>
      <w:r w:rsidRPr="0048380E">
        <w:rPr>
          <w:rFonts w:ascii="Times New Roman" w:hAnsi="Times New Roman" w:cs="Times New Roman"/>
          <w:bCs/>
          <w:i/>
          <w:iCs/>
        </w:rPr>
        <w:t xml:space="preserve"> sites</w:t>
      </w:r>
      <w:r w:rsidR="00C863AF" w:rsidRPr="0048380E">
        <w:rPr>
          <w:rFonts w:ascii="Times New Roman" w:hAnsi="Times New Roman" w:cs="Times New Roman"/>
          <w:bCs/>
          <w:i/>
          <w:iCs/>
        </w:rPr>
        <w:t xml:space="preserve"> of less than one hectare</w:t>
      </w:r>
    </w:p>
    <w:p w14:paraId="0B598280" w14:textId="3DE5820A" w:rsidR="00AF47AA" w:rsidRPr="00AF47AA" w:rsidRDefault="00C863AF"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Council will need to</w:t>
      </w:r>
      <w:r w:rsidR="00AF47AA" w:rsidRPr="00AF47AA">
        <w:rPr>
          <w:rFonts w:ascii="Times New Roman" w:hAnsi="Times New Roman" w:cs="Times New Roman"/>
          <w:bCs/>
        </w:rPr>
        <w:t xml:space="preserve"> ensure that it meets the aim</w:t>
      </w:r>
      <w:r>
        <w:rPr>
          <w:rFonts w:ascii="Times New Roman" w:hAnsi="Times New Roman" w:cs="Times New Roman"/>
          <w:bCs/>
        </w:rPr>
        <w:t>s</w:t>
      </w:r>
      <w:r w:rsidR="00AF47AA" w:rsidRPr="00AF47AA">
        <w:rPr>
          <w:rFonts w:ascii="Times New Roman" w:hAnsi="Times New Roman" w:cs="Times New Roman"/>
          <w:bCs/>
        </w:rPr>
        <w:t xml:space="preserve"> of paragraph 73 of the NPP</w:t>
      </w:r>
      <w:r>
        <w:rPr>
          <w:rFonts w:ascii="Times New Roman" w:hAnsi="Times New Roman" w:cs="Times New Roman"/>
          <w:bCs/>
        </w:rPr>
        <w:t>F in order</w:t>
      </w:r>
      <w:r w:rsidR="00AF47AA" w:rsidRPr="00AF47AA">
        <w:rPr>
          <w:rFonts w:ascii="Times New Roman" w:hAnsi="Times New Roman" w:cs="Times New Roman"/>
          <w:bCs/>
        </w:rPr>
        <w:t xml:space="preserve"> to support SME developers and promote a good mix of sites in the local plan. In particular it will be important for the Council to ensure the spatial strategy allows the Council to meet limb a) of paragraph 73 that the at least 10% of it housing requirements are on sites of one hectare or less. </w:t>
      </w:r>
    </w:p>
    <w:p w14:paraId="03F02AE4" w14:textId="181A41BF" w:rsidR="00AF47AA" w:rsidRPr="00AF47AA" w:rsidRDefault="00AF47AA"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F47AA">
        <w:rPr>
          <w:rFonts w:ascii="Times New Roman" w:hAnsi="Times New Roman" w:cs="Times New Roman"/>
          <w:bCs/>
        </w:rPr>
        <w:t xml:space="preserve">In meeting the requirement in paragraph 73 of the NPPF the Council must ensure it is achieved from identified sites – either as an allocation in the local plan or as a site in the Council’s Brownfield Register. The Council must not rely on assumed levels of windfall delivery on small sites to meet this requirement. Such an approach would be inconsistent with the NPPF which defines windfall sites in its Glossary as “Sites not specifically identified in the development plan”. It is important to recognise that the allocation of small sites is a priority and stems from the need to support small house builders by ensuring that they benefit from having their sites identified for development either through the local plan or brownfield register. The effect of an al-location is to take some of the risk out of that development and provide greater certainty that those sites come forward. This in turn will allow the SME sector to grow, deliver homes that will increase the diversity of the new homes that are available as well as bring those homes forward earlier in the plan period. </w:t>
      </w:r>
    </w:p>
    <w:p w14:paraId="5A1B74CF" w14:textId="59A9E1EA" w:rsidR="00312435" w:rsidRPr="00C50944" w:rsidRDefault="00AF47AA" w:rsidP="00C5094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F47AA">
        <w:rPr>
          <w:rFonts w:ascii="Times New Roman" w:hAnsi="Times New Roman" w:cs="Times New Roman"/>
          <w:bCs/>
        </w:rPr>
        <w:t>The Council should also recognise that allocating small sites and supporting SME house builders not only ensures a stronger supply in the short term but also improves the diversity of choice within local housing markets, support local and regional supply chains and are often pivotal in bring forward innovation and supporting jobs growth locally, with 1 in 5 of the SME work force comprising of apprentices. A failure to allocate small sites will contribute to the continued decline in small and medium sized house builders. Recent re-search by the HBF has found that there are 85% fewer small house builders today than there were 20 years ago and that of a survey of SME house builders 93% said that planning was a major barrier to SME growth. Whilst this decline is due to a range of factors, more allocations of small sites would ease the burden on many SME developers and provide more certainty that their scheme will be permitted, allowing them to secure the necessary finance that is often unavailable to SMEs until permission is granted.</w:t>
      </w:r>
    </w:p>
    <w:p w14:paraId="25803C0E" w14:textId="319D17F1" w:rsidR="00C70738" w:rsidRDefault="00B641B3" w:rsidP="00497D88">
      <w:pPr>
        <w:spacing w:line="360" w:lineRule="auto"/>
        <w:rPr>
          <w:rFonts w:ascii="Times New Roman" w:hAnsi="Times New Roman" w:cs="Times New Roman"/>
          <w:b/>
        </w:rPr>
      </w:pPr>
      <w:r w:rsidRPr="00307877">
        <w:rPr>
          <w:rFonts w:ascii="Times New Roman" w:hAnsi="Times New Roman" w:cs="Times New Roman"/>
          <w:b/>
        </w:rPr>
        <w:t xml:space="preserve">EN2 </w:t>
      </w:r>
      <w:r w:rsidR="00C70738" w:rsidRPr="00307877">
        <w:rPr>
          <w:rFonts w:ascii="Times New Roman" w:hAnsi="Times New Roman" w:cs="Times New Roman"/>
          <w:b/>
        </w:rPr>
        <w:t>–</w:t>
      </w:r>
      <w:r w:rsidRPr="00307877">
        <w:rPr>
          <w:rFonts w:ascii="Times New Roman" w:hAnsi="Times New Roman" w:cs="Times New Roman"/>
          <w:b/>
        </w:rPr>
        <w:t xml:space="preserve"> Biod</w:t>
      </w:r>
      <w:r w:rsidR="00C70738" w:rsidRPr="00307877">
        <w:rPr>
          <w:rFonts w:ascii="Times New Roman" w:hAnsi="Times New Roman" w:cs="Times New Roman"/>
          <w:b/>
        </w:rPr>
        <w:t>iversity Net Gain</w:t>
      </w:r>
    </w:p>
    <w:p w14:paraId="582974C4" w14:textId="77777777" w:rsidR="00497D88" w:rsidRPr="00497D88" w:rsidRDefault="00497D88" w:rsidP="00497D88">
      <w:pPr>
        <w:spacing w:line="360" w:lineRule="auto"/>
        <w:rPr>
          <w:rFonts w:ascii="Times New Roman" w:hAnsi="Times New Roman" w:cs="Times New Roman"/>
          <w:b/>
        </w:rPr>
      </w:pPr>
    </w:p>
    <w:p w14:paraId="74F499AD" w14:textId="6B16D243" w:rsidR="001D7A3E" w:rsidRDefault="00CC0A28"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t>
      </w:r>
      <w:r w:rsidR="00250A45">
        <w:rPr>
          <w:rFonts w:ascii="Times New Roman" w:hAnsi="Times New Roman" w:cs="Times New Roman"/>
          <w:bCs/>
        </w:rPr>
        <w:t>welcomes</w:t>
      </w:r>
      <w:r w:rsidR="00C70738">
        <w:rPr>
          <w:rFonts w:ascii="Times New Roman" w:hAnsi="Times New Roman" w:cs="Times New Roman"/>
          <w:bCs/>
        </w:rPr>
        <w:t xml:space="preserve"> decision not to go beyond </w:t>
      </w:r>
      <w:r w:rsidR="00250A45">
        <w:rPr>
          <w:rFonts w:ascii="Times New Roman" w:hAnsi="Times New Roman" w:cs="Times New Roman"/>
          <w:bCs/>
        </w:rPr>
        <w:t xml:space="preserve">the statutory minimum of </w:t>
      </w:r>
      <w:r w:rsidR="00C70738">
        <w:rPr>
          <w:rFonts w:ascii="Times New Roman" w:hAnsi="Times New Roman" w:cs="Times New Roman"/>
          <w:bCs/>
        </w:rPr>
        <w:t>10%</w:t>
      </w:r>
      <w:r>
        <w:rPr>
          <w:rFonts w:ascii="Times New Roman" w:hAnsi="Times New Roman" w:cs="Times New Roman"/>
          <w:bCs/>
        </w:rPr>
        <w:t xml:space="preserve">. </w:t>
      </w:r>
      <w:r w:rsidR="00250A45">
        <w:rPr>
          <w:rFonts w:ascii="Times New Roman" w:hAnsi="Times New Roman" w:cs="Times New Roman"/>
          <w:bCs/>
        </w:rPr>
        <w:t>We also w</w:t>
      </w:r>
      <w:r w:rsidR="00CA742A">
        <w:rPr>
          <w:rFonts w:ascii="Times New Roman" w:hAnsi="Times New Roman" w:cs="Times New Roman"/>
          <w:bCs/>
        </w:rPr>
        <w:t xml:space="preserve">elcome the </w:t>
      </w:r>
      <w:r w:rsidR="00097BC1">
        <w:rPr>
          <w:rFonts w:ascii="Times New Roman" w:hAnsi="Times New Roman" w:cs="Times New Roman"/>
          <w:bCs/>
        </w:rPr>
        <w:t>identification of specific sites for purchase of credits</w:t>
      </w:r>
      <w:r w:rsidR="00E1702E">
        <w:rPr>
          <w:rFonts w:ascii="Times New Roman" w:hAnsi="Times New Roman" w:cs="Times New Roman"/>
          <w:bCs/>
        </w:rPr>
        <w:t xml:space="preserve"> and that the use of these is</w:t>
      </w:r>
      <w:r w:rsidR="00B433ED">
        <w:rPr>
          <w:rFonts w:ascii="Times New Roman" w:hAnsi="Times New Roman" w:cs="Times New Roman"/>
          <w:bCs/>
        </w:rPr>
        <w:t xml:space="preserve"> a recommendation rather than a requirement as </w:t>
      </w:r>
      <w:r w:rsidR="006C58AA">
        <w:rPr>
          <w:rFonts w:ascii="Times New Roman" w:hAnsi="Times New Roman" w:cs="Times New Roman"/>
          <w:bCs/>
        </w:rPr>
        <w:t xml:space="preserve">it should be for developer to decide how net gain </w:t>
      </w:r>
      <w:r w:rsidR="00E11B3F">
        <w:rPr>
          <w:rFonts w:ascii="Times New Roman" w:hAnsi="Times New Roman" w:cs="Times New Roman"/>
          <w:bCs/>
        </w:rPr>
        <w:t>is</w:t>
      </w:r>
      <w:r w:rsidR="006C58AA">
        <w:rPr>
          <w:rFonts w:ascii="Times New Roman" w:hAnsi="Times New Roman" w:cs="Times New Roman"/>
          <w:bCs/>
        </w:rPr>
        <w:t xml:space="preserve"> met where they cannot be delivered on site. </w:t>
      </w:r>
    </w:p>
    <w:p w14:paraId="0723D1C4" w14:textId="50278D5C" w:rsidR="00F118A2" w:rsidRPr="00F118A2" w:rsidRDefault="00A44F5B" w:rsidP="00A05143">
      <w:pPr>
        <w:pStyle w:val="ListParagraph"/>
        <w:widowControl/>
        <w:numPr>
          <w:ilvl w:val="0"/>
          <w:numId w:val="2"/>
        </w:numPr>
        <w:tabs>
          <w:tab w:val="left" w:pos="2268"/>
        </w:tabs>
        <w:suppressAutoHyphens w:val="0"/>
        <w:autoSpaceDE/>
        <w:spacing w:after="240" w:line="360" w:lineRule="auto"/>
        <w:ind w:left="426" w:hanging="426"/>
        <w:jc w:val="both"/>
        <w:rPr>
          <w:rFonts w:ascii="Times New Roman" w:hAnsi="Times New Roman" w:cs="Times New Roman"/>
          <w:b/>
        </w:rPr>
      </w:pPr>
      <w:r w:rsidRPr="00F118A2">
        <w:rPr>
          <w:rFonts w:ascii="Times New Roman" w:hAnsi="Times New Roman" w:cs="Times New Roman"/>
          <w:bCs/>
        </w:rPr>
        <w:t xml:space="preserve">With regard </w:t>
      </w:r>
      <w:r w:rsidR="0045128F" w:rsidRPr="00F118A2">
        <w:rPr>
          <w:rFonts w:ascii="Times New Roman" w:hAnsi="Times New Roman" w:cs="Times New Roman"/>
          <w:bCs/>
        </w:rPr>
        <w:t>to</w:t>
      </w:r>
      <w:r w:rsidRPr="00F118A2">
        <w:rPr>
          <w:rFonts w:ascii="Times New Roman" w:hAnsi="Times New Roman" w:cs="Times New Roman"/>
          <w:bCs/>
        </w:rPr>
        <w:t xml:space="preserve"> cost of </w:t>
      </w:r>
      <w:r w:rsidR="0045128F" w:rsidRPr="00F118A2">
        <w:rPr>
          <w:rFonts w:ascii="Times New Roman" w:hAnsi="Times New Roman" w:cs="Times New Roman"/>
          <w:bCs/>
        </w:rPr>
        <w:t>delivering</w:t>
      </w:r>
      <w:r w:rsidRPr="00F118A2">
        <w:rPr>
          <w:rFonts w:ascii="Times New Roman" w:hAnsi="Times New Roman" w:cs="Times New Roman"/>
          <w:bCs/>
        </w:rPr>
        <w:t xml:space="preserve"> BNG we note that the</w:t>
      </w:r>
      <w:r w:rsidR="001E4193" w:rsidRPr="00F118A2">
        <w:rPr>
          <w:rFonts w:ascii="Times New Roman" w:hAnsi="Times New Roman" w:cs="Times New Roman"/>
          <w:bCs/>
        </w:rPr>
        <w:t xml:space="preserve"> viability assessment </w:t>
      </w:r>
      <w:r w:rsidR="0045128F" w:rsidRPr="00F118A2">
        <w:rPr>
          <w:rFonts w:ascii="Times New Roman" w:hAnsi="Times New Roman" w:cs="Times New Roman"/>
          <w:bCs/>
        </w:rPr>
        <w:t xml:space="preserve">use Defra </w:t>
      </w:r>
      <w:r w:rsidR="001E4193" w:rsidRPr="00F118A2">
        <w:rPr>
          <w:rFonts w:ascii="Times New Roman" w:hAnsi="Times New Roman" w:cs="Times New Roman"/>
          <w:bCs/>
        </w:rPr>
        <w:t>I</w:t>
      </w:r>
      <w:r w:rsidR="0045128F" w:rsidRPr="00F118A2">
        <w:rPr>
          <w:rFonts w:ascii="Times New Roman" w:hAnsi="Times New Roman" w:cs="Times New Roman"/>
          <w:bCs/>
        </w:rPr>
        <w:t xml:space="preserve">mpact </w:t>
      </w:r>
      <w:r w:rsidR="001E4193" w:rsidRPr="00F118A2">
        <w:rPr>
          <w:rFonts w:ascii="Times New Roman" w:hAnsi="Times New Roman" w:cs="Times New Roman"/>
          <w:bCs/>
        </w:rPr>
        <w:t>A</w:t>
      </w:r>
      <w:r w:rsidR="0045128F" w:rsidRPr="00F118A2">
        <w:rPr>
          <w:rFonts w:ascii="Times New Roman" w:hAnsi="Times New Roman" w:cs="Times New Roman"/>
          <w:bCs/>
        </w:rPr>
        <w:t xml:space="preserve">ssessment </w:t>
      </w:r>
      <w:r w:rsidR="001E4193" w:rsidRPr="00F118A2">
        <w:rPr>
          <w:rFonts w:ascii="Times New Roman" w:hAnsi="Times New Roman" w:cs="Times New Roman"/>
          <w:bCs/>
        </w:rPr>
        <w:t xml:space="preserve">from 2019. </w:t>
      </w:r>
      <w:r w:rsidR="005751EB" w:rsidRPr="00F118A2">
        <w:rPr>
          <w:rFonts w:ascii="Times New Roman" w:hAnsi="Times New Roman" w:cs="Times New Roman"/>
          <w:bCs/>
        </w:rPr>
        <w:t xml:space="preserve">This </w:t>
      </w:r>
      <w:r w:rsidR="00BC4C7F" w:rsidRPr="00F118A2">
        <w:rPr>
          <w:rFonts w:ascii="Times New Roman" w:hAnsi="Times New Roman" w:cs="Times New Roman"/>
          <w:bCs/>
        </w:rPr>
        <w:t>could significantly underestimate the cost of meeting BNG in Colchester</w:t>
      </w:r>
      <w:r w:rsidR="00F04755" w:rsidRPr="00F118A2">
        <w:rPr>
          <w:rFonts w:ascii="Times New Roman" w:hAnsi="Times New Roman" w:cs="Times New Roman"/>
          <w:bCs/>
        </w:rPr>
        <w:t xml:space="preserve"> </w:t>
      </w:r>
      <w:r w:rsidR="00BC4C7F" w:rsidRPr="00F118A2">
        <w:rPr>
          <w:rFonts w:ascii="Times New Roman" w:hAnsi="Times New Roman" w:cs="Times New Roman"/>
          <w:bCs/>
        </w:rPr>
        <w:t xml:space="preserve">as </w:t>
      </w:r>
      <w:r w:rsidR="00F04755" w:rsidRPr="00F118A2">
        <w:rPr>
          <w:rFonts w:ascii="Times New Roman" w:hAnsi="Times New Roman" w:cs="Times New Roman"/>
          <w:bCs/>
        </w:rPr>
        <w:t xml:space="preserve">the cost of off-site credits used in that study are based on the 2019 DEFRA Impact Assessment which assumed costs of these at £11,000. However, our members are experiencing costs of over £30,000 per unit with the cost varying based on the habitat type and the where the offsetting units </w:t>
      </w:r>
      <w:r w:rsidR="00EA7DF0" w:rsidRPr="00F118A2">
        <w:rPr>
          <w:rFonts w:ascii="Times New Roman" w:hAnsi="Times New Roman" w:cs="Times New Roman"/>
          <w:bCs/>
        </w:rPr>
        <w:t>are</w:t>
      </w:r>
      <w:r w:rsidR="00F04755" w:rsidRPr="00F118A2">
        <w:rPr>
          <w:rFonts w:ascii="Times New Roman" w:hAnsi="Times New Roman" w:cs="Times New Roman"/>
          <w:bCs/>
        </w:rPr>
        <w:t xml:space="preserve"> being delivered. </w:t>
      </w:r>
      <w:r w:rsidR="00F118A2">
        <w:rPr>
          <w:rFonts w:ascii="Times New Roman" w:hAnsi="Times New Roman" w:cs="Times New Roman"/>
          <w:bCs/>
        </w:rPr>
        <w:t xml:space="preserve">Evidence on costs of off-site credits </w:t>
      </w:r>
      <w:r w:rsidR="007812F5">
        <w:rPr>
          <w:rFonts w:ascii="Times New Roman" w:hAnsi="Times New Roman" w:cs="Times New Roman"/>
          <w:bCs/>
        </w:rPr>
        <w:t xml:space="preserve">shows that </w:t>
      </w:r>
      <w:r w:rsidR="004C5E4B">
        <w:rPr>
          <w:rFonts w:ascii="Times New Roman" w:hAnsi="Times New Roman" w:cs="Times New Roman"/>
          <w:bCs/>
        </w:rPr>
        <w:t xml:space="preserve">in </w:t>
      </w:r>
      <w:r w:rsidR="004C5E4B">
        <w:rPr>
          <w:rFonts w:ascii="Times New Roman" w:hAnsi="Times New Roman" w:cs="Times New Roman"/>
          <w:bCs/>
        </w:rPr>
        <w:lastRenderedPageBreak/>
        <w:t xml:space="preserve">the south of England costs </w:t>
      </w:r>
      <w:r w:rsidR="00155E16">
        <w:rPr>
          <w:rFonts w:ascii="Times New Roman" w:hAnsi="Times New Roman" w:cs="Times New Roman"/>
          <w:bCs/>
        </w:rPr>
        <w:t>range</w:t>
      </w:r>
      <w:r w:rsidR="004C5E4B">
        <w:rPr>
          <w:rFonts w:ascii="Times New Roman" w:hAnsi="Times New Roman" w:cs="Times New Roman"/>
          <w:bCs/>
        </w:rPr>
        <w:t xml:space="preserve"> from £25,000 </w:t>
      </w:r>
      <w:r w:rsidR="003E770F">
        <w:rPr>
          <w:rFonts w:ascii="Times New Roman" w:hAnsi="Times New Roman" w:cs="Times New Roman"/>
          <w:bCs/>
        </w:rPr>
        <w:t xml:space="preserve">for </w:t>
      </w:r>
      <w:r w:rsidR="00155E16">
        <w:rPr>
          <w:rFonts w:ascii="Times New Roman" w:hAnsi="Times New Roman" w:cs="Times New Roman"/>
          <w:bCs/>
        </w:rPr>
        <w:t>neural</w:t>
      </w:r>
      <w:r w:rsidR="003E770F">
        <w:rPr>
          <w:rFonts w:ascii="Times New Roman" w:hAnsi="Times New Roman" w:cs="Times New Roman"/>
          <w:bCs/>
        </w:rPr>
        <w:t xml:space="preserve"> </w:t>
      </w:r>
      <w:r w:rsidR="00155E16">
        <w:rPr>
          <w:rFonts w:ascii="Times New Roman" w:hAnsi="Times New Roman" w:cs="Times New Roman"/>
          <w:bCs/>
        </w:rPr>
        <w:t>grassland</w:t>
      </w:r>
      <w:r w:rsidR="003E770F">
        <w:rPr>
          <w:rFonts w:ascii="Times New Roman" w:hAnsi="Times New Roman" w:cs="Times New Roman"/>
          <w:bCs/>
        </w:rPr>
        <w:t xml:space="preserve"> of medium </w:t>
      </w:r>
      <w:r w:rsidR="00155E16">
        <w:rPr>
          <w:rFonts w:ascii="Times New Roman" w:hAnsi="Times New Roman" w:cs="Times New Roman"/>
          <w:bCs/>
        </w:rPr>
        <w:t>distinctiveness</w:t>
      </w:r>
      <w:r w:rsidR="003E770F">
        <w:rPr>
          <w:rFonts w:ascii="Times New Roman" w:hAnsi="Times New Roman" w:cs="Times New Roman"/>
          <w:bCs/>
        </w:rPr>
        <w:t xml:space="preserve"> up to £190,000 for the </w:t>
      </w:r>
      <w:r w:rsidR="00155E16">
        <w:rPr>
          <w:rFonts w:ascii="Times New Roman" w:hAnsi="Times New Roman" w:cs="Times New Roman"/>
          <w:bCs/>
        </w:rPr>
        <w:t xml:space="preserve">very high distinctiveness water courses. </w:t>
      </w:r>
      <w:r w:rsidR="00D12AB1">
        <w:rPr>
          <w:rFonts w:ascii="Times New Roman" w:hAnsi="Times New Roman" w:cs="Times New Roman"/>
          <w:bCs/>
        </w:rPr>
        <w:t>Careful</w:t>
      </w:r>
      <w:r w:rsidR="00CC31CB">
        <w:rPr>
          <w:rFonts w:ascii="Times New Roman" w:hAnsi="Times New Roman" w:cs="Times New Roman"/>
          <w:bCs/>
        </w:rPr>
        <w:t xml:space="preserve"> </w:t>
      </w:r>
      <w:r w:rsidR="00971195">
        <w:rPr>
          <w:rFonts w:ascii="Times New Roman" w:hAnsi="Times New Roman" w:cs="Times New Roman"/>
          <w:bCs/>
        </w:rPr>
        <w:t>consideration will</w:t>
      </w:r>
      <w:r w:rsidR="00CC31CB">
        <w:rPr>
          <w:rFonts w:ascii="Times New Roman" w:hAnsi="Times New Roman" w:cs="Times New Roman"/>
          <w:bCs/>
        </w:rPr>
        <w:t xml:space="preserve"> need t</w:t>
      </w:r>
      <w:r w:rsidR="00971195">
        <w:rPr>
          <w:rFonts w:ascii="Times New Roman" w:hAnsi="Times New Roman" w:cs="Times New Roman"/>
          <w:bCs/>
        </w:rPr>
        <w:t xml:space="preserve">o be </w:t>
      </w:r>
      <w:r w:rsidR="00D12AB1">
        <w:rPr>
          <w:rFonts w:ascii="Times New Roman" w:hAnsi="Times New Roman" w:cs="Times New Roman"/>
          <w:bCs/>
        </w:rPr>
        <w:t>given as</w:t>
      </w:r>
      <w:r w:rsidR="00CC31CB">
        <w:rPr>
          <w:rFonts w:ascii="Times New Roman" w:hAnsi="Times New Roman" w:cs="Times New Roman"/>
          <w:bCs/>
        </w:rPr>
        <w:t xml:space="preserve"> to </w:t>
      </w:r>
      <w:r w:rsidR="00971195">
        <w:rPr>
          <w:rFonts w:ascii="Times New Roman" w:hAnsi="Times New Roman" w:cs="Times New Roman"/>
          <w:bCs/>
        </w:rPr>
        <w:t>the type of BNG that may be required on allocated sites</w:t>
      </w:r>
      <w:r w:rsidR="00D12AB1">
        <w:rPr>
          <w:rFonts w:ascii="Times New Roman" w:hAnsi="Times New Roman" w:cs="Times New Roman"/>
          <w:bCs/>
        </w:rPr>
        <w:t xml:space="preserve">, the level of </w:t>
      </w:r>
      <w:r w:rsidR="000B0523">
        <w:rPr>
          <w:rFonts w:ascii="Times New Roman" w:hAnsi="Times New Roman" w:cs="Times New Roman"/>
          <w:bCs/>
        </w:rPr>
        <w:t>on-site</w:t>
      </w:r>
      <w:r w:rsidR="00D12AB1">
        <w:rPr>
          <w:rFonts w:ascii="Times New Roman" w:hAnsi="Times New Roman" w:cs="Times New Roman"/>
          <w:bCs/>
        </w:rPr>
        <w:t xml:space="preserve"> delivery that</w:t>
      </w:r>
      <w:r w:rsidR="000B0523">
        <w:rPr>
          <w:rFonts w:ascii="Times New Roman" w:hAnsi="Times New Roman" w:cs="Times New Roman"/>
          <w:bCs/>
        </w:rPr>
        <w:t xml:space="preserve"> </w:t>
      </w:r>
      <w:r w:rsidR="00D12AB1">
        <w:rPr>
          <w:rFonts w:ascii="Times New Roman" w:hAnsi="Times New Roman" w:cs="Times New Roman"/>
          <w:bCs/>
        </w:rPr>
        <w:t xml:space="preserve">is possible </w:t>
      </w:r>
      <w:r w:rsidR="00971195">
        <w:rPr>
          <w:rFonts w:ascii="Times New Roman" w:hAnsi="Times New Roman" w:cs="Times New Roman"/>
          <w:bCs/>
        </w:rPr>
        <w:t xml:space="preserve">and ensure that an </w:t>
      </w:r>
      <w:r w:rsidR="00D12AB1">
        <w:rPr>
          <w:rFonts w:ascii="Times New Roman" w:hAnsi="Times New Roman" w:cs="Times New Roman"/>
          <w:bCs/>
        </w:rPr>
        <w:t>viability</w:t>
      </w:r>
      <w:r w:rsidR="00971195">
        <w:rPr>
          <w:rFonts w:ascii="Times New Roman" w:hAnsi="Times New Roman" w:cs="Times New Roman"/>
          <w:bCs/>
        </w:rPr>
        <w:t xml:space="preserve"> assessments reflect the </w:t>
      </w:r>
      <w:r w:rsidR="000B0523">
        <w:rPr>
          <w:rFonts w:ascii="Times New Roman" w:hAnsi="Times New Roman" w:cs="Times New Roman"/>
          <w:bCs/>
        </w:rPr>
        <w:t>potential</w:t>
      </w:r>
      <w:r w:rsidR="00971195">
        <w:rPr>
          <w:rFonts w:ascii="Times New Roman" w:hAnsi="Times New Roman" w:cs="Times New Roman"/>
          <w:bCs/>
        </w:rPr>
        <w:t xml:space="preserve"> cost of delivering this habitat</w:t>
      </w:r>
      <w:r w:rsidR="000B0523">
        <w:rPr>
          <w:rFonts w:ascii="Times New Roman" w:hAnsi="Times New Roman" w:cs="Times New Roman"/>
          <w:bCs/>
        </w:rPr>
        <w:t xml:space="preserve"> offsite.</w:t>
      </w:r>
      <w:r w:rsidR="00971195">
        <w:rPr>
          <w:rFonts w:ascii="Times New Roman" w:hAnsi="Times New Roman" w:cs="Times New Roman"/>
          <w:bCs/>
        </w:rPr>
        <w:t xml:space="preserve"> </w:t>
      </w:r>
    </w:p>
    <w:p w14:paraId="50F5E544" w14:textId="5A5EEFD6" w:rsidR="00590FC9" w:rsidRPr="00F118A2" w:rsidRDefault="00590FC9" w:rsidP="00F118A2">
      <w:pPr>
        <w:widowControl/>
        <w:tabs>
          <w:tab w:val="left" w:pos="2268"/>
        </w:tabs>
        <w:suppressAutoHyphens w:val="0"/>
        <w:autoSpaceDE/>
        <w:spacing w:after="240" w:line="360" w:lineRule="auto"/>
        <w:jc w:val="both"/>
        <w:rPr>
          <w:rFonts w:ascii="Times New Roman" w:hAnsi="Times New Roman" w:cs="Times New Roman"/>
          <w:b/>
        </w:rPr>
      </w:pPr>
      <w:r w:rsidRPr="00F118A2">
        <w:rPr>
          <w:rFonts w:ascii="Times New Roman" w:hAnsi="Times New Roman" w:cs="Times New Roman"/>
          <w:b/>
        </w:rPr>
        <w:t>GN1 – Open space</w:t>
      </w:r>
    </w:p>
    <w:p w14:paraId="6CE21F78" w14:textId="0E44A2CB" w:rsidR="00B6019A" w:rsidRDefault="00A43A76"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t>
      </w:r>
      <w:r w:rsidR="00480F85">
        <w:rPr>
          <w:rFonts w:ascii="Times New Roman" w:hAnsi="Times New Roman" w:cs="Times New Roman"/>
          <w:bCs/>
        </w:rPr>
        <w:t xml:space="preserve">recognises where </w:t>
      </w:r>
      <w:r w:rsidR="00187EF8">
        <w:rPr>
          <w:rFonts w:ascii="Times New Roman" w:hAnsi="Times New Roman" w:cs="Times New Roman"/>
          <w:bCs/>
        </w:rPr>
        <w:t xml:space="preserve">there is </w:t>
      </w:r>
      <w:r w:rsidR="00592ECC">
        <w:rPr>
          <w:rFonts w:ascii="Times New Roman" w:hAnsi="Times New Roman" w:cs="Times New Roman"/>
          <w:bCs/>
        </w:rPr>
        <w:t>insufficient</w:t>
      </w:r>
      <w:r w:rsidR="00187EF8">
        <w:rPr>
          <w:rFonts w:ascii="Times New Roman" w:hAnsi="Times New Roman" w:cs="Times New Roman"/>
          <w:bCs/>
        </w:rPr>
        <w:t xml:space="preserve"> open space to support a </w:t>
      </w:r>
      <w:r w:rsidR="00592ECC">
        <w:rPr>
          <w:rFonts w:ascii="Times New Roman" w:hAnsi="Times New Roman" w:cs="Times New Roman"/>
          <w:bCs/>
        </w:rPr>
        <w:t>development</w:t>
      </w:r>
      <w:r w:rsidR="00187EF8">
        <w:rPr>
          <w:rFonts w:ascii="Times New Roman" w:hAnsi="Times New Roman" w:cs="Times New Roman"/>
          <w:bCs/>
        </w:rPr>
        <w:t xml:space="preserve"> additional space may need t be provided on site. However, the </w:t>
      </w:r>
      <w:r w:rsidR="00D40466">
        <w:rPr>
          <w:rFonts w:ascii="Times New Roman" w:hAnsi="Times New Roman" w:cs="Times New Roman"/>
          <w:bCs/>
        </w:rPr>
        <w:t xml:space="preserve">scale of any </w:t>
      </w:r>
      <w:r w:rsidR="00592ECC">
        <w:rPr>
          <w:rFonts w:ascii="Times New Roman" w:hAnsi="Times New Roman" w:cs="Times New Roman"/>
          <w:bCs/>
        </w:rPr>
        <w:t>requirement</w:t>
      </w:r>
      <w:r w:rsidR="00187EF8">
        <w:rPr>
          <w:rFonts w:ascii="Times New Roman" w:hAnsi="Times New Roman" w:cs="Times New Roman"/>
          <w:bCs/>
        </w:rPr>
        <w:t xml:space="preserve"> must be based</w:t>
      </w:r>
      <w:r w:rsidR="00592ECC">
        <w:rPr>
          <w:rFonts w:ascii="Times New Roman" w:hAnsi="Times New Roman" w:cs="Times New Roman"/>
          <w:bCs/>
        </w:rPr>
        <w:t xml:space="preserve"> </w:t>
      </w:r>
      <w:r w:rsidR="00187EF8">
        <w:rPr>
          <w:rFonts w:ascii="Times New Roman" w:hAnsi="Times New Roman" w:cs="Times New Roman"/>
          <w:bCs/>
        </w:rPr>
        <w:t>on evidence</w:t>
      </w:r>
      <w:r w:rsidR="00D40466">
        <w:rPr>
          <w:rFonts w:ascii="Times New Roman" w:hAnsi="Times New Roman" w:cs="Times New Roman"/>
          <w:bCs/>
        </w:rPr>
        <w:t xml:space="preserve"> and have regard to </w:t>
      </w:r>
      <w:r w:rsidR="007C16CB">
        <w:rPr>
          <w:rFonts w:ascii="Times New Roman" w:hAnsi="Times New Roman" w:cs="Times New Roman"/>
          <w:bCs/>
        </w:rPr>
        <w:t>paragraph</w:t>
      </w:r>
      <w:r w:rsidR="00D40466">
        <w:rPr>
          <w:rFonts w:ascii="Times New Roman" w:hAnsi="Times New Roman" w:cs="Times New Roman"/>
          <w:bCs/>
        </w:rPr>
        <w:t xml:space="preserve"> </w:t>
      </w:r>
      <w:r w:rsidR="007C16CB">
        <w:rPr>
          <w:rFonts w:ascii="Times New Roman" w:hAnsi="Times New Roman" w:cs="Times New Roman"/>
          <w:bCs/>
        </w:rPr>
        <w:t>58 of the NPPF</w:t>
      </w:r>
      <w:r w:rsidR="00592ECC">
        <w:rPr>
          <w:rFonts w:ascii="Times New Roman" w:hAnsi="Times New Roman" w:cs="Times New Roman"/>
          <w:bCs/>
        </w:rPr>
        <w:t xml:space="preserve">. </w:t>
      </w:r>
      <w:r>
        <w:rPr>
          <w:rFonts w:ascii="Times New Roman" w:hAnsi="Times New Roman" w:cs="Times New Roman"/>
          <w:bCs/>
        </w:rPr>
        <w:t xml:space="preserve"> </w:t>
      </w:r>
      <w:r w:rsidR="007C16CB">
        <w:rPr>
          <w:rFonts w:ascii="Times New Roman" w:hAnsi="Times New Roman" w:cs="Times New Roman"/>
          <w:bCs/>
        </w:rPr>
        <w:t xml:space="preserve">As such </w:t>
      </w:r>
      <w:r w:rsidR="008160D1">
        <w:rPr>
          <w:rFonts w:ascii="Times New Roman" w:hAnsi="Times New Roman" w:cs="Times New Roman"/>
          <w:bCs/>
        </w:rPr>
        <w:t>we do not consider  this policy to be that this</w:t>
      </w:r>
      <w:r w:rsidR="005E185B">
        <w:rPr>
          <w:rFonts w:ascii="Times New Roman" w:hAnsi="Times New Roman" w:cs="Times New Roman"/>
          <w:bCs/>
        </w:rPr>
        <w:t xml:space="preserve"> policy</w:t>
      </w:r>
      <w:r w:rsidR="008160D1">
        <w:rPr>
          <w:rFonts w:ascii="Times New Roman" w:hAnsi="Times New Roman" w:cs="Times New Roman"/>
          <w:bCs/>
        </w:rPr>
        <w:t xml:space="preserve"> be sound in relation to </w:t>
      </w:r>
      <w:r w:rsidR="00B26D0A">
        <w:rPr>
          <w:rFonts w:ascii="Times New Roman" w:hAnsi="Times New Roman" w:cs="Times New Roman"/>
          <w:bCs/>
        </w:rPr>
        <w:t>allocated sites as it states they</w:t>
      </w:r>
      <w:r w:rsidR="00715128" w:rsidRPr="00E11B3F">
        <w:rPr>
          <w:rFonts w:ascii="Times New Roman" w:hAnsi="Times New Roman" w:cs="Times New Roman"/>
          <w:bCs/>
        </w:rPr>
        <w:t xml:space="preserve"> should provide</w:t>
      </w:r>
      <w:r w:rsidR="00590FC9" w:rsidRPr="00E11B3F">
        <w:rPr>
          <w:rFonts w:ascii="Times New Roman" w:hAnsi="Times New Roman" w:cs="Times New Roman"/>
          <w:bCs/>
        </w:rPr>
        <w:t xml:space="preserve"> </w:t>
      </w:r>
      <w:r w:rsidR="00715128" w:rsidRPr="00E11B3F">
        <w:rPr>
          <w:rFonts w:ascii="Times New Roman" w:hAnsi="Times New Roman" w:cs="Times New Roman"/>
          <w:bCs/>
        </w:rPr>
        <w:t>“</w:t>
      </w:r>
      <w:r w:rsidR="00715128" w:rsidRPr="00F1224E">
        <w:rPr>
          <w:rFonts w:ascii="Times New Roman" w:hAnsi="Times New Roman" w:cs="Times New Roman"/>
          <w:bCs/>
          <w:i/>
          <w:iCs/>
        </w:rPr>
        <w:t>substantively in excess of 10%</w:t>
      </w:r>
      <w:r w:rsidR="00E11B3F" w:rsidRPr="00E11B3F">
        <w:rPr>
          <w:rFonts w:ascii="Times New Roman" w:hAnsi="Times New Roman" w:cs="Times New Roman"/>
          <w:bCs/>
        </w:rPr>
        <w:t>” of the allocation as open space</w:t>
      </w:r>
      <w:r w:rsidR="00715128" w:rsidRPr="00E11B3F">
        <w:rPr>
          <w:rFonts w:ascii="Times New Roman" w:hAnsi="Times New Roman" w:cs="Times New Roman"/>
          <w:bCs/>
        </w:rPr>
        <w:t xml:space="preserve">. </w:t>
      </w:r>
      <w:r w:rsidR="005E185B">
        <w:rPr>
          <w:rFonts w:ascii="Times New Roman" w:hAnsi="Times New Roman" w:cs="Times New Roman"/>
          <w:bCs/>
        </w:rPr>
        <w:t>It is</w:t>
      </w:r>
      <w:r w:rsidR="00CA5BA5">
        <w:rPr>
          <w:rFonts w:ascii="Times New Roman" w:hAnsi="Times New Roman" w:cs="Times New Roman"/>
          <w:bCs/>
        </w:rPr>
        <w:t xml:space="preserve"> not clear why such sites should provide substantially more open space than 10% </w:t>
      </w:r>
      <w:r w:rsidR="00B26D0A">
        <w:rPr>
          <w:rFonts w:ascii="Times New Roman" w:hAnsi="Times New Roman" w:cs="Times New Roman"/>
          <w:bCs/>
        </w:rPr>
        <w:t>or</w:t>
      </w:r>
      <w:r w:rsidR="00CA5BA5">
        <w:rPr>
          <w:rFonts w:ascii="Times New Roman" w:hAnsi="Times New Roman" w:cs="Times New Roman"/>
          <w:bCs/>
        </w:rPr>
        <w:t xml:space="preserve"> what substantially in excess means</w:t>
      </w:r>
      <w:r w:rsidR="00B26D0A">
        <w:rPr>
          <w:rFonts w:ascii="Times New Roman" w:hAnsi="Times New Roman" w:cs="Times New Roman"/>
          <w:bCs/>
        </w:rPr>
        <w:t xml:space="preserve">. </w:t>
      </w:r>
      <w:r w:rsidR="00C60FF8">
        <w:rPr>
          <w:rFonts w:ascii="Times New Roman" w:hAnsi="Times New Roman" w:cs="Times New Roman"/>
          <w:bCs/>
        </w:rPr>
        <w:t>Such a vague statement also means it is difficult to know</w:t>
      </w:r>
      <w:r w:rsidR="00CA5BA5">
        <w:rPr>
          <w:rFonts w:ascii="Times New Roman" w:hAnsi="Times New Roman" w:cs="Times New Roman"/>
          <w:bCs/>
        </w:rPr>
        <w:t xml:space="preserve"> how t</w:t>
      </w:r>
      <w:r w:rsidR="00C60FF8">
        <w:rPr>
          <w:rFonts w:ascii="Times New Roman" w:hAnsi="Times New Roman" w:cs="Times New Roman"/>
          <w:bCs/>
        </w:rPr>
        <w:t>his policy will</w:t>
      </w:r>
      <w:r w:rsidR="00CA5BA5">
        <w:rPr>
          <w:rFonts w:ascii="Times New Roman" w:hAnsi="Times New Roman" w:cs="Times New Roman"/>
          <w:bCs/>
        </w:rPr>
        <w:t xml:space="preserve"> impact on </w:t>
      </w:r>
      <w:r w:rsidR="00C60FF8">
        <w:rPr>
          <w:rFonts w:ascii="Times New Roman" w:hAnsi="Times New Roman" w:cs="Times New Roman"/>
          <w:bCs/>
        </w:rPr>
        <w:t>the developable area of a site</w:t>
      </w:r>
      <w:r w:rsidR="00C60FF8">
        <w:rPr>
          <w:rFonts w:ascii="Times New Roman" w:hAnsi="Times New Roman" w:cs="Times New Roman"/>
          <w:bCs/>
        </w:rPr>
        <w:t xml:space="preserve"> and ultimately </w:t>
      </w:r>
      <w:r w:rsidR="00CA5BA5">
        <w:rPr>
          <w:rFonts w:ascii="Times New Roman" w:hAnsi="Times New Roman" w:cs="Times New Roman"/>
          <w:bCs/>
        </w:rPr>
        <w:t xml:space="preserve">the viability of that site. </w:t>
      </w:r>
      <w:r w:rsidR="003D2D2D">
        <w:rPr>
          <w:rFonts w:ascii="Times New Roman" w:hAnsi="Times New Roman" w:cs="Times New Roman"/>
          <w:bCs/>
        </w:rPr>
        <w:t xml:space="preserve">It </w:t>
      </w:r>
      <w:r w:rsidR="00C61734">
        <w:rPr>
          <w:rFonts w:ascii="Times New Roman" w:hAnsi="Times New Roman" w:cs="Times New Roman"/>
          <w:bCs/>
        </w:rPr>
        <w:t>will</w:t>
      </w:r>
      <w:r w:rsidR="003D2D2D">
        <w:rPr>
          <w:rFonts w:ascii="Times New Roman" w:hAnsi="Times New Roman" w:cs="Times New Roman"/>
          <w:bCs/>
        </w:rPr>
        <w:t xml:space="preserve"> also</w:t>
      </w:r>
      <w:r w:rsidR="00C61734">
        <w:rPr>
          <w:rFonts w:ascii="Times New Roman" w:hAnsi="Times New Roman" w:cs="Times New Roman"/>
          <w:bCs/>
        </w:rPr>
        <w:t xml:space="preserve"> </w:t>
      </w:r>
      <w:r w:rsidR="003D2D2D">
        <w:rPr>
          <w:rFonts w:ascii="Times New Roman" w:hAnsi="Times New Roman" w:cs="Times New Roman"/>
          <w:bCs/>
        </w:rPr>
        <w:t>create</w:t>
      </w:r>
      <w:r w:rsidR="00C61734">
        <w:rPr>
          <w:rFonts w:ascii="Times New Roman" w:hAnsi="Times New Roman" w:cs="Times New Roman"/>
          <w:bCs/>
        </w:rPr>
        <w:t xml:space="preserve"> confusion for both the decision maker and developer alike. </w:t>
      </w:r>
      <w:r w:rsidR="00CA5BA5">
        <w:rPr>
          <w:rFonts w:ascii="Times New Roman" w:hAnsi="Times New Roman" w:cs="Times New Roman"/>
          <w:bCs/>
        </w:rPr>
        <w:t xml:space="preserve">Greater clarity and justification are required with regard to this policy. </w:t>
      </w:r>
      <w:r w:rsidR="00715128" w:rsidRPr="00E11B3F">
        <w:rPr>
          <w:rFonts w:ascii="Times New Roman" w:hAnsi="Times New Roman" w:cs="Times New Roman"/>
          <w:bCs/>
        </w:rPr>
        <w:t xml:space="preserve"> </w:t>
      </w:r>
    </w:p>
    <w:p w14:paraId="11C30352" w14:textId="42B8E62F" w:rsidR="0028345D" w:rsidRPr="00307877" w:rsidRDefault="00B6019A" w:rsidP="00307877">
      <w:pPr>
        <w:widowControl/>
        <w:tabs>
          <w:tab w:val="left" w:pos="2268"/>
        </w:tabs>
        <w:suppressAutoHyphens w:val="0"/>
        <w:autoSpaceDE/>
        <w:spacing w:after="240" w:line="360" w:lineRule="auto"/>
        <w:jc w:val="both"/>
        <w:rPr>
          <w:rFonts w:ascii="Times New Roman" w:hAnsi="Times New Roman" w:cs="Times New Roman"/>
          <w:b/>
        </w:rPr>
      </w:pPr>
      <w:r w:rsidRPr="00307877">
        <w:rPr>
          <w:rFonts w:ascii="Times New Roman" w:hAnsi="Times New Roman" w:cs="Times New Roman"/>
          <w:b/>
        </w:rPr>
        <w:t xml:space="preserve">GN4 </w:t>
      </w:r>
      <w:r w:rsidR="00032E45" w:rsidRPr="00307877">
        <w:rPr>
          <w:rFonts w:ascii="Times New Roman" w:hAnsi="Times New Roman" w:cs="Times New Roman"/>
          <w:b/>
        </w:rPr>
        <w:t>: Tree Canopy Cover</w:t>
      </w:r>
    </w:p>
    <w:p w14:paraId="32E84774" w14:textId="6E258F3B" w:rsidR="00F2583E" w:rsidRDefault="0027601F"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This policy requires a m</w:t>
      </w:r>
      <w:r w:rsidR="00032E45" w:rsidRPr="00180EBD">
        <w:rPr>
          <w:rFonts w:ascii="Times New Roman" w:hAnsi="Times New Roman" w:cs="Times New Roman"/>
          <w:bCs/>
        </w:rPr>
        <w:t xml:space="preserve">inimum 10% </w:t>
      </w:r>
      <w:r w:rsidR="00180EBD" w:rsidRPr="00180EBD">
        <w:rPr>
          <w:rFonts w:ascii="Times New Roman" w:hAnsi="Times New Roman" w:cs="Times New Roman"/>
          <w:bCs/>
        </w:rPr>
        <w:t>across site area where the baseline is below 10%</w:t>
      </w:r>
      <w:r>
        <w:rPr>
          <w:rFonts w:ascii="Times New Roman" w:hAnsi="Times New Roman" w:cs="Times New Roman"/>
          <w:bCs/>
        </w:rPr>
        <w:t>.</w:t>
      </w:r>
      <w:r w:rsidR="00091B3E">
        <w:rPr>
          <w:rFonts w:ascii="Times New Roman" w:hAnsi="Times New Roman" w:cs="Times New Roman"/>
          <w:bCs/>
        </w:rPr>
        <w:t xml:space="preserve"> HBF does not </w:t>
      </w:r>
      <w:r w:rsidR="00C5293D">
        <w:rPr>
          <w:rFonts w:ascii="Times New Roman" w:hAnsi="Times New Roman" w:cs="Times New Roman"/>
          <w:bCs/>
        </w:rPr>
        <w:t>consider</w:t>
      </w:r>
      <w:r w:rsidR="00091B3E">
        <w:rPr>
          <w:rFonts w:ascii="Times New Roman" w:hAnsi="Times New Roman" w:cs="Times New Roman"/>
          <w:bCs/>
        </w:rPr>
        <w:t xml:space="preserve"> this </w:t>
      </w:r>
      <w:r w:rsidR="00C5293D">
        <w:rPr>
          <w:rFonts w:ascii="Times New Roman" w:hAnsi="Times New Roman" w:cs="Times New Roman"/>
          <w:bCs/>
        </w:rPr>
        <w:t>policy to be</w:t>
      </w:r>
      <w:r w:rsidR="00091B3E">
        <w:rPr>
          <w:rFonts w:ascii="Times New Roman" w:hAnsi="Times New Roman" w:cs="Times New Roman"/>
          <w:bCs/>
        </w:rPr>
        <w:t xml:space="preserve"> sound. The nee for tree planting should be </w:t>
      </w:r>
      <w:r w:rsidR="00C5293D">
        <w:rPr>
          <w:rFonts w:ascii="Times New Roman" w:hAnsi="Times New Roman" w:cs="Times New Roman"/>
          <w:bCs/>
        </w:rPr>
        <w:t>base</w:t>
      </w:r>
      <w:r w:rsidR="00091B3E">
        <w:rPr>
          <w:rFonts w:ascii="Times New Roman" w:hAnsi="Times New Roman" w:cs="Times New Roman"/>
          <w:bCs/>
        </w:rPr>
        <w:t>d</w:t>
      </w:r>
      <w:r w:rsidR="00C5293D">
        <w:rPr>
          <w:rFonts w:ascii="Times New Roman" w:hAnsi="Times New Roman" w:cs="Times New Roman"/>
          <w:bCs/>
        </w:rPr>
        <w:t xml:space="preserve"> </w:t>
      </w:r>
      <w:r w:rsidR="00091B3E">
        <w:rPr>
          <w:rFonts w:ascii="Times New Roman" w:hAnsi="Times New Roman" w:cs="Times New Roman"/>
          <w:bCs/>
        </w:rPr>
        <w:t>on</w:t>
      </w:r>
      <w:r w:rsidR="00C5293D">
        <w:rPr>
          <w:rFonts w:ascii="Times New Roman" w:hAnsi="Times New Roman" w:cs="Times New Roman"/>
          <w:bCs/>
        </w:rPr>
        <w:t xml:space="preserve"> </w:t>
      </w:r>
      <w:r w:rsidR="00091B3E">
        <w:rPr>
          <w:rFonts w:ascii="Times New Roman" w:hAnsi="Times New Roman" w:cs="Times New Roman"/>
          <w:bCs/>
        </w:rPr>
        <w:t>the character of the area and the nature of th</w:t>
      </w:r>
      <w:r w:rsidR="00111244">
        <w:rPr>
          <w:rFonts w:ascii="Times New Roman" w:hAnsi="Times New Roman" w:cs="Times New Roman"/>
          <w:bCs/>
        </w:rPr>
        <w:t xml:space="preserve">e </w:t>
      </w:r>
      <w:r w:rsidR="00C5293D">
        <w:rPr>
          <w:rFonts w:ascii="Times New Roman" w:hAnsi="Times New Roman" w:cs="Times New Roman"/>
          <w:bCs/>
        </w:rPr>
        <w:t>site,</w:t>
      </w:r>
      <w:r w:rsidR="00111244">
        <w:rPr>
          <w:rFonts w:ascii="Times New Roman" w:hAnsi="Times New Roman" w:cs="Times New Roman"/>
          <w:bCs/>
        </w:rPr>
        <w:t xml:space="preserve"> not </w:t>
      </w:r>
      <w:r w:rsidR="00C5293D">
        <w:rPr>
          <w:rFonts w:ascii="Times New Roman" w:hAnsi="Times New Roman" w:cs="Times New Roman"/>
          <w:bCs/>
        </w:rPr>
        <w:t>arbitrary</w:t>
      </w:r>
      <w:r w:rsidR="00111244">
        <w:rPr>
          <w:rFonts w:ascii="Times New Roman" w:hAnsi="Times New Roman" w:cs="Times New Roman"/>
          <w:bCs/>
        </w:rPr>
        <w:t xml:space="preserve"> </w:t>
      </w:r>
      <w:r w:rsidR="00C5293D">
        <w:rPr>
          <w:rFonts w:ascii="Times New Roman" w:hAnsi="Times New Roman" w:cs="Times New Roman"/>
          <w:bCs/>
        </w:rPr>
        <w:t>canopy</w:t>
      </w:r>
      <w:r w:rsidR="00111244">
        <w:rPr>
          <w:rFonts w:ascii="Times New Roman" w:hAnsi="Times New Roman" w:cs="Times New Roman"/>
          <w:bCs/>
        </w:rPr>
        <w:t xml:space="preserve"> cover figures. In particular there may be good reasons why it is not </w:t>
      </w:r>
      <w:r w:rsidR="00EA1D20">
        <w:rPr>
          <w:rFonts w:ascii="Times New Roman" w:hAnsi="Times New Roman" w:cs="Times New Roman"/>
          <w:bCs/>
        </w:rPr>
        <w:t xml:space="preserve">possible to achieve 10% due to other reason such as </w:t>
      </w:r>
      <w:r w:rsidR="00AF3EC9">
        <w:rPr>
          <w:rFonts w:ascii="Times New Roman" w:hAnsi="Times New Roman" w:cs="Times New Roman"/>
          <w:bCs/>
        </w:rPr>
        <w:t xml:space="preserve">the delivery of </w:t>
      </w:r>
      <w:r w:rsidR="00C5293D">
        <w:rPr>
          <w:rFonts w:ascii="Times New Roman" w:hAnsi="Times New Roman" w:cs="Times New Roman"/>
          <w:bCs/>
        </w:rPr>
        <w:t>biodiversity</w:t>
      </w:r>
      <w:r w:rsidR="00AF3EC9">
        <w:rPr>
          <w:rFonts w:ascii="Times New Roman" w:hAnsi="Times New Roman" w:cs="Times New Roman"/>
          <w:bCs/>
        </w:rPr>
        <w:t xml:space="preserve"> net gain where </w:t>
      </w:r>
      <w:r w:rsidR="00C5293D">
        <w:rPr>
          <w:rFonts w:ascii="Times New Roman" w:hAnsi="Times New Roman" w:cs="Times New Roman"/>
          <w:bCs/>
        </w:rPr>
        <w:t>different</w:t>
      </w:r>
      <w:r w:rsidR="00AF3EC9">
        <w:rPr>
          <w:rFonts w:ascii="Times New Roman" w:hAnsi="Times New Roman" w:cs="Times New Roman"/>
          <w:bCs/>
        </w:rPr>
        <w:t xml:space="preserve"> </w:t>
      </w:r>
      <w:r w:rsidR="00C5293D">
        <w:rPr>
          <w:rFonts w:ascii="Times New Roman" w:hAnsi="Times New Roman" w:cs="Times New Roman"/>
          <w:bCs/>
        </w:rPr>
        <w:t>habitats</w:t>
      </w:r>
      <w:r w:rsidR="00AF3EC9">
        <w:rPr>
          <w:rFonts w:ascii="Times New Roman" w:hAnsi="Times New Roman" w:cs="Times New Roman"/>
          <w:bCs/>
        </w:rPr>
        <w:t xml:space="preserve"> are required. While so</w:t>
      </w:r>
      <w:r w:rsidR="00D13D37">
        <w:rPr>
          <w:rFonts w:ascii="Times New Roman" w:hAnsi="Times New Roman" w:cs="Times New Roman"/>
          <w:bCs/>
        </w:rPr>
        <w:t xml:space="preserve">me </w:t>
      </w:r>
      <w:r w:rsidR="000C312C">
        <w:rPr>
          <w:rFonts w:ascii="Times New Roman" w:hAnsi="Times New Roman" w:cs="Times New Roman"/>
          <w:bCs/>
        </w:rPr>
        <w:t>flexibility</w:t>
      </w:r>
      <w:r w:rsidR="00D13D37">
        <w:rPr>
          <w:rFonts w:ascii="Times New Roman" w:hAnsi="Times New Roman" w:cs="Times New Roman"/>
          <w:bCs/>
        </w:rPr>
        <w:t xml:space="preserve"> is provided at the end of the </w:t>
      </w:r>
      <w:r w:rsidR="000C312C">
        <w:rPr>
          <w:rFonts w:ascii="Times New Roman" w:hAnsi="Times New Roman" w:cs="Times New Roman"/>
          <w:bCs/>
        </w:rPr>
        <w:t>policy</w:t>
      </w:r>
      <w:r w:rsidR="00D13D37">
        <w:rPr>
          <w:rFonts w:ascii="Times New Roman" w:hAnsi="Times New Roman" w:cs="Times New Roman"/>
          <w:bCs/>
        </w:rPr>
        <w:t xml:space="preserve"> </w:t>
      </w:r>
      <w:r w:rsidR="00AF3EC9">
        <w:rPr>
          <w:rFonts w:ascii="Times New Roman" w:hAnsi="Times New Roman" w:cs="Times New Roman"/>
          <w:bCs/>
        </w:rPr>
        <w:t xml:space="preserve">in </w:t>
      </w:r>
      <w:r w:rsidR="00C5293D">
        <w:rPr>
          <w:rFonts w:ascii="Times New Roman" w:hAnsi="Times New Roman" w:cs="Times New Roman"/>
          <w:bCs/>
        </w:rPr>
        <w:t>recognition</w:t>
      </w:r>
      <w:r w:rsidR="00AF3EC9">
        <w:rPr>
          <w:rFonts w:ascii="Times New Roman" w:hAnsi="Times New Roman" w:cs="Times New Roman"/>
          <w:bCs/>
        </w:rPr>
        <w:t xml:space="preserve"> of this</w:t>
      </w:r>
      <w:r w:rsidR="00C5293D">
        <w:rPr>
          <w:rFonts w:ascii="Times New Roman" w:hAnsi="Times New Roman" w:cs="Times New Roman"/>
          <w:bCs/>
        </w:rPr>
        <w:t>,</w:t>
      </w:r>
      <w:r w:rsidR="00AF3EC9">
        <w:rPr>
          <w:rFonts w:ascii="Times New Roman" w:hAnsi="Times New Roman" w:cs="Times New Roman"/>
          <w:bCs/>
        </w:rPr>
        <w:t xml:space="preserve"> it seem</w:t>
      </w:r>
      <w:r w:rsidR="00C5293D">
        <w:rPr>
          <w:rFonts w:ascii="Times New Roman" w:hAnsi="Times New Roman" w:cs="Times New Roman"/>
          <w:bCs/>
        </w:rPr>
        <w:t>s</w:t>
      </w:r>
      <w:r w:rsidR="00AF3EC9">
        <w:rPr>
          <w:rFonts w:ascii="Times New Roman" w:hAnsi="Times New Roman" w:cs="Times New Roman"/>
          <w:bCs/>
        </w:rPr>
        <w:t xml:space="preserve"> </w:t>
      </w:r>
      <w:r w:rsidR="00C5293D">
        <w:rPr>
          <w:rFonts w:ascii="Times New Roman" w:hAnsi="Times New Roman" w:cs="Times New Roman"/>
          <w:bCs/>
        </w:rPr>
        <w:t>perverse</w:t>
      </w:r>
      <w:r w:rsidR="00AF3EC9">
        <w:rPr>
          <w:rFonts w:ascii="Times New Roman" w:hAnsi="Times New Roman" w:cs="Times New Roman"/>
          <w:bCs/>
        </w:rPr>
        <w:t xml:space="preserve"> that in securing improvement in </w:t>
      </w:r>
      <w:r w:rsidR="00C5293D">
        <w:rPr>
          <w:rFonts w:ascii="Times New Roman" w:hAnsi="Times New Roman" w:cs="Times New Roman"/>
          <w:bCs/>
        </w:rPr>
        <w:t>biodiversity</w:t>
      </w:r>
      <w:r w:rsidR="00AF3EC9">
        <w:rPr>
          <w:rFonts w:ascii="Times New Roman" w:hAnsi="Times New Roman" w:cs="Times New Roman"/>
          <w:bCs/>
        </w:rPr>
        <w:t xml:space="preserve"> related to that site the developer is then </w:t>
      </w:r>
      <w:r w:rsidR="00C5293D">
        <w:rPr>
          <w:rFonts w:ascii="Times New Roman" w:hAnsi="Times New Roman" w:cs="Times New Roman"/>
          <w:bCs/>
        </w:rPr>
        <w:t xml:space="preserve">required to secure tree provision elsewhere. </w:t>
      </w:r>
    </w:p>
    <w:p w14:paraId="692DA6CF" w14:textId="2A057B0C" w:rsidR="00032E45" w:rsidRPr="0029179F" w:rsidRDefault="003A78CD" w:rsidP="0029179F">
      <w:pPr>
        <w:widowControl/>
        <w:suppressAutoHyphens w:val="0"/>
        <w:autoSpaceDE/>
        <w:spacing w:after="240" w:line="360" w:lineRule="auto"/>
        <w:jc w:val="both"/>
        <w:rPr>
          <w:rFonts w:ascii="Times New Roman" w:hAnsi="Times New Roman" w:cs="Times New Roman"/>
          <w:b/>
        </w:rPr>
      </w:pPr>
      <w:r w:rsidRPr="0029179F">
        <w:rPr>
          <w:rFonts w:ascii="Times New Roman" w:hAnsi="Times New Roman" w:cs="Times New Roman"/>
          <w:b/>
        </w:rPr>
        <w:t>NZ1</w:t>
      </w:r>
      <w:r w:rsidR="009F37A0" w:rsidRPr="0029179F">
        <w:rPr>
          <w:rFonts w:ascii="Times New Roman" w:hAnsi="Times New Roman" w:cs="Times New Roman"/>
          <w:b/>
        </w:rPr>
        <w:t>: Net Zero Carbon Development (in Operation)</w:t>
      </w:r>
    </w:p>
    <w:p w14:paraId="665A76D8" w14:textId="3E0CC1C0" w:rsidR="00F36413" w:rsidRDefault="007E26AC"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As se out </w:t>
      </w:r>
      <w:r w:rsidR="00CB57A8">
        <w:rPr>
          <w:rFonts w:ascii="Times New Roman" w:hAnsi="Times New Roman" w:cs="Times New Roman"/>
          <w:bCs/>
          <w:lang w:val="en-GB"/>
        </w:rPr>
        <w:t xml:space="preserve">above while very little weight can be attached to the current consultation on the NPPF </w:t>
      </w:r>
      <w:r w:rsidR="00765AE1">
        <w:rPr>
          <w:rFonts w:ascii="Times New Roman" w:hAnsi="Times New Roman" w:cs="Times New Roman"/>
          <w:bCs/>
          <w:lang w:val="en-GB"/>
        </w:rPr>
        <w:t xml:space="preserve">careful attention will need to be given to the </w:t>
      </w:r>
      <w:r w:rsidR="00765AE1" w:rsidRPr="00283AB8">
        <w:rPr>
          <w:rFonts w:ascii="Times New Roman" w:hAnsi="Times New Roman" w:cs="Times New Roman"/>
          <w:bCs/>
        </w:rPr>
        <w:t>outcome</w:t>
      </w:r>
      <w:r w:rsidR="00CF4D75" w:rsidRPr="00283AB8">
        <w:rPr>
          <w:rFonts w:ascii="Times New Roman" w:hAnsi="Times New Roman" w:cs="Times New Roman"/>
          <w:bCs/>
        </w:rPr>
        <w:t>s</w:t>
      </w:r>
      <w:r w:rsidR="00CF4D75">
        <w:rPr>
          <w:rFonts w:ascii="Times New Roman" w:hAnsi="Times New Roman" w:cs="Times New Roman"/>
          <w:bCs/>
          <w:lang w:val="en-GB"/>
        </w:rPr>
        <w:t xml:space="preserve"> of the consultation and the final document that is adopted</w:t>
      </w:r>
      <w:r w:rsidR="00EA68D8">
        <w:rPr>
          <w:rFonts w:ascii="Times New Roman" w:hAnsi="Times New Roman" w:cs="Times New Roman"/>
          <w:bCs/>
          <w:lang w:val="en-GB"/>
        </w:rPr>
        <w:t xml:space="preserve">. With regard to standards related to </w:t>
      </w:r>
      <w:r w:rsidR="00046AA0">
        <w:rPr>
          <w:rFonts w:ascii="Times New Roman" w:hAnsi="Times New Roman" w:cs="Times New Roman"/>
          <w:bCs/>
          <w:lang w:val="en-GB"/>
        </w:rPr>
        <w:t xml:space="preserve">carbon emission and energy </w:t>
      </w:r>
      <w:r w:rsidR="00862EBB">
        <w:rPr>
          <w:rFonts w:ascii="Times New Roman" w:hAnsi="Times New Roman" w:cs="Times New Roman"/>
          <w:bCs/>
          <w:lang w:val="en-GB"/>
        </w:rPr>
        <w:t>efficiency</w:t>
      </w:r>
      <w:r w:rsidR="00046AA0">
        <w:rPr>
          <w:rFonts w:ascii="Times New Roman" w:hAnsi="Times New Roman" w:cs="Times New Roman"/>
          <w:bCs/>
          <w:lang w:val="en-GB"/>
        </w:rPr>
        <w:t xml:space="preserve"> </w:t>
      </w:r>
      <w:r w:rsidR="00862EBB">
        <w:rPr>
          <w:rFonts w:ascii="Times New Roman" w:hAnsi="Times New Roman" w:cs="Times New Roman"/>
          <w:bCs/>
          <w:lang w:val="en-GB"/>
        </w:rPr>
        <w:t>standards</w:t>
      </w:r>
      <w:r w:rsidR="00046AA0">
        <w:rPr>
          <w:rFonts w:ascii="Times New Roman" w:hAnsi="Times New Roman" w:cs="Times New Roman"/>
          <w:bCs/>
          <w:lang w:val="en-GB"/>
        </w:rPr>
        <w:t xml:space="preserve"> consideration will need to be given to </w:t>
      </w:r>
      <w:r w:rsidR="00DD4B14">
        <w:rPr>
          <w:rFonts w:ascii="Times New Roman" w:hAnsi="Times New Roman" w:cs="Times New Roman"/>
          <w:bCs/>
          <w:lang w:val="en-GB"/>
        </w:rPr>
        <w:t>PM13</w:t>
      </w:r>
      <w:r w:rsidR="00F154AA">
        <w:rPr>
          <w:rFonts w:ascii="Times New Roman" w:hAnsi="Times New Roman" w:cs="Times New Roman"/>
          <w:bCs/>
          <w:lang w:val="en-GB"/>
        </w:rPr>
        <w:t xml:space="preserve"> which states </w:t>
      </w:r>
      <w:r w:rsidR="0058167F">
        <w:rPr>
          <w:rFonts w:ascii="Times New Roman" w:hAnsi="Times New Roman" w:cs="Times New Roman"/>
          <w:bCs/>
          <w:lang w:val="en-GB"/>
        </w:rPr>
        <w:t xml:space="preserve">that </w:t>
      </w:r>
      <w:r w:rsidR="00CF45EC">
        <w:rPr>
          <w:rFonts w:ascii="Times New Roman" w:hAnsi="Times New Roman" w:cs="Times New Roman"/>
          <w:bCs/>
          <w:lang w:val="en-GB"/>
        </w:rPr>
        <w:t xml:space="preserve">other than standards for </w:t>
      </w:r>
      <w:r w:rsidR="00A904F9">
        <w:rPr>
          <w:rFonts w:ascii="Times New Roman" w:hAnsi="Times New Roman" w:cs="Times New Roman"/>
          <w:bCs/>
          <w:lang w:val="en-GB"/>
        </w:rPr>
        <w:t>accessibility</w:t>
      </w:r>
      <w:r w:rsidR="00CF45EC">
        <w:rPr>
          <w:rFonts w:ascii="Times New Roman" w:hAnsi="Times New Roman" w:cs="Times New Roman"/>
          <w:bCs/>
          <w:lang w:val="en-GB"/>
        </w:rPr>
        <w:t xml:space="preserve">, water </w:t>
      </w:r>
      <w:r w:rsidR="00A904F9">
        <w:rPr>
          <w:rFonts w:ascii="Times New Roman" w:hAnsi="Times New Roman" w:cs="Times New Roman"/>
          <w:bCs/>
          <w:lang w:val="en-GB"/>
        </w:rPr>
        <w:t>efficiency</w:t>
      </w:r>
      <w:r w:rsidR="00CF45EC">
        <w:rPr>
          <w:rFonts w:ascii="Times New Roman" w:hAnsi="Times New Roman" w:cs="Times New Roman"/>
          <w:bCs/>
          <w:lang w:val="en-GB"/>
        </w:rPr>
        <w:t xml:space="preserve"> and </w:t>
      </w:r>
      <w:r w:rsidR="00A904F9">
        <w:rPr>
          <w:rFonts w:ascii="Times New Roman" w:hAnsi="Times New Roman" w:cs="Times New Roman"/>
          <w:bCs/>
          <w:lang w:val="en-GB"/>
        </w:rPr>
        <w:t xml:space="preserve">nationally described space standards local plans should not cover matters already addressed in building regulations. </w:t>
      </w:r>
      <w:r w:rsidR="00883B11">
        <w:rPr>
          <w:rFonts w:ascii="Times New Roman" w:hAnsi="Times New Roman" w:cs="Times New Roman"/>
          <w:bCs/>
          <w:lang w:val="en-GB"/>
        </w:rPr>
        <w:t>In addition, i</w:t>
      </w:r>
      <w:r w:rsidR="00883B11" w:rsidRPr="00AD5448">
        <w:rPr>
          <w:rFonts w:ascii="Times New Roman" w:hAnsi="Times New Roman" w:cs="Times New Roman"/>
          <w:bCs/>
          <w:lang w:val="en-GB"/>
        </w:rPr>
        <w:t>t is also notable that the latest consultation on the NPPF proposes to amend the Planning and Energy Act 2008 in relation to the setting of local energy efficiency standards that go beyond building regulations</w:t>
      </w:r>
      <w:r w:rsidR="00CD0937">
        <w:rPr>
          <w:rFonts w:ascii="Times New Roman" w:hAnsi="Times New Roman" w:cs="Times New Roman"/>
          <w:bCs/>
          <w:lang w:val="en-GB"/>
        </w:rPr>
        <w:t xml:space="preserve"> </w:t>
      </w:r>
      <w:r w:rsidR="00CD0937" w:rsidRPr="00CD0937">
        <w:rPr>
          <w:rFonts w:ascii="Times New Roman" w:hAnsi="Times New Roman" w:cs="Times New Roman"/>
          <w:bCs/>
          <w:lang w:val="en-GB"/>
        </w:rPr>
        <w:t>to make clear that local plans should not set higher energy efficiency standards for residential development.</w:t>
      </w:r>
      <w:r w:rsidR="008459A4">
        <w:rPr>
          <w:rFonts w:ascii="Times New Roman" w:hAnsi="Times New Roman" w:cs="Times New Roman"/>
          <w:bCs/>
          <w:lang w:val="en-GB"/>
        </w:rPr>
        <w:t xml:space="preserve"> Once adopted the NPPF would also replace the </w:t>
      </w:r>
      <w:r w:rsidR="008459A4" w:rsidRPr="008459A4">
        <w:rPr>
          <w:rFonts w:ascii="Times New Roman" w:hAnsi="Times New Roman" w:cs="Times New Roman"/>
          <w:bCs/>
          <w:lang w:val="en-GB"/>
        </w:rPr>
        <w:t>2023 Written Ministerial Statement</w:t>
      </w:r>
      <w:r w:rsidR="003A3913">
        <w:rPr>
          <w:rFonts w:ascii="Times New Roman" w:hAnsi="Times New Roman" w:cs="Times New Roman"/>
          <w:bCs/>
          <w:lang w:val="en-GB"/>
        </w:rPr>
        <w:t xml:space="preserve"> (WMS)</w:t>
      </w:r>
      <w:r w:rsidR="008459A4" w:rsidRPr="008459A4">
        <w:rPr>
          <w:rFonts w:ascii="Times New Roman" w:hAnsi="Times New Roman" w:cs="Times New Roman"/>
          <w:bCs/>
          <w:lang w:val="en-GB"/>
        </w:rPr>
        <w:t xml:space="preserve"> </w:t>
      </w:r>
      <w:r w:rsidR="00F36413">
        <w:rPr>
          <w:rFonts w:ascii="Times New Roman" w:hAnsi="Times New Roman" w:cs="Times New Roman"/>
          <w:bCs/>
          <w:lang w:val="en-GB"/>
        </w:rPr>
        <w:t>‘</w:t>
      </w:r>
      <w:r w:rsidR="008459A4" w:rsidRPr="00F36413">
        <w:rPr>
          <w:rFonts w:ascii="Times New Roman" w:hAnsi="Times New Roman" w:cs="Times New Roman"/>
          <w:bCs/>
          <w:lang w:val="en-GB"/>
        </w:rPr>
        <w:t>Planning</w:t>
      </w:r>
      <w:r w:rsidR="008459A4" w:rsidRPr="008459A4">
        <w:rPr>
          <w:rFonts w:ascii="Times New Roman" w:hAnsi="Times New Roman" w:cs="Times New Roman"/>
          <w:bCs/>
          <w:i/>
          <w:iCs/>
          <w:lang w:val="en-GB"/>
        </w:rPr>
        <w:t xml:space="preserve"> – </w:t>
      </w:r>
      <w:r w:rsidR="008459A4" w:rsidRPr="008459A4">
        <w:rPr>
          <w:rFonts w:ascii="Times New Roman" w:hAnsi="Times New Roman" w:cs="Times New Roman"/>
          <w:bCs/>
          <w:lang w:val="en-GB"/>
        </w:rPr>
        <w:t>Local Energy Efficiency Standards Update</w:t>
      </w:r>
      <w:r w:rsidR="00F36413">
        <w:rPr>
          <w:rFonts w:ascii="Times New Roman" w:hAnsi="Times New Roman" w:cs="Times New Roman"/>
          <w:bCs/>
          <w:lang w:val="en-GB"/>
        </w:rPr>
        <w:t>’</w:t>
      </w:r>
      <w:r w:rsidR="008459A4">
        <w:rPr>
          <w:rFonts w:ascii="Times New Roman" w:hAnsi="Times New Roman" w:cs="Times New Roman"/>
          <w:bCs/>
          <w:i/>
          <w:iCs/>
          <w:lang w:val="en-GB"/>
        </w:rPr>
        <w:t>.</w:t>
      </w:r>
      <w:r w:rsidR="00637BFC">
        <w:rPr>
          <w:rFonts w:ascii="Times New Roman" w:hAnsi="Times New Roman" w:cs="Times New Roman"/>
          <w:bCs/>
          <w:lang w:val="en-GB"/>
        </w:rPr>
        <w:t xml:space="preserve"> As such </w:t>
      </w:r>
      <w:r w:rsidR="00F36413">
        <w:rPr>
          <w:rFonts w:ascii="Times New Roman" w:hAnsi="Times New Roman" w:cs="Times New Roman"/>
          <w:bCs/>
          <w:lang w:val="en-GB"/>
        </w:rPr>
        <w:t>I</w:t>
      </w:r>
      <w:r w:rsidR="00C31F31">
        <w:rPr>
          <w:rFonts w:ascii="Times New Roman" w:hAnsi="Times New Roman" w:cs="Times New Roman"/>
          <w:bCs/>
          <w:lang w:val="en-GB"/>
        </w:rPr>
        <w:t xml:space="preserve">f PM13 remains both NZ2 and </w:t>
      </w:r>
      <w:r w:rsidR="006556E4">
        <w:rPr>
          <w:rFonts w:ascii="Times New Roman" w:hAnsi="Times New Roman" w:cs="Times New Roman"/>
          <w:bCs/>
          <w:lang w:val="en-GB"/>
        </w:rPr>
        <w:t xml:space="preserve">NZ3 would be inconsistent with national policy </w:t>
      </w:r>
      <w:r w:rsidR="005404C9">
        <w:rPr>
          <w:rFonts w:ascii="Times New Roman" w:hAnsi="Times New Roman" w:cs="Times New Roman"/>
          <w:bCs/>
          <w:lang w:val="en-GB"/>
        </w:rPr>
        <w:t xml:space="preserve">from the point at </w:t>
      </w:r>
      <w:r w:rsidR="009222A4">
        <w:rPr>
          <w:rFonts w:ascii="Times New Roman" w:hAnsi="Times New Roman" w:cs="Times New Roman"/>
          <w:bCs/>
          <w:lang w:val="en-GB"/>
        </w:rPr>
        <w:t xml:space="preserve">which the new NPPF is adopted with limited weight being given to these policies with decision making. </w:t>
      </w:r>
      <w:r w:rsidR="00676813">
        <w:rPr>
          <w:rFonts w:ascii="Times New Roman" w:hAnsi="Times New Roman" w:cs="Times New Roman"/>
          <w:bCs/>
          <w:lang w:val="en-GB"/>
        </w:rPr>
        <w:t xml:space="preserve">In such a situation HBF would suggest that these </w:t>
      </w:r>
      <w:r w:rsidR="0007187D">
        <w:rPr>
          <w:rFonts w:ascii="Times New Roman" w:hAnsi="Times New Roman" w:cs="Times New Roman"/>
          <w:bCs/>
          <w:lang w:val="en-GB"/>
        </w:rPr>
        <w:t>policies</w:t>
      </w:r>
      <w:r w:rsidR="00676813">
        <w:rPr>
          <w:rFonts w:ascii="Times New Roman" w:hAnsi="Times New Roman" w:cs="Times New Roman"/>
          <w:bCs/>
          <w:lang w:val="en-GB"/>
        </w:rPr>
        <w:t xml:space="preserve"> are deleted</w:t>
      </w:r>
      <w:r w:rsidR="0007187D">
        <w:rPr>
          <w:rFonts w:ascii="Times New Roman" w:hAnsi="Times New Roman" w:cs="Times New Roman"/>
          <w:bCs/>
          <w:lang w:val="en-GB"/>
        </w:rPr>
        <w:t xml:space="preserve">. </w:t>
      </w:r>
    </w:p>
    <w:p w14:paraId="14F53DD2" w14:textId="50498777" w:rsidR="00EF2467" w:rsidRPr="00EF2467" w:rsidRDefault="0007187D"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lastRenderedPageBreak/>
        <w:t xml:space="preserve">However, at present </w:t>
      </w:r>
      <w:r w:rsidR="003A3913">
        <w:rPr>
          <w:rFonts w:ascii="Times New Roman" w:hAnsi="Times New Roman" w:cs="Times New Roman"/>
          <w:bCs/>
          <w:lang w:val="en-GB"/>
        </w:rPr>
        <w:t>the P</w:t>
      </w:r>
      <w:r w:rsidR="00F305CC">
        <w:rPr>
          <w:rFonts w:ascii="Times New Roman" w:hAnsi="Times New Roman" w:cs="Times New Roman"/>
          <w:bCs/>
          <w:lang w:val="en-GB"/>
        </w:rPr>
        <w:t>l</w:t>
      </w:r>
      <w:r w:rsidR="003A3913">
        <w:rPr>
          <w:rFonts w:ascii="Times New Roman" w:hAnsi="Times New Roman" w:cs="Times New Roman"/>
          <w:bCs/>
          <w:lang w:val="en-GB"/>
        </w:rPr>
        <w:t>anning and En</w:t>
      </w:r>
      <w:r w:rsidR="00D757E3">
        <w:rPr>
          <w:rFonts w:ascii="Times New Roman" w:hAnsi="Times New Roman" w:cs="Times New Roman"/>
          <w:bCs/>
          <w:lang w:val="en-GB"/>
        </w:rPr>
        <w:t>erg</w:t>
      </w:r>
      <w:r w:rsidR="003A3913">
        <w:rPr>
          <w:rFonts w:ascii="Times New Roman" w:hAnsi="Times New Roman" w:cs="Times New Roman"/>
          <w:bCs/>
          <w:lang w:val="en-GB"/>
        </w:rPr>
        <w:t>y Act 2008 and the WMS</w:t>
      </w:r>
      <w:r w:rsidR="00D757E3">
        <w:rPr>
          <w:rFonts w:ascii="Times New Roman" w:hAnsi="Times New Roman" w:cs="Times New Roman"/>
          <w:bCs/>
          <w:lang w:val="en-GB"/>
        </w:rPr>
        <w:t xml:space="preserve"> allow </w:t>
      </w:r>
      <w:r w:rsidR="00DA78A5">
        <w:rPr>
          <w:rFonts w:ascii="Times New Roman" w:hAnsi="Times New Roman" w:cs="Times New Roman"/>
          <w:bCs/>
          <w:lang w:val="en-GB"/>
        </w:rPr>
        <w:t>local planning authorities to set standards that are higher than building regulations</w:t>
      </w:r>
      <w:r w:rsidR="00B6069C">
        <w:rPr>
          <w:rFonts w:ascii="Times New Roman" w:hAnsi="Times New Roman" w:cs="Times New Roman"/>
          <w:bCs/>
          <w:lang w:val="en-GB"/>
        </w:rPr>
        <w:t xml:space="preserve">, with </w:t>
      </w:r>
      <w:r w:rsidR="00F305CC">
        <w:rPr>
          <w:rFonts w:ascii="Times New Roman" w:hAnsi="Times New Roman" w:cs="Times New Roman"/>
          <w:bCs/>
          <w:lang w:val="en-GB"/>
        </w:rPr>
        <w:t xml:space="preserve">the WMS </w:t>
      </w:r>
      <w:r w:rsidR="00EF2467" w:rsidRPr="00EF2467">
        <w:rPr>
          <w:rFonts w:ascii="Times New Roman" w:hAnsi="Times New Roman" w:cs="Times New Roman"/>
          <w:bCs/>
          <w:lang w:val="en-GB"/>
        </w:rPr>
        <w:t>not</w:t>
      </w:r>
      <w:r w:rsidR="00B6069C">
        <w:rPr>
          <w:rFonts w:ascii="Times New Roman" w:hAnsi="Times New Roman" w:cs="Times New Roman"/>
          <w:bCs/>
          <w:lang w:val="en-GB"/>
        </w:rPr>
        <w:t>ing</w:t>
      </w:r>
      <w:r w:rsidR="00EF2467" w:rsidRPr="00EF2467">
        <w:rPr>
          <w:rFonts w:ascii="Times New Roman" w:hAnsi="Times New Roman" w:cs="Times New Roman"/>
          <w:bCs/>
          <w:lang w:val="en-GB"/>
        </w:rPr>
        <w:t xml:space="preserve"> that “</w:t>
      </w:r>
      <w:r w:rsidR="00EF2467" w:rsidRPr="00EF2467">
        <w:rPr>
          <w:rFonts w:ascii="Times New Roman" w:hAnsi="Times New Roman" w:cs="Times New Roman"/>
          <w:bCs/>
          <w:i/>
          <w:iCs/>
          <w:lang w:val="en-GB"/>
        </w:rPr>
        <w:t xml:space="preserve">Compared to varied local standards nationally applied standards </w:t>
      </w:r>
      <w:r w:rsidR="00EF2467" w:rsidRPr="00283AB8">
        <w:rPr>
          <w:rFonts w:ascii="Times New Roman" w:hAnsi="Times New Roman" w:cs="Times New Roman"/>
          <w:bCs/>
        </w:rPr>
        <w:t>provide</w:t>
      </w:r>
      <w:r w:rsidR="00EF2467" w:rsidRPr="00EF2467">
        <w:rPr>
          <w:rFonts w:ascii="Times New Roman" w:hAnsi="Times New Roman" w:cs="Times New Roman"/>
          <w:bCs/>
          <w:i/>
          <w:iCs/>
          <w:lang w:val="en-GB"/>
        </w:rPr>
        <w:t xml:space="preserve"> much-needed clarity and consistency for businesses, large and small, to invest and prepare to build net-zero ready homes</w:t>
      </w:r>
      <w:r w:rsidR="00EF2467" w:rsidRPr="00EF2467">
        <w:rPr>
          <w:rFonts w:ascii="Times New Roman" w:hAnsi="Times New Roman" w:cs="Times New Roman"/>
          <w:bCs/>
          <w:lang w:val="en-GB"/>
        </w:rPr>
        <w:t>” and that local standards can “</w:t>
      </w:r>
      <w:r w:rsidR="00EF2467" w:rsidRPr="00EF2467">
        <w:rPr>
          <w:rFonts w:ascii="Times New Roman" w:hAnsi="Times New Roman" w:cs="Times New Roman"/>
          <w:bCs/>
          <w:i/>
          <w:iCs/>
          <w:lang w:val="en-GB"/>
        </w:rPr>
        <w:t>add further costs to building new homes by adding complexity and undermining economies of scale</w:t>
      </w:r>
      <w:r w:rsidR="00EF2467" w:rsidRPr="00EF2467">
        <w:rPr>
          <w:rFonts w:ascii="Times New Roman" w:hAnsi="Times New Roman" w:cs="Times New Roman"/>
          <w:bCs/>
          <w:lang w:val="en-GB"/>
        </w:rPr>
        <w:t xml:space="preserve">”. </w:t>
      </w:r>
      <w:r w:rsidR="00072E0B">
        <w:rPr>
          <w:rFonts w:ascii="Times New Roman" w:hAnsi="Times New Roman" w:cs="Times New Roman"/>
          <w:bCs/>
          <w:lang w:val="en-GB"/>
        </w:rPr>
        <w:t>A</w:t>
      </w:r>
      <w:r w:rsidR="00EF2467" w:rsidRPr="00EF2467">
        <w:rPr>
          <w:rFonts w:ascii="Times New Roman" w:hAnsi="Times New Roman" w:cs="Times New Roman"/>
          <w:bCs/>
          <w:lang w:val="en-GB"/>
        </w:rPr>
        <w:t xml:space="preserve">fter </w:t>
      </w:r>
      <w:r w:rsidR="00B6069C">
        <w:rPr>
          <w:rFonts w:ascii="Times New Roman" w:hAnsi="Times New Roman" w:cs="Times New Roman"/>
          <w:bCs/>
          <w:lang w:val="en-GB"/>
        </w:rPr>
        <w:t>setting out</w:t>
      </w:r>
      <w:r w:rsidR="00EF2467" w:rsidRPr="00EF2467">
        <w:rPr>
          <w:rFonts w:ascii="Times New Roman" w:hAnsi="Times New Roman" w:cs="Times New Roman"/>
          <w:bCs/>
          <w:lang w:val="en-GB"/>
        </w:rPr>
        <w:t xml:space="preserve"> these concerns, the 2023 WMS </w:t>
      </w:r>
      <w:r w:rsidR="00B6069C">
        <w:rPr>
          <w:rFonts w:ascii="Times New Roman" w:hAnsi="Times New Roman" w:cs="Times New Roman"/>
          <w:bCs/>
          <w:lang w:val="en-GB"/>
        </w:rPr>
        <w:t>does go</w:t>
      </w:r>
      <w:r w:rsidR="00EF2467" w:rsidRPr="00EF2467">
        <w:rPr>
          <w:rFonts w:ascii="Times New Roman" w:hAnsi="Times New Roman" w:cs="Times New Roman"/>
          <w:bCs/>
          <w:lang w:val="en-GB"/>
        </w:rPr>
        <w:t xml:space="preserve"> on to state that any standard that goes beyond building regulations should be rejected at examination </w:t>
      </w:r>
      <w:r w:rsidR="00B6069C">
        <w:rPr>
          <w:rFonts w:ascii="Times New Roman" w:hAnsi="Times New Roman" w:cs="Times New Roman"/>
          <w:bCs/>
          <w:lang w:val="en-GB"/>
        </w:rPr>
        <w:t>unless</w:t>
      </w:r>
      <w:r w:rsidR="00EF2467" w:rsidRPr="00EF2467">
        <w:rPr>
          <w:rFonts w:ascii="Times New Roman" w:hAnsi="Times New Roman" w:cs="Times New Roman"/>
          <w:bCs/>
          <w:lang w:val="en-GB"/>
        </w:rPr>
        <w:t xml:space="preserve"> the LPA does not have a well-reasoned and robustly costed rationale that ensures:</w:t>
      </w:r>
    </w:p>
    <w:p w14:paraId="1F515B23" w14:textId="77777777" w:rsidR="00EF2467" w:rsidRPr="00C36295" w:rsidRDefault="00EF2467" w:rsidP="00283AB8">
      <w:pPr>
        <w:pStyle w:val="ListParagraph"/>
        <w:widowControl/>
        <w:numPr>
          <w:ilvl w:val="0"/>
          <w:numId w:val="6"/>
        </w:numPr>
        <w:suppressAutoHyphens w:val="0"/>
        <w:autoSpaceDE/>
        <w:spacing w:line="360" w:lineRule="auto"/>
        <w:ind w:left="1276"/>
        <w:jc w:val="both"/>
        <w:rPr>
          <w:rFonts w:ascii="Times New Roman" w:hAnsi="Times New Roman" w:cs="Times New Roman"/>
          <w:bCs/>
          <w:lang w:val="en-GB"/>
        </w:rPr>
      </w:pPr>
      <w:r w:rsidRPr="00C36295">
        <w:rPr>
          <w:rFonts w:ascii="Times New Roman" w:hAnsi="Times New Roman" w:cs="Times New Roman"/>
          <w:bCs/>
          <w:lang w:val="en-GB"/>
        </w:rPr>
        <w:t>That development remains viable, and the impact on housing supply and affordability is considered in accordance with the National Planning Policy Framework.</w:t>
      </w:r>
    </w:p>
    <w:p w14:paraId="0F2209E3" w14:textId="77777777" w:rsidR="00EF2467" w:rsidRPr="00C36295" w:rsidRDefault="00EF2467" w:rsidP="00283AB8">
      <w:pPr>
        <w:pStyle w:val="ListParagraph"/>
        <w:widowControl/>
        <w:numPr>
          <w:ilvl w:val="0"/>
          <w:numId w:val="6"/>
        </w:numPr>
        <w:suppressAutoHyphens w:val="0"/>
        <w:autoSpaceDE/>
        <w:spacing w:after="240" w:line="360" w:lineRule="auto"/>
        <w:ind w:left="1276"/>
        <w:jc w:val="both"/>
        <w:rPr>
          <w:rFonts w:ascii="Times New Roman" w:hAnsi="Times New Roman" w:cs="Times New Roman"/>
          <w:bCs/>
          <w:lang w:val="en-GB"/>
        </w:rPr>
      </w:pPr>
      <w:r w:rsidRPr="00C36295">
        <w:rPr>
          <w:rFonts w:ascii="Times New Roman" w:hAnsi="Times New Roman" w:cs="Times New Roman"/>
          <w:bCs/>
          <w:lang w:val="en-GB"/>
        </w:rPr>
        <w:t>The additional requirement is expressed as a percentage uplift of a dwelling’s Target Emissions Rate (TER) calculated using a specified version of the Standard Assessment Procedure (SAP).</w:t>
      </w:r>
    </w:p>
    <w:p w14:paraId="3B366277" w14:textId="49B055F6" w:rsidR="007A15B6" w:rsidRPr="007A15B6" w:rsidRDefault="007A15B6"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7A15B6">
        <w:rPr>
          <w:rFonts w:ascii="Times New Roman" w:hAnsi="Times New Roman" w:cs="Times New Roman"/>
          <w:bCs/>
        </w:rPr>
        <w:t>HBF do not consider the approach set out in NZ1 to be consistent with the WMS nor that the implications of such a policy have been properly assessed in the supporting evidence base. Our detailed points are set out below.</w:t>
      </w:r>
    </w:p>
    <w:p w14:paraId="29B98C7A" w14:textId="43A217C2" w:rsidR="009C451E" w:rsidRDefault="007A15B6"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7A15B6">
        <w:rPr>
          <w:rFonts w:ascii="Times New Roman" w:hAnsi="Times New Roman" w:cs="Times New Roman"/>
          <w:bCs/>
        </w:rPr>
        <w:t xml:space="preserve">The approach proposed by the Councils based on energy use is inconsistent with the approach set out in the WMS and as such is unsound. </w:t>
      </w:r>
      <w:r w:rsidR="00A448B3">
        <w:rPr>
          <w:rFonts w:ascii="Times New Roman" w:hAnsi="Times New Roman" w:cs="Times New Roman"/>
          <w:bCs/>
        </w:rPr>
        <w:t xml:space="preserve">The intention of the WMS and the Planning and Energy Act was to enable local </w:t>
      </w:r>
      <w:r w:rsidR="002D0F6E">
        <w:rPr>
          <w:rFonts w:ascii="Times New Roman" w:hAnsi="Times New Roman" w:cs="Times New Roman"/>
          <w:bCs/>
        </w:rPr>
        <w:t>authorities</w:t>
      </w:r>
      <w:r w:rsidR="00A448B3">
        <w:rPr>
          <w:rFonts w:ascii="Times New Roman" w:hAnsi="Times New Roman" w:cs="Times New Roman"/>
          <w:bCs/>
        </w:rPr>
        <w:t xml:space="preserve"> to go beyond building regulations but not to set wholly new standards. This was </w:t>
      </w:r>
      <w:r w:rsidR="00122DDE">
        <w:rPr>
          <w:rFonts w:ascii="Times New Roman" w:hAnsi="Times New Roman" w:cs="Times New Roman"/>
          <w:bCs/>
        </w:rPr>
        <w:t xml:space="preserve">noted in by </w:t>
      </w:r>
      <w:r w:rsidR="008322D8">
        <w:rPr>
          <w:rFonts w:ascii="Times New Roman" w:hAnsi="Times New Roman" w:cs="Times New Roman"/>
          <w:bCs/>
        </w:rPr>
        <w:t>Justice</w:t>
      </w:r>
      <w:r w:rsidR="00122DDE">
        <w:rPr>
          <w:rFonts w:ascii="Times New Roman" w:hAnsi="Times New Roman" w:cs="Times New Roman"/>
          <w:bCs/>
        </w:rPr>
        <w:t xml:space="preserve"> Lieven</w:t>
      </w:r>
      <w:r w:rsidR="008322D8">
        <w:rPr>
          <w:rFonts w:ascii="Times New Roman" w:hAnsi="Times New Roman" w:cs="Times New Roman"/>
          <w:bCs/>
        </w:rPr>
        <w:t xml:space="preserve">’s decision which referred to </w:t>
      </w:r>
      <w:r w:rsidR="00523709">
        <w:rPr>
          <w:rFonts w:ascii="Times New Roman" w:hAnsi="Times New Roman" w:cs="Times New Roman"/>
          <w:bCs/>
        </w:rPr>
        <w:t xml:space="preserve">statement by the </w:t>
      </w:r>
      <w:r w:rsidR="00E03655">
        <w:rPr>
          <w:rFonts w:ascii="Times New Roman" w:hAnsi="Times New Roman" w:cs="Times New Roman"/>
          <w:bCs/>
        </w:rPr>
        <w:t>Minister</w:t>
      </w:r>
      <w:r w:rsidR="00523709">
        <w:rPr>
          <w:rFonts w:ascii="Times New Roman" w:hAnsi="Times New Roman" w:cs="Times New Roman"/>
          <w:bCs/>
        </w:rPr>
        <w:t xml:space="preserve"> at the time </w:t>
      </w:r>
      <w:r w:rsidR="00E03655">
        <w:rPr>
          <w:rFonts w:ascii="Times New Roman" w:hAnsi="Times New Roman" w:cs="Times New Roman"/>
          <w:bCs/>
        </w:rPr>
        <w:t xml:space="preserve">where the </w:t>
      </w:r>
      <w:r w:rsidR="002D0F6E">
        <w:rPr>
          <w:rFonts w:ascii="Times New Roman" w:hAnsi="Times New Roman" w:cs="Times New Roman"/>
          <w:bCs/>
        </w:rPr>
        <w:t>minister</w:t>
      </w:r>
      <w:r w:rsidR="00E03655">
        <w:rPr>
          <w:rFonts w:ascii="Times New Roman" w:hAnsi="Times New Roman" w:cs="Times New Roman"/>
          <w:bCs/>
        </w:rPr>
        <w:t xml:space="preserve"> confirmed</w:t>
      </w:r>
      <w:r w:rsidR="00912D34">
        <w:rPr>
          <w:rFonts w:ascii="Times New Roman" w:hAnsi="Times New Roman" w:cs="Times New Roman"/>
          <w:bCs/>
        </w:rPr>
        <w:t xml:space="preserve"> that</w:t>
      </w:r>
      <w:r w:rsidR="00523709">
        <w:rPr>
          <w:rFonts w:ascii="Times New Roman" w:hAnsi="Times New Roman" w:cs="Times New Roman"/>
          <w:bCs/>
        </w:rPr>
        <w:t xml:space="preserve"> </w:t>
      </w:r>
      <w:r w:rsidR="002D0F6E">
        <w:rPr>
          <w:rFonts w:ascii="Times New Roman" w:hAnsi="Times New Roman" w:cs="Times New Roman"/>
          <w:bCs/>
        </w:rPr>
        <w:t>councils</w:t>
      </w:r>
      <w:r w:rsidR="00912D34">
        <w:rPr>
          <w:rFonts w:ascii="Times New Roman" w:hAnsi="Times New Roman" w:cs="Times New Roman"/>
          <w:bCs/>
        </w:rPr>
        <w:t xml:space="preserve"> “can go further and </w:t>
      </w:r>
      <w:r w:rsidR="002D0F6E">
        <w:rPr>
          <w:rFonts w:ascii="Times New Roman" w:hAnsi="Times New Roman" w:cs="Times New Roman"/>
          <w:bCs/>
        </w:rPr>
        <w:t>faster</w:t>
      </w:r>
      <w:r w:rsidR="00912D34">
        <w:rPr>
          <w:rFonts w:ascii="Times New Roman" w:hAnsi="Times New Roman" w:cs="Times New Roman"/>
          <w:bCs/>
        </w:rPr>
        <w:t xml:space="preserve"> </w:t>
      </w:r>
      <w:r w:rsidR="002D0F6E">
        <w:rPr>
          <w:rFonts w:ascii="Times New Roman" w:hAnsi="Times New Roman" w:cs="Times New Roman"/>
          <w:bCs/>
        </w:rPr>
        <w:t>than</w:t>
      </w:r>
      <w:r w:rsidR="00912D34">
        <w:rPr>
          <w:rFonts w:ascii="Times New Roman" w:hAnsi="Times New Roman" w:cs="Times New Roman"/>
          <w:bCs/>
        </w:rPr>
        <w:t xml:space="preserve"> building regulation</w:t>
      </w:r>
      <w:r w:rsidR="002B41E7">
        <w:rPr>
          <w:rFonts w:ascii="Times New Roman" w:hAnsi="Times New Roman" w:cs="Times New Roman"/>
          <w:bCs/>
        </w:rPr>
        <w:t xml:space="preserve">s, but </w:t>
      </w:r>
      <w:r w:rsidR="002D0F6E">
        <w:rPr>
          <w:rFonts w:ascii="Times New Roman" w:hAnsi="Times New Roman" w:cs="Times New Roman"/>
          <w:bCs/>
        </w:rPr>
        <w:t>within the</w:t>
      </w:r>
      <w:r w:rsidR="002B41E7">
        <w:rPr>
          <w:rFonts w:ascii="Times New Roman" w:hAnsi="Times New Roman" w:cs="Times New Roman"/>
          <w:bCs/>
        </w:rPr>
        <w:t xml:space="preserve"> national framework” and </w:t>
      </w:r>
      <w:r w:rsidR="001C39A0">
        <w:rPr>
          <w:rFonts w:ascii="Times New Roman" w:hAnsi="Times New Roman" w:cs="Times New Roman"/>
          <w:bCs/>
        </w:rPr>
        <w:t xml:space="preserve">that the intention </w:t>
      </w:r>
      <w:r w:rsidR="002A309E" w:rsidRPr="002A309E">
        <w:rPr>
          <w:rFonts w:ascii="Times New Roman" w:hAnsi="Times New Roman" w:cs="Times New Roman"/>
          <w:bCs/>
        </w:rPr>
        <w:t xml:space="preserve">was for </w:t>
      </w:r>
      <w:r w:rsidR="002A309E" w:rsidRPr="002A309E">
        <w:rPr>
          <w:rFonts w:ascii="Times New Roman" w:hAnsi="Times New Roman" w:cs="Times New Roman"/>
          <w:bCs/>
          <w:i/>
          <w:iCs/>
        </w:rPr>
        <w:t>“… local authorities, in setting energy efficiency standards, to choose only those standards that have been set out or referred to in regulations made by the Secretary of State, or which are set out or endorsed in national policies or guidance issued by the Secretary of State. That approach was taken with a view to avoiding the fragmentation of building standards, which could lead to different standards applying in different areas of the country</w:t>
      </w:r>
      <w:r w:rsidR="00A46677">
        <w:rPr>
          <w:rFonts w:ascii="Times New Roman" w:hAnsi="Times New Roman" w:cs="Times New Roman"/>
          <w:bCs/>
          <w:i/>
          <w:iCs/>
        </w:rPr>
        <w:t xml:space="preserve"> …</w:t>
      </w:r>
      <w:r w:rsidR="00A46677">
        <w:rPr>
          <w:rFonts w:ascii="Times New Roman" w:hAnsi="Times New Roman" w:cs="Times New Roman"/>
          <w:bCs/>
        </w:rPr>
        <w:t>”</w:t>
      </w:r>
      <w:r w:rsidR="002A309E">
        <w:rPr>
          <w:rFonts w:ascii="Times New Roman" w:hAnsi="Times New Roman" w:cs="Times New Roman"/>
          <w:bCs/>
          <w:i/>
          <w:iCs/>
        </w:rPr>
        <w:t>.</w:t>
      </w:r>
      <w:r w:rsidR="002A309E" w:rsidRPr="002A309E">
        <w:rPr>
          <w:rFonts w:ascii="Times New Roman" w:hAnsi="Times New Roman" w:cs="Times New Roman"/>
          <w:bCs/>
        </w:rPr>
        <w:t xml:space="preserve"> </w:t>
      </w:r>
    </w:p>
    <w:p w14:paraId="20D04D72" w14:textId="1E848F89" w:rsidR="007D4FDB" w:rsidRDefault="007A15B6"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7A15B6">
        <w:rPr>
          <w:rFonts w:ascii="Times New Roman" w:hAnsi="Times New Roman" w:cs="Times New Roman"/>
          <w:bCs/>
        </w:rPr>
        <w:t xml:space="preserve">It should </w:t>
      </w:r>
      <w:r w:rsidR="008F08C6">
        <w:rPr>
          <w:rFonts w:ascii="Times New Roman" w:hAnsi="Times New Roman" w:cs="Times New Roman"/>
          <w:bCs/>
        </w:rPr>
        <w:t xml:space="preserve">also </w:t>
      </w:r>
      <w:r w:rsidRPr="007A15B6">
        <w:rPr>
          <w:rFonts w:ascii="Times New Roman" w:hAnsi="Times New Roman" w:cs="Times New Roman"/>
          <w:bCs/>
        </w:rPr>
        <w:t xml:space="preserve">be noted that the Government have considered </w:t>
      </w:r>
      <w:r w:rsidR="008F08C6">
        <w:rPr>
          <w:rFonts w:ascii="Times New Roman" w:hAnsi="Times New Roman" w:cs="Times New Roman"/>
          <w:bCs/>
        </w:rPr>
        <w:t xml:space="preserve">as part of consultation on the Future Homes Standard </w:t>
      </w:r>
      <w:r w:rsidRPr="007A15B6">
        <w:rPr>
          <w:rFonts w:ascii="Times New Roman" w:hAnsi="Times New Roman" w:cs="Times New Roman"/>
          <w:bCs/>
        </w:rPr>
        <w:t>whether it was appropriate to use a delivered energy metric such as the one being proposed in the policy position paper and have concluded that these do not offer any additional benefits to those being taken forward by Government. Therefore, if the Council are to require standards above those set out in building regulations they must be expressed as a percentage of the target emission rate and not as an energy use target in order to avoid fragmentation of the standards with different requirements being set in different areas which it must be recognised was not only an expectation of the WMS but also of the legislation that permits council to adopt higher standards in local plan in the first place. As such the HBF do not consider the council to be justified in departing from either the WMS or the Planning and Energy Act (2008)</w:t>
      </w:r>
      <w:r w:rsidR="0099101B">
        <w:rPr>
          <w:rFonts w:ascii="Times New Roman" w:hAnsi="Times New Roman" w:cs="Times New Roman"/>
          <w:bCs/>
        </w:rPr>
        <w:t>.</w:t>
      </w:r>
    </w:p>
    <w:p w14:paraId="0A233737" w14:textId="13145AB0" w:rsidR="006D59D4" w:rsidRDefault="002F5DE5"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With </w:t>
      </w:r>
      <w:r w:rsidR="005873AB">
        <w:rPr>
          <w:rFonts w:ascii="Times New Roman" w:hAnsi="Times New Roman" w:cs="Times New Roman"/>
          <w:bCs/>
        </w:rPr>
        <w:t xml:space="preserve">regard to </w:t>
      </w:r>
      <w:r w:rsidR="00890DC2">
        <w:rPr>
          <w:rFonts w:ascii="Times New Roman" w:hAnsi="Times New Roman" w:cs="Times New Roman"/>
          <w:bCs/>
        </w:rPr>
        <w:t>viability,</w:t>
      </w:r>
      <w:r w:rsidR="005873AB">
        <w:rPr>
          <w:rFonts w:ascii="Times New Roman" w:hAnsi="Times New Roman" w:cs="Times New Roman"/>
          <w:bCs/>
        </w:rPr>
        <w:t xml:space="preserve"> the Council’s </w:t>
      </w:r>
      <w:r w:rsidR="008A2693">
        <w:rPr>
          <w:rFonts w:ascii="Times New Roman" w:hAnsi="Times New Roman" w:cs="Times New Roman"/>
          <w:bCs/>
        </w:rPr>
        <w:t>Viability</w:t>
      </w:r>
      <w:r w:rsidR="005873AB">
        <w:rPr>
          <w:rFonts w:ascii="Times New Roman" w:hAnsi="Times New Roman" w:cs="Times New Roman"/>
          <w:bCs/>
        </w:rPr>
        <w:t xml:space="preserve"> </w:t>
      </w:r>
      <w:r w:rsidR="008A2693">
        <w:rPr>
          <w:rFonts w:ascii="Times New Roman" w:hAnsi="Times New Roman" w:cs="Times New Roman"/>
          <w:bCs/>
        </w:rPr>
        <w:t xml:space="preserve"> Assessment in</w:t>
      </w:r>
      <w:r w:rsidR="005873AB">
        <w:rPr>
          <w:rFonts w:ascii="Times New Roman" w:hAnsi="Times New Roman" w:cs="Times New Roman"/>
          <w:bCs/>
        </w:rPr>
        <w:t>c</w:t>
      </w:r>
      <w:r w:rsidR="008A2693">
        <w:rPr>
          <w:rFonts w:ascii="Times New Roman" w:hAnsi="Times New Roman" w:cs="Times New Roman"/>
          <w:bCs/>
        </w:rPr>
        <w:t>l</w:t>
      </w:r>
      <w:r w:rsidR="005873AB">
        <w:rPr>
          <w:rFonts w:ascii="Times New Roman" w:hAnsi="Times New Roman" w:cs="Times New Roman"/>
          <w:bCs/>
        </w:rPr>
        <w:t xml:space="preserve">udes an uplift of </w:t>
      </w:r>
      <w:r w:rsidR="00C20D89">
        <w:rPr>
          <w:rFonts w:ascii="Times New Roman" w:hAnsi="Times New Roman" w:cs="Times New Roman"/>
          <w:bCs/>
        </w:rPr>
        <w:t>£7,500</w:t>
      </w:r>
      <w:r w:rsidR="00E22A9D">
        <w:rPr>
          <w:rFonts w:ascii="Times New Roman" w:hAnsi="Times New Roman" w:cs="Times New Roman"/>
          <w:bCs/>
        </w:rPr>
        <w:t xml:space="preserve"> per unit</w:t>
      </w:r>
      <w:r w:rsidR="00C20D89">
        <w:rPr>
          <w:rFonts w:ascii="Times New Roman" w:hAnsi="Times New Roman" w:cs="Times New Roman"/>
          <w:bCs/>
        </w:rPr>
        <w:t xml:space="preserve"> to take account of the </w:t>
      </w:r>
      <w:r w:rsidR="008A2693">
        <w:rPr>
          <w:rFonts w:ascii="Times New Roman" w:hAnsi="Times New Roman" w:cs="Times New Roman"/>
          <w:bCs/>
        </w:rPr>
        <w:t>Future</w:t>
      </w:r>
      <w:r w:rsidR="00C20D89">
        <w:rPr>
          <w:rFonts w:ascii="Times New Roman" w:hAnsi="Times New Roman" w:cs="Times New Roman"/>
          <w:bCs/>
        </w:rPr>
        <w:t xml:space="preserve"> H</w:t>
      </w:r>
      <w:r w:rsidR="008A2693">
        <w:rPr>
          <w:rFonts w:ascii="Times New Roman" w:hAnsi="Times New Roman" w:cs="Times New Roman"/>
          <w:bCs/>
        </w:rPr>
        <w:t>o</w:t>
      </w:r>
      <w:r w:rsidR="00C20D89">
        <w:rPr>
          <w:rFonts w:ascii="Times New Roman" w:hAnsi="Times New Roman" w:cs="Times New Roman"/>
          <w:bCs/>
        </w:rPr>
        <w:t xml:space="preserve">mes </w:t>
      </w:r>
      <w:r w:rsidR="00E22A9D">
        <w:rPr>
          <w:rFonts w:ascii="Times New Roman" w:hAnsi="Times New Roman" w:cs="Times New Roman"/>
          <w:bCs/>
        </w:rPr>
        <w:t>Standard</w:t>
      </w:r>
      <w:r w:rsidR="00C20D89">
        <w:rPr>
          <w:rFonts w:ascii="Times New Roman" w:hAnsi="Times New Roman" w:cs="Times New Roman"/>
          <w:bCs/>
        </w:rPr>
        <w:t xml:space="preserve"> with a</w:t>
      </w:r>
      <w:r w:rsidR="00E22A9D">
        <w:rPr>
          <w:rFonts w:ascii="Times New Roman" w:hAnsi="Times New Roman" w:cs="Times New Roman"/>
          <w:bCs/>
        </w:rPr>
        <w:t>n additional 8% or 5% uplift to build</w:t>
      </w:r>
      <w:r w:rsidR="00890DC2">
        <w:rPr>
          <w:rFonts w:ascii="Times New Roman" w:hAnsi="Times New Roman" w:cs="Times New Roman"/>
          <w:bCs/>
        </w:rPr>
        <w:t xml:space="preserve"> costs depending on the size of the development. Both these uplift would </w:t>
      </w:r>
      <w:r w:rsidR="00977DB8">
        <w:rPr>
          <w:rFonts w:ascii="Times New Roman" w:hAnsi="Times New Roman" w:cs="Times New Roman"/>
          <w:bCs/>
        </w:rPr>
        <w:t>mean</w:t>
      </w:r>
      <w:r w:rsidR="00890DC2">
        <w:rPr>
          <w:rFonts w:ascii="Times New Roman" w:hAnsi="Times New Roman" w:cs="Times New Roman"/>
          <w:bCs/>
        </w:rPr>
        <w:t xml:space="preserve"> the costs of delivering the proposed </w:t>
      </w:r>
      <w:r w:rsidR="00977DB8">
        <w:rPr>
          <w:rFonts w:ascii="Times New Roman" w:hAnsi="Times New Roman" w:cs="Times New Roman"/>
          <w:bCs/>
        </w:rPr>
        <w:t>standards</w:t>
      </w:r>
      <w:r w:rsidR="00890DC2">
        <w:rPr>
          <w:rFonts w:ascii="Times New Roman" w:hAnsi="Times New Roman" w:cs="Times New Roman"/>
          <w:bCs/>
        </w:rPr>
        <w:t xml:space="preserve"> are not dissimilar to </w:t>
      </w:r>
      <w:r w:rsidR="00890DC2">
        <w:rPr>
          <w:rFonts w:ascii="Times New Roman" w:hAnsi="Times New Roman" w:cs="Times New Roman"/>
          <w:bCs/>
        </w:rPr>
        <w:lastRenderedPageBreak/>
        <w:t xml:space="preserve">those in </w:t>
      </w:r>
      <w:r w:rsidR="00977DB8">
        <w:rPr>
          <w:rFonts w:ascii="Times New Roman" w:hAnsi="Times New Roman" w:cs="Times New Roman"/>
          <w:bCs/>
        </w:rPr>
        <w:t xml:space="preserve">set out in </w:t>
      </w:r>
      <w:r w:rsidR="002232BF">
        <w:rPr>
          <w:rFonts w:ascii="Times New Roman" w:hAnsi="Times New Roman" w:cs="Times New Roman"/>
          <w:bCs/>
        </w:rPr>
        <w:t>the report ‘</w:t>
      </w:r>
      <w:r w:rsidR="00977DB8">
        <w:rPr>
          <w:rFonts w:ascii="Times New Roman" w:hAnsi="Times New Roman" w:cs="Times New Roman"/>
          <w:bCs/>
        </w:rPr>
        <w:t>Ready for Zero</w:t>
      </w:r>
      <w:r w:rsidR="002232BF">
        <w:rPr>
          <w:rFonts w:ascii="Times New Roman" w:hAnsi="Times New Roman" w:cs="Times New Roman"/>
          <w:bCs/>
        </w:rPr>
        <w:t>’</w:t>
      </w:r>
      <w:r w:rsidR="00977DB8">
        <w:rPr>
          <w:rFonts w:ascii="Times New Roman" w:hAnsi="Times New Roman" w:cs="Times New Roman"/>
          <w:bCs/>
        </w:rPr>
        <w:t xml:space="preserve"> that was published by the Future Homes Hub in 2023</w:t>
      </w:r>
      <w:r w:rsidR="005B5B81">
        <w:rPr>
          <w:rStyle w:val="FootnoteReference"/>
          <w:rFonts w:ascii="Times New Roman" w:hAnsi="Times New Roman" w:cs="Times New Roman"/>
          <w:bCs/>
        </w:rPr>
        <w:footnoteReference w:id="1"/>
      </w:r>
      <w:r w:rsidR="00977DB8">
        <w:rPr>
          <w:rFonts w:ascii="Times New Roman" w:hAnsi="Times New Roman" w:cs="Times New Roman"/>
          <w:bCs/>
        </w:rPr>
        <w:t xml:space="preserve">. </w:t>
      </w:r>
      <w:r w:rsidR="00DC4952">
        <w:rPr>
          <w:rFonts w:ascii="Times New Roman" w:hAnsi="Times New Roman" w:cs="Times New Roman"/>
          <w:bCs/>
        </w:rPr>
        <w:t xml:space="preserve">However, in addition to considering viability the Council will also need to provide evidence as to the potential impact on the affordability of new homes and the ability of the development industry to meet these standard when the plan is adopted. </w:t>
      </w:r>
    </w:p>
    <w:p w14:paraId="08936167" w14:textId="77777777" w:rsidR="00936F58" w:rsidRPr="00936F58" w:rsidRDefault="00936F58"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936F58">
        <w:rPr>
          <w:rFonts w:ascii="Times New Roman" w:hAnsi="Times New Roman" w:cs="Times New Roman"/>
          <w:bCs/>
          <w:lang w:val="en-GB"/>
        </w:rPr>
        <w:t xml:space="preserve">With regard to deliverability of zero carbon homes HBF would not disagree that the proposed standards are technically feasible. However, HBF </w:t>
      </w:r>
      <w:r w:rsidRPr="00936F58">
        <w:rPr>
          <w:rFonts w:ascii="Times New Roman" w:hAnsi="Times New Roman" w:cs="Times New Roman"/>
          <w:bCs/>
        </w:rPr>
        <w:t>are</w:t>
      </w:r>
      <w:r w:rsidRPr="00936F58">
        <w:rPr>
          <w:rFonts w:ascii="Times New Roman" w:hAnsi="Times New Roman" w:cs="Times New Roman"/>
          <w:bCs/>
          <w:lang w:val="en-GB"/>
        </w:rPr>
        <w:t xml:space="preserve"> concerned as to the impact these requirements will have on the rates at which sites can deliver new homes on all types of sites. Given that the standards proposed are higher than those proposed by Government in the Future Homes Standard and will require higher levels of fabric efficiency, which in turn will require new skills and materials that may not be readily available, HBF are concerned this could slow delivery in the short to medium term as supply chains are developed. </w:t>
      </w:r>
    </w:p>
    <w:p w14:paraId="0D6B277A" w14:textId="77777777" w:rsidR="00936F58" w:rsidRPr="00936F58" w:rsidRDefault="00936F58"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936F58">
        <w:rPr>
          <w:rFonts w:ascii="Times New Roman" w:hAnsi="Times New Roman" w:cs="Times New Roman"/>
          <w:bCs/>
          <w:lang w:val="en-GB"/>
        </w:rPr>
        <w:t xml:space="preserve">It has been recognised by the FHH that to deliver higher standards will require phased transitional arrangements to enable a steady build-up of skills and ensure quality. The FHH also notes in its report Ready for Zero that even if a short transition period between </w:t>
      </w:r>
      <w:r w:rsidRPr="00936F58">
        <w:rPr>
          <w:rFonts w:ascii="Times New Roman" w:hAnsi="Times New Roman" w:cs="Times New Roman"/>
          <w:bCs/>
        </w:rPr>
        <w:t>current</w:t>
      </w:r>
      <w:r w:rsidRPr="00936F58">
        <w:rPr>
          <w:rFonts w:ascii="Times New Roman" w:hAnsi="Times New Roman" w:cs="Times New Roman"/>
          <w:bCs/>
          <w:lang w:val="en-GB"/>
        </w:rPr>
        <w:t xml:space="preserve"> standards and those similar to the Councils are proposing that this would “</w:t>
      </w:r>
      <w:r w:rsidRPr="00936F58">
        <w:rPr>
          <w:rFonts w:ascii="Times New Roman" w:hAnsi="Times New Roman" w:cs="Times New Roman"/>
          <w:bCs/>
          <w:i/>
          <w:iCs/>
          <w:lang w:val="en-GB"/>
        </w:rPr>
        <w:t>… create a high risk of quality problems, inflated costs and, potentially, stalled build programmes</w:t>
      </w:r>
      <w:r w:rsidRPr="00936F58">
        <w:rPr>
          <w:rFonts w:ascii="Times New Roman" w:hAnsi="Times New Roman" w:cs="Times New Roman"/>
          <w:bCs/>
          <w:lang w:val="en-GB"/>
        </w:rPr>
        <w:t xml:space="preserve">.” However, HBF could find no evidence that the Council has considered whether its proposed standard will impact on the rate at which new homes can be built. The Council will need to speak directly to a range of housebuilders operating in Reading to understand the impact of its policy on the rate at which homes will be delivered on its allocated sites. Without any consideration of delivery then the Council’s decision to go beyond what is required by building regulations is clearly unjustified </w:t>
      </w:r>
    </w:p>
    <w:p w14:paraId="4B22A2B9" w14:textId="77777777" w:rsidR="00936F58" w:rsidRPr="00936F58" w:rsidRDefault="00936F58"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936F58">
        <w:rPr>
          <w:rFonts w:ascii="Times New Roman" w:hAnsi="Times New Roman" w:cs="Times New Roman"/>
          <w:bCs/>
          <w:lang w:val="en-GB"/>
        </w:rPr>
        <w:t xml:space="preserve">While HBF understands the desire for LPAs to go further it must be recognised that current policy outlines that even where development can viably implement higher standards this must be within a consistent technical framework and approach to assessing </w:t>
      </w:r>
      <w:r w:rsidRPr="00936F58">
        <w:rPr>
          <w:rFonts w:ascii="Times New Roman" w:hAnsi="Times New Roman" w:cs="Times New Roman"/>
          <w:bCs/>
        </w:rPr>
        <w:t>building</w:t>
      </w:r>
      <w:r w:rsidRPr="00936F58">
        <w:rPr>
          <w:rFonts w:ascii="Times New Roman" w:hAnsi="Times New Roman" w:cs="Times New Roman"/>
          <w:bCs/>
          <w:lang w:val="en-GB"/>
        </w:rPr>
        <w:t xml:space="preserve"> performance against those technical standards. Indeed, this has long been the case in planning policy with paragraph 159b of the NPPF stating that “</w:t>
      </w:r>
      <w:r w:rsidRPr="00936F58">
        <w:rPr>
          <w:rFonts w:ascii="Times New Roman" w:hAnsi="Times New Roman" w:cs="Times New Roman"/>
          <w:bCs/>
          <w:i/>
          <w:iCs/>
          <w:lang w:val="en-GB"/>
        </w:rPr>
        <w:t>Any local requirements for the sustainability of buildings should reflect the Government’s policy for national technical standards</w:t>
      </w:r>
      <w:r w:rsidRPr="00936F58">
        <w:rPr>
          <w:rFonts w:ascii="Times New Roman" w:hAnsi="Times New Roman" w:cs="Times New Roman"/>
          <w:bCs/>
          <w:lang w:val="en-GB"/>
        </w:rPr>
        <w:t>”.</w:t>
      </w:r>
    </w:p>
    <w:p w14:paraId="1D7771FE" w14:textId="6C3086FF" w:rsidR="00936F58" w:rsidRPr="00283AB8" w:rsidRDefault="00936F58" w:rsidP="00283A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936F58">
        <w:rPr>
          <w:rFonts w:ascii="Times New Roman" w:hAnsi="Times New Roman" w:cs="Times New Roman"/>
          <w:bCs/>
          <w:lang w:val="en-GB"/>
        </w:rPr>
        <w:t>If the Councils have the evidence to show that the policy is deliverable, they will need to ensure that all other policies in the local plan are consistent with delivering the levels of embodied carbon being proposed. The most energy efficient design will inevitably lead to less variety in the built form in order to reduce the surface area of the building. This will need to be reflected in design policies and any design codes that are produced to ensure that development is not refused for seeking to meet energy efficiency standards but, for example, not being designed in the character of the local area.</w:t>
      </w:r>
    </w:p>
    <w:p w14:paraId="18C125C4" w14:textId="5AA25629" w:rsidR="009F37A0" w:rsidRPr="0029179F" w:rsidRDefault="002D7913" w:rsidP="0029179F">
      <w:pPr>
        <w:widowControl/>
        <w:suppressAutoHyphens w:val="0"/>
        <w:autoSpaceDE/>
        <w:spacing w:after="240" w:line="360" w:lineRule="auto"/>
        <w:jc w:val="both"/>
        <w:rPr>
          <w:rFonts w:ascii="Times New Roman" w:hAnsi="Times New Roman" w:cs="Times New Roman"/>
          <w:b/>
        </w:rPr>
      </w:pPr>
      <w:r w:rsidRPr="0029179F">
        <w:rPr>
          <w:rFonts w:ascii="Times New Roman" w:hAnsi="Times New Roman" w:cs="Times New Roman"/>
          <w:b/>
        </w:rPr>
        <w:t>NZ2: Net Zero Carbon Development embodied carbon</w:t>
      </w:r>
    </w:p>
    <w:p w14:paraId="24E58FFB" w14:textId="46183C6C" w:rsidR="00827BFA" w:rsidRPr="003B66AC" w:rsidRDefault="00827BFA" w:rsidP="00116D7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3B66AC">
        <w:rPr>
          <w:rFonts w:ascii="Times New Roman" w:hAnsi="Times New Roman" w:cs="Times New Roman"/>
          <w:bCs/>
        </w:rPr>
        <w:t xml:space="preserve">As with NZ1 should the NPPF be adopted with PS13 unchanged, this policy should be deleted as it will be inconsistent with national policy. In </w:t>
      </w:r>
      <w:r w:rsidR="00D15968" w:rsidRPr="003B66AC">
        <w:rPr>
          <w:rFonts w:ascii="Times New Roman" w:hAnsi="Times New Roman" w:cs="Times New Roman"/>
          <w:bCs/>
        </w:rPr>
        <w:t>addition,</w:t>
      </w:r>
      <w:r w:rsidRPr="003B66AC">
        <w:rPr>
          <w:rFonts w:ascii="Times New Roman" w:hAnsi="Times New Roman" w:cs="Times New Roman"/>
          <w:bCs/>
        </w:rPr>
        <w:t xml:space="preserve"> HBF have a number of other concerns. </w:t>
      </w:r>
      <w:r w:rsidRPr="003B66AC">
        <w:rPr>
          <w:rFonts w:ascii="Times New Roman" w:hAnsi="Times New Roman" w:cs="Times New Roman"/>
          <w:bCs/>
          <w:lang w:val="en-GB"/>
        </w:rPr>
        <w:t xml:space="preserve">HBF do not consider this </w:t>
      </w:r>
      <w:r w:rsidRPr="003B66AC">
        <w:rPr>
          <w:rFonts w:ascii="Times New Roman" w:hAnsi="Times New Roman" w:cs="Times New Roman"/>
          <w:bCs/>
          <w:lang w:val="en-GB"/>
        </w:rPr>
        <w:lastRenderedPageBreak/>
        <w:t xml:space="preserve">requirement to be consistent with national policy. </w:t>
      </w:r>
      <w:r w:rsidR="00D15968" w:rsidRPr="003B66AC">
        <w:rPr>
          <w:rFonts w:ascii="Times New Roman" w:hAnsi="Times New Roman" w:cs="Times New Roman"/>
          <w:bCs/>
          <w:lang w:val="en-GB"/>
        </w:rPr>
        <w:t>I</w:t>
      </w:r>
      <w:r w:rsidR="001F7A0B">
        <w:rPr>
          <w:rFonts w:ascii="Times New Roman" w:hAnsi="Times New Roman" w:cs="Times New Roman"/>
          <w:bCs/>
          <w:lang w:val="en-GB"/>
        </w:rPr>
        <w:t>n</w:t>
      </w:r>
      <w:r w:rsidR="00D15968" w:rsidRPr="003B66AC">
        <w:rPr>
          <w:rFonts w:ascii="Times New Roman" w:hAnsi="Times New Roman" w:cs="Times New Roman"/>
          <w:bCs/>
          <w:lang w:val="en-GB"/>
        </w:rPr>
        <w:t xml:space="preserve"> effect this Council are proposing </w:t>
      </w:r>
      <w:r w:rsidRPr="003B66AC">
        <w:rPr>
          <w:rFonts w:ascii="Times New Roman" w:hAnsi="Times New Roman" w:cs="Times New Roman"/>
          <w:bCs/>
          <w:lang w:val="en-GB"/>
        </w:rPr>
        <w:t>a new technical standard</w:t>
      </w:r>
      <w:r w:rsidR="00D15968" w:rsidRPr="003B66AC">
        <w:rPr>
          <w:rFonts w:ascii="Times New Roman" w:hAnsi="Times New Roman" w:cs="Times New Roman"/>
          <w:bCs/>
          <w:lang w:val="en-GB"/>
        </w:rPr>
        <w:t xml:space="preserve"> without any </w:t>
      </w:r>
      <w:r w:rsidR="0009638F" w:rsidRPr="003B66AC">
        <w:rPr>
          <w:rFonts w:ascii="Times New Roman" w:hAnsi="Times New Roman" w:cs="Times New Roman"/>
          <w:bCs/>
          <w:lang w:val="en-GB"/>
        </w:rPr>
        <w:t>formal testing as to whether the development industry can</w:t>
      </w:r>
      <w:r w:rsidR="003B66AC" w:rsidRPr="003B66AC">
        <w:rPr>
          <w:rFonts w:ascii="Times New Roman" w:hAnsi="Times New Roman" w:cs="Times New Roman"/>
          <w:bCs/>
          <w:lang w:val="en-GB"/>
        </w:rPr>
        <w:t xml:space="preserve"> actually reasonable meet this standard consistent from the point at which the plan is adopted.</w:t>
      </w:r>
      <w:r w:rsidRPr="003B66AC">
        <w:rPr>
          <w:rFonts w:ascii="Times New Roman" w:hAnsi="Times New Roman" w:cs="Times New Roman"/>
          <w:bCs/>
          <w:lang w:val="en-GB"/>
        </w:rPr>
        <w:t xml:space="preserve"> </w:t>
      </w:r>
      <w:r w:rsidR="001F7A0B">
        <w:rPr>
          <w:rFonts w:ascii="Times New Roman" w:hAnsi="Times New Roman" w:cs="Times New Roman"/>
          <w:bCs/>
          <w:lang w:val="en-GB"/>
        </w:rPr>
        <w:t xml:space="preserve">There is as yet limited understanding as </w:t>
      </w:r>
      <w:r w:rsidR="00070C85">
        <w:rPr>
          <w:rFonts w:ascii="Times New Roman" w:hAnsi="Times New Roman" w:cs="Times New Roman"/>
          <w:bCs/>
          <w:lang w:val="en-GB"/>
        </w:rPr>
        <w:t>whether there are sufficient low carbon alternatives to certain building materials to achieve the stand</w:t>
      </w:r>
      <w:r w:rsidR="00070C85">
        <w:rPr>
          <w:rFonts w:ascii="Times New Roman" w:hAnsi="Times New Roman" w:cs="Times New Roman"/>
          <w:bCs/>
          <w:lang w:val="en-GB"/>
        </w:rPr>
        <w:t xml:space="preserve">ard, </w:t>
      </w:r>
      <w:r w:rsidR="001F7A0B">
        <w:rPr>
          <w:rFonts w:ascii="Times New Roman" w:hAnsi="Times New Roman" w:cs="Times New Roman"/>
          <w:bCs/>
          <w:lang w:val="en-GB"/>
        </w:rPr>
        <w:t xml:space="preserve">the </w:t>
      </w:r>
      <w:r w:rsidR="00070C85">
        <w:rPr>
          <w:rFonts w:ascii="Times New Roman" w:hAnsi="Times New Roman" w:cs="Times New Roman"/>
          <w:bCs/>
          <w:lang w:val="en-GB"/>
        </w:rPr>
        <w:t>potential</w:t>
      </w:r>
      <w:r w:rsidR="001F7A0B">
        <w:rPr>
          <w:rFonts w:ascii="Times New Roman" w:hAnsi="Times New Roman" w:cs="Times New Roman"/>
          <w:bCs/>
          <w:lang w:val="en-GB"/>
        </w:rPr>
        <w:t xml:space="preserve"> cost of </w:t>
      </w:r>
      <w:r w:rsidR="00070C85">
        <w:rPr>
          <w:rFonts w:ascii="Times New Roman" w:hAnsi="Times New Roman" w:cs="Times New Roman"/>
          <w:bCs/>
          <w:lang w:val="en-GB"/>
        </w:rPr>
        <w:t>meeting this</w:t>
      </w:r>
      <w:r w:rsidR="001F7A0B">
        <w:rPr>
          <w:rFonts w:ascii="Times New Roman" w:hAnsi="Times New Roman" w:cs="Times New Roman"/>
          <w:bCs/>
          <w:lang w:val="en-GB"/>
        </w:rPr>
        <w:t xml:space="preserve"> standard</w:t>
      </w:r>
      <w:r w:rsidR="003D3426">
        <w:rPr>
          <w:rFonts w:ascii="Times New Roman" w:hAnsi="Times New Roman" w:cs="Times New Roman"/>
          <w:bCs/>
          <w:lang w:val="en-GB"/>
        </w:rPr>
        <w:t xml:space="preserve"> and</w:t>
      </w:r>
      <w:r w:rsidR="001F7A0B">
        <w:rPr>
          <w:rFonts w:ascii="Times New Roman" w:hAnsi="Times New Roman" w:cs="Times New Roman"/>
          <w:bCs/>
          <w:lang w:val="en-GB"/>
        </w:rPr>
        <w:t xml:space="preserve"> </w:t>
      </w:r>
      <w:r w:rsidR="00070C85">
        <w:rPr>
          <w:rFonts w:ascii="Times New Roman" w:hAnsi="Times New Roman" w:cs="Times New Roman"/>
          <w:bCs/>
          <w:lang w:val="en-GB"/>
        </w:rPr>
        <w:t xml:space="preserve">the </w:t>
      </w:r>
      <w:r w:rsidR="003D3426">
        <w:rPr>
          <w:rFonts w:ascii="Times New Roman" w:hAnsi="Times New Roman" w:cs="Times New Roman"/>
          <w:bCs/>
          <w:lang w:val="en-GB"/>
        </w:rPr>
        <w:t>availability</w:t>
      </w:r>
      <w:r w:rsidR="00070C85">
        <w:rPr>
          <w:rFonts w:ascii="Times New Roman" w:hAnsi="Times New Roman" w:cs="Times New Roman"/>
          <w:bCs/>
          <w:lang w:val="en-GB"/>
        </w:rPr>
        <w:t xml:space="preserve"> of </w:t>
      </w:r>
      <w:r w:rsidR="003D3426">
        <w:rPr>
          <w:rFonts w:ascii="Times New Roman" w:hAnsi="Times New Roman" w:cs="Times New Roman"/>
          <w:bCs/>
          <w:lang w:val="en-GB"/>
        </w:rPr>
        <w:t>evidence as to the embodied carbon of different materials and products.</w:t>
      </w:r>
      <w:r w:rsidR="0033591E">
        <w:rPr>
          <w:rFonts w:ascii="Times New Roman" w:hAnsi="Times New Roman" w:cs="Times New Roman"/>
          <w:bCs/>
          <w:lang w:val="en-GB"/>
        </w:rPr>
        <w:t xml:space="preserve"> </w:t>
      </w:r>
      <w:r w:rsidR="00C755F5">
        <w:rPr>
          <w:rFonts w:ascii="Times New Roman" w:hAnsi="Times New Roman" w:cs="Times New Roman"/>
          <w:bCs/>
          <w:lang w:val="en-GB"/>
        </w:rPr>
        <w:t>Without comprehensive</w:t>
      </w:r>
      <w:r w:rsidR="00B81DB6">
        <w:rPr>
          <w:rFonts w:ascii="Times New Roman" w:hAnsi="Times New Roman" w:cs="Times New Roman"/>
          <w:bCs/>
          <w:lang w:val="en-GB"/>
        </w:rPr>
        <w:t xml:space="preserve"> national</w:t>
      </w:r>
      <w:r w:rsidR="00C755F5">
        <w:rPr>
          <w:rFonts w:ascii="Times New Roman" w:hAnsi="Times New Roman" w:cs="Times New Roman"/>
          <w:bCs/>
          <w:lang w:val="en-GB"/>
        </w:rPr>
        <w:t xml:space="preserve"> testing as to what is </w:t>
      </w:r>
      <w:r w:rsidR="00B81DB6">
        <w:rPr>
          <w:rFonts w:ascii="Times New Roman" w:hAnsi="Times New Roman" w:cs="Times New Roman"/>
          <w:bCs/>
          <w:lang w:val="en-GB"/>
        </w:rPr>
        <w:t xml:space="preserve">actually </w:t>
      </w:r>
      <w:r w:rsidR="00C755F5">
        <w:rPr>
          <w:rFonts w:ascii="Times New Roman" w:hAnsi="Times New Roman" w:cs="Times New Roman"/>
          <w:bCs/>
          <w:lang w:val="en-GB"/>
        </w:rPr>
        <w:t xml:space="preserve">deliverable </w:t>
      </w:r>
      <w:r w:rsidR="00B81DB6">
        <w:rPr>
          <w:rFonts w:ascii="Times New Roman" w:hAnsi="Times New Roman" w:cs="Times New Roman"/>
          <w:bCs/>
          <w:lang w:val="en-GB"/>
        </w:rPr>
        <w:t>the Council should not be seeking to impose new technical standard on the building industry</w:t>
      </w:r>
      <w:r w:rsidR="00ED00C2">
        <w:rPr>
          <w:rFonts w:ascii="Times New Roman" w:hAnsi="Times New Roman" w:cs="Times New Roman"/>
          <w:bCs/>
          <w:lang w:val="en-GB"/>
        </w:rPr>
        <w:t>.</w:t>
      </w:r>
    </w:p>
    <w:p w14:paraId="36C2576E" w14:textId="5A23892C" w:rsidR="00827BFA" w:rsidRPr="00241C92" w:rsidRDefault="00827BFA" w:rsidP="00241C9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827BFA">
        <w:rPr>
          <w:rFonts w:ascii="Times New Roman" w:hAnsi="Times New Roman" w:cs="Times New Roman"/>
          <w:bCs/>
          <w:lang w:val="en-GB"/>
        </w:rPr>
        <w:t xml:space="preserve">The Council </w:t>
      </w:r>
      <w:r w:rsidR="00ED00C2">
        <w:rPr>
          <w:rFonts w:ascii="Times New Roman" w:hAnsi="Times New Roman" w:cs="Times New Roman"/>
          <w:bCs/>
          <w:lang w:val="en-GB"/>
        </w:rPr>
        <w:t xml:space="preserve">also </w:t>
      </w:r>
      <w:r w:rsidRPr="00827BFA">
        <w:rPr>
          <w:rFonts w:ascii="Times New Roman" w:hAnsi="Times New Roman" w:cs="Times New Roman"/>
          <w:bCs/>
          <w:lang w:val="en-GB"/>
        </w:rPr>
        <w:t xml:space="preserve">do not appear to have taken into account the cost of meeting this standard in the viability assessment. </w:t>
      </w:r>
      <w:r w:rsidR="00BF2F82">
        <w:rPr>
          <w:rFonts w:ascii="Times New Roman" w:hAnsi="Times New Roman" w:cs="Times New Roman"/>
          <w:bCs/>
          <w:lang w:val="en-GB"/>
        </w:rPr>
        <w:t>This may have been included in the</w:t>
      </w:r>
      <w:r w:rsidRPr="00827BFA">
        <w:rPr>
          <w:rFonts w:ascii="Times New Roman" w:hAnsi="Times New Roman" w:cs="Times New Roman"/>
          <w:bCs/>
          <w:lang w:val="en-GB"/>
        </w:rPr>
        <w:t xml:space="preserve"> 8 to 10%. </w:t>
      </w:r>
      <w:r w:rsidR="00BF2F82" w:rsidRPr="00827BFA">
        <w:rPr>
          <w:rFonts w:ascii="Times New Roman" w:hAnsi="Times New Roman" w:cs="Times New Roman"/>
          <w:bCs/>
          <w:lang w:val="en-GB"/>
        </w:rPr>
        <w:t>However</w:t>
      </w:r>
      <w:r w:rsidRPr="00827BFA">
        <w:rPr>
          <w:rFonts w:ascii="Times New Roman" w:hAnsi="Times New Roman" w:cs="Times New Roman"/>
          <w:bCs/>
          <w:lang w:val="en-GB"/>
        </w:rPr>
        <w:t xml:space="preserve"> as stated above</w:t>
      </w:r>
      <w:r w:rsidR="00BF2F82">
        <w:rPr>
          <w:rFonts w:ascii="Times New Roman" w:hAnsi="Times New Roman" w:cs="Times New Roman"/>
          <w:bCs/>
          <w:lang w:val="en-GB"/>
        </w:rPr>
        <w:t xml:space="preserve">, this uplift alongside the £7,500 per unit cost of meeting </w:t>
      </w:r>
      <w:r w:rsidR="00A12F7F">
        <w:rPr>
          <w:rFonts w:ascii="Times New Roman" w:hAnsi="Times New Roman" w:cs="Times New Roman"/>
          <w:bCs/>
          <w:lang w:val="en-GB"/>
        </w:rPr>
        <w:t xml:space="preserve">the </w:t>
      </w:r>
      <w:r w:rsidR="00D75832">
        <w:rPr>
          <w:rFonts w:ascii="Times New Roman" w:hAnsi="Times New Roman" w:cs="Times New Roman"/>
          <w:bCs/>
          <w:lang w:val="en-GB"/>
        </w:rPr>
        <w:t>Future</w:t>
      </w:r>
      <w:r w:rsidR="00A12F7F">
        <w:rPr>
          <w:rFonts w:ascii="Times New Roman" w:hAnsi="Times New Roman" w:cs="Times New Roman"/>
          <w:bCs/>
          <w:lang w:val="en-GB"/>
        </w:rPr>
        <w:t xml:space="preserve"> Homes Standard is </w:t>
      </w:r>
      <w:r w:rsidR="00D75832">
        <w:rPr>
          <w:rFonts w:ascii="Times New Roman" w:hAnsi="Times New Roman" w:cs="Times New Roman"/>
          <w:bCs/>
          <w:lang w:val="en-GB"/>
        </w:rPr>
        <w:t>probably</w:t>
      </w:r>
      <w:r w:rsidR="00A12F7F">
        <w:rPr>
          <w:rFonts w:ascii="Times New Roman" w:hAnsi="Times New Roman" w:cs="Times New Roman"/>
          <w:bCs/>
          <w:lang w:val="en-GB"/>
        </w:rPr>
        <w:t xml:space="preserve"> </w:t>
      </w:r>
      <w:r w:rsidR="00D75832">
        <w:rPr>
          <w:rFonts w:ascii="Times New Roman" w:hAnsi="Times New Roman" w:cs="Times New Roman"/>
          <w:bCs/>
          <w:lang w:val="en-GB"/>
        </w:rPr>
        <w:t>sufficient</w:t>
      </w:r>
      <w:r w:rsidR="00A12F7F">
        <w:rPr>
          <w:rFonts w:ascii="Times New Roman" w:hAnsi="Times New Roman" w:cs="Times New Roman"/>
          <w:bCs/>
          <w:lang w:val="en-GB"/>
        </w:rPr>
        <w:t xml:space="preserve"> to cover the cost of meeting NZ1 and as such no allowance has been made for </w:t>
      </w:r>
      <w:r w:rsidR="00D75832">
        <w:rPr>
          <w:rFonts w:ascii="Times New Roman" w:hAnsi="Times New Roman" w:cs="Times New Roman"/>
          <w:bCs/>
          <w:lang w:val="en-GB"/>
        </w:rPr>
        <w:t>embodied carbon.</w:t>
      </w:r>
      <w:r w:rsidRPr="00827BFA">
        <w:rPr>
          <w:rFonts w:ascii="Times New Roman" w:hAnsi="Times New Roman" w:cs="Times New Roman"/>
          <w:bCs/>
          <w:lang w:val="en-GB"/>
        </w:rPr>
        <w:t xml:space="preserve"> </w:t>
      </w:r>
      <w:r w:rsidR="00241C92">
        <w:rPr>
          <w:rFonts w:ascii="Times New Roman" w:hAnsi="Times New Roman" w:cs="Times New Roman"/>
          <w:bCs/>
          <w:lang w:val="en-GB"/>
        </w:rPr>
        <w:t xml:space="preserve"> </w:t>
      </w:r>
      <w:r w:rsidRPr="00241C92">
        <w:rPr>
          <w:rFonts w:ascii="Times New Roman" w:hAnsi="Times New Roman" w:cs="Times New Roman"/>
          <w:bCs/>
          <w:lang w:val="en-GB"/>
        </w:rPr>
        <w:t>As with reducing carbon emissions from operational energy use HBF considers it best that such matters addressed at a national level to avoid different approaches and standard being set in different areas. The housebuilding industry is working with the Future Homes Hub it to develop a roadmap to reducing embodied carbon and whilst Council’s may want to go further faster HBF have concerns that this will impact on the deliverability of development with a disproportionate impact on SME developers.</w:t>
      </w:r>
    </w:p>
    <w:p w14:paraId="7348461B" w14:textId="0D2B635A" w:rsidR="00167AE9" w:rsidRPr="00241C92" w:rsidRDefault="00827BFA" w:rsidP="00241C9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827BFA">
        <w:rPr>
          <w:rFonts w:ascii="Times New Roman" w:hAnsi="Times New Roman" w:cs="Times New Roman"/>
          <w:bCs/>
          <w:lang w:val="en-GB"/>
        </w:rPr>
        <w:t>Therefore, HBF consider the policy to be unsound, and it should be deleted.</w:t>
      </w:r>
    </w:p>
    <w:p w14:paraId="2292104B" w14:textId="38F95B9A" w:rsidR="003F00F5" w:rsidRPr="00307877" w:rsidRDefault="00167AE9" w:rsidP="00307877">
      <w:pPr>
        <w:widowControl/>
        <w:tabs>
          <w:tab w:val="left" w:pos="2268"/>
        </w:tabs>
        <w:suppressAutoHyphens w:val="0"/>
        <w:autoSpaceDE/>
        <w:spacing w:after="240" w:line="360" w:lineRule="auto"/>
        <w:jc w:val="both"/>
        <w:rPr>
          <w:rFonts w:ascii="Times New Roman" w:hAnsi="Times New Roman" w:cs="Times New Roman"/>
          <w:b/>
        </w:rPr>
      </w:pPr>
      <w:r w:rsidRPr="00307877">
        <w:rPr>
          <w:rFonts w:ascii="Times New Roman" w:hAnsi="Times New Roman" w:cs="Times New Roman"/>
          <w:b/>
        </w:rPr>
        <w:t>NZ3: Wastewater and Water Supply</w:t>
      </w:r>
    </w:p>
    <w:p w14:paraId="7BDF87AD" w14:textId="11F8B111" w:rsidR="00872A57" w:rsidRPr="00067F15" w:rsidRDefault="00872A57" w:rsidP="00067F1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067F15">
        <w:rPr>
          <w:rFonts w:ascii="Times New Roman" w:hAnsi="Times New Roman" w:cs="Times New Roman"/>
          <w:bCs/>
        </w:rPr>
        <w:t xml:space="preserve">As with NZ1 </w:t>
      </w:r>
      <w:r w:rsidR="00067F15" w:rsidRPr="00067F15">
        <w:rPr>
          <w:rFonts w:ascii="Times New Roman" w:hAnsi="Times New Roman" w:cs="Times New Roman"/>
          <w:bCs/>
        </w:rPr>
        <w:t>and</w:t>
      </w:r>
      <w:r w:rsidRPr="00067F15">
        <w:rPr>
          <w:rFonts w:ascii="Times New Roman" w:hAnsi="Times New Roman" w:cs="Times New Roman"/>
          <w:bCs/>
        </w:rPr>
        <w:t xml:space="preserve"> NZ2 the </w:t>
      </w:r>
      <w:r w:rsidR="00D47767" w:rsidRPr="00067F15">
        <w:rPr>
          <w:rFonts w:ascii="Times New Roman" w:hAnsi="Times New Roman" w:cs="Times New Roman"/>
          <w:bCs/>
        </w:rPr>
        <w:t>Council</w:t>
      </w:r>
      <w:r w:rsidRPr="00067F15">
        <w:rPr>
          <w:rFonts w:ascii="Times New Roman" w:hAnsi="Times New Roman" w:cs="Times New Roman"/>
          <w:bCs/>
        </w:rPr>
        <w:t xml:space="preserve"> will need to </w:t>
      </w:r>
      <w:r w:rsidR="00A623BC" w:rsidRPr="00067F15">
        <w:rPr>
          <w:rFonts w:ascii="Times New Roman" w:hAnsi="Times New Roman" w:cs="Times New Roman"/>
          <w:bCs/>
        </w:rPr>
        <w:t xml:space="preserve">pay close attention to the outcomes of the NPF consultation as </w:t>
      </w:r>
      <w:r w:rsidR="00D47767" w:rsidRPr="00067F15">
        <w:rPr>
          <w:rFonts w:ascii="Times New Roman" w:hAnsi="Times New Roman" w:cs="Times New Roman"/>
          <w:bCs/>
        </w:rPr>
        <w:t>policy</w:t>
      </w:r>
      <w:r w:rsidR="00A623BC" w:rsidRPr="00067F15">
        <w:rPr>
          <w:rFonts w:ascii="Times New Roman" w:hAnsi="Times New Roman" w:cs="Times New Roman"/>
          <w:bCs/>
        </w:rPr>
        <w:t xml:space="preserve"> such as NZ3 will be inconsistent with national policy</w:t>
      </w:r>
      <w:r w:rsidR="00D47767" w:rsidRPr="00067F15">
        <w:rPr>
          <w:rFonts w:ascii="Times New Roman" w:hAnsi="Times New Roman" w:cs="Times New Roman"/>
          <w:bCs/>
        </w:rPr>
        <w:t xml:space="preserve"> should PS13 remain unchanged. </w:t>
      </w:r>
      <w:r w:rsidRPr="00067F15">
        <w:rPr>
          <w:rFonts w:ascii="Times New Roman" w:hAnsi="Times New Roman" w:cs="Times New Roman"/>
          <w:bCs/>
        </w:rPr>
        <w:t xml:space="preserve"> </w:t>
      </w:r>
      <w:r w:rsidRPr="00067F15">
        <w:rPr>
          <w:rFonts w:ascii="Times New Roman" w:hAnsi="Times New Roman" w:cs="Times New Roman"/>
          <w:bCs/>
        </w:rPr>
        <w:t xml:space="preserve">This policy requires development to reduce water use per day to </w:t>
      </w:r>
      <w:r w:rsidRPr="00067F15">
        <w:rPr>
          <w:rFonts w:ascii="Times New Roman" w:hAnsi="Times New Roman" w:cs="Times New Roman"/>
          <w:bCs/>
        </w:rPr>
        <w:t>90</w:t>
      </w:r>
      <w:r w:rsidRPr="00067F15">
        <w:rPr>
          <w:rFonts w:ascii="Times New Roman" w:hAnsi="Times New Roman" w:cs="Times New Roman"/>
          <w:bCs/>
        </w:rPr>
        <w:t xml:space="preserve"> litres per person per day (lppd). This is 2</w:t>
      </w:r>
      <w:r w:rsidRPr="00067F15">
        <w:rPr>
          <w:rFonts w:ascii="Times New Roman" w:hAnsi="Times New Roman" w:cs="Times New Roman"/>
          <w:bCs/>
        </w:rPr>
        <w:t>0</w:t>
      </w:r>
      <w:r w:rsidRPr="00067F15">
        <w:rPr>
          <w:rFonts w:ascii="Times New Roman" w:hAnsi="Times New Roman" w:cs="Times New Roman"/>
          <w:bCs/>
        </w:rPr>
        <w:t xml:space="preserve"> litres below the minimum optional standard </w:t>
      </w:r>
      <w:r w:rsidRPr="00067F15">
        <w:rPr>
          <w:rFonts w:ascii="Times New Roman" w:hAnsi="Times New Roman" w:cs="Times New Roman"/>
          <w:bCs/>
          <w:lang w:val="en-GB"/>
        </w:rPr>
        <w:t>allowed</w:t>
      </w:r>
      <w:r w:rsidRPr="00067F15">
        <w:rPr>
          <w:rFonts w:ascii="Times New Roman" w:hAnsi="Times New Roman" w:cs="Times New Roman"/>
          <w:bCs/>
        </w:rPr>
        <w:t xml:space="preserve"> for by planning policy</w:t>
      </w:r>
      <w:r w:rsidRPr="00067F15">
        <w:rPr>
          <w:rFonts w:ascii="Times New Roman" w:hAnsi="Times New Roman" w:cs="Times New Roman"/>
          <w:bCs/>
        </w:rPr>
        <w:t xml:space="preserve">. </w:t>
      </w:r>
      <w:r w:rsidRPr="00067F15">
        <w:rPr>
          <w:rFonts w:ascii="Times New Roman" w:hAnsi="Times New Roman" w:cs="Times New Roman"/>
          <w:bCs/>
        </w:rPr>
        <w:t xml:space="preserve">HBF recognises that there is a need for all new development seek to reduce the amount of water that is used however, this is most effectively achieved through the application of building regulations and the optional technical standards which are clear as to the level of reduction the Government considers to be necessary in a water stressed area. As there is an existing national standard for such areas then the only sound approach is to apply that standard – which remains 110 lppd. This may change, and our understanding is that the Government are looking at a lower standard for water stressed areas but, in the meantime, the only sound approach is to apply the optional technical standards. Amending the water use standard will also remove the need for the water </w:t>
      </w:r>
      <w:r w:rsidRPr="00067F15">
        <w:rPr>
          <w:rFonts w:ascii="Times New Roman" w:hAnsi="Times New Roman" w:cs="Times New Roman"/>
          <w:bCs/>
        </w:rPr>
        <w:t>efficient</w:t>
      </w:r>
      <w:r w:rsidRPr="00067F15">
        <w:rPr>
          <w:rFonts w:ascii="Times New Roman" w:hAnsi="Times New Roman" w:cs="Times New Roman"/>
          <w:bCs/>
        </w:rPr>
        <w:t xml:space="preserve"> design statement set out in part 2 of the policy as compliance with the standard will be addressed through building control.</w:t>
      </w:r>
      <w:r w:rsidRPr="00067F15">
        <w:rPr>
          <w:rFonts w:ascii="Times New Roman" w:hAnsi="Times New Roman" w:cs="Times New Roman"/>
          <w:bCs/>
        </w:rPr>
        <w:t xml:space="preserve"> </w:t>
      </w:r>
    </w:p>
    <w:p w14:paraId="7DFF6FDF" w14:textId="08E0B174" w:rsidR="00C41521" w:rsidRPr="00307877" w:rsidRDefault="00BB4783" w:rsidP="00307877">
      <w:pPr>
        <w:widowControl/>
        <w:tabs>
          <w:tab w:val="left" w:pos="2268"/>
        </w:tabs>
        <w:suppressAutoHyphens w:val="0"/>
        <w:autoSpaceDE/>
        <w:spacing w:after="240" w:line="360" w:lineRule="auto"/>
        <w:jc w:val="both"/>
        <w:rPr>
          <w:rFonts w:ascii="Times New Roman" w:hAnsi="Times New Roman" w:cs="Times New Roman"/>
          <w:b/>
        </w:rPr>
      </w:pPr>
      <w:r w:rsidRPr="00307877">
        <w:rPr>
          <w:rFonts w:ascii="Times New Roman" w:hAnsi="Times New Roman" w:cs="Times New Roman"/>
          <w:b/>
        </w:rPr>
        <w:t>H1: Housing Mix</w:t>
      </w:r>
    </w:p>
    <w:p w14:paraId="638E93F4" w14:textId="32F3F19F" w:rsidR="00812F4F" w:rsidRPr="00307877" w:rsidRDefault="00067F15"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t>
      </w:r>
      <w:r w:rsidR="00E21408">
        <w:rPr>
          <w:rFonts w:ascii="Times New Roman" w:hAnsi="Times New Roman" w:cs="Times New Roman"/>
          <w:bCs/>
        </w:rPr>
        <w:t>welcomes</w:t>
      </w:r>
      <w:r>
        <w:rPr>
          <w:rFonts w:ascii="Times New Roman" w:hAnsi="Times New Roman" w:cs="Times New Roman"/>
          <w:bCs/>
        </w:rPr>
        <w:t xml:space="preserve"> the</w:t>
      </w:r>
      <w:r w:rsidR="00BB4783" w:rsidRPr="00307877">
        <w:rPr>
          <w:rFonts w:ascii="Times New Roman" w:hAnsi="Times New Roman" w:cs="Times New Roman"/>
          <w:bCs/>
        </w:rPr>
        <w:t xml:space="preserve"> </w:t>
      </w:r>
      <w:r w:rsidR="00FA240E">
        <w:rPr>
          <w:rFonts w:ascii="Times New Roman" w:hAnsi="Times New Roman" w:cs="Times New Roman"/>
          <w:bCs/>
        </w:rPr>
        <w:t xml:space="preserve">flexibility within </w:t>
      </w:r>
      <w:r w:rsidR="00E96E02">
        <w:rPr>
          <w:rFonts w:ascii="Times New Roman" w:hAnsi="Times New Roman" w:cs="Times New Roman"/>
          <w:bCs/>
        </w:rPr>
        <w:t>t</w:t>
      </w:r>
      <w:r w:rsidR="00FA240E">
        <w:rPr>
          <w:rFonts w:ascii="Times New Roman" w:hAnsi="Times New Roman" w:cs="Times New Roman"/>
          <w:bCs/>
        </w:rPr>
        <w:t xml:space="preserve">his </w:t>
      </w:r>
      <w:r w:rsidR="00E96E02">
        <w:rPr>
          <w:rFonts w:ascii="Times New Roman" w:hAnsi="Times New Roman" w:cs="Times New Roman"/>
          <w:bCs/>
        </w:rPr>
        <w:t>policy</w:t>
      </w:r>
      <w:r w:rsidR="00FA240E">
        <w:rPr>
          <w:rFonts w:ascii="Times New Roman" w:hAnsi="Times New Roman" w:cs="Times New Roman"/>
          <w:bCs/>
        </w:rPr>
        <w:t xml:space="preserve"> which </w:t>
      </w:r>
      <w:r w:rsidR="001B15A3">
        <w:rPr>
          <w:rFonts w:ascii="Times New Roman" w:hAnsi="Times New Roman" w:cs="Times New Roman"/>
          <w:bCs/>
        </w:rPr>
        <w:t xml:space="preserve">allows for other evidence to provided to support an alternative hosing mix. This </w:t>
      </w:r>
      <w:r w:rsidR="00E96E02">
        <w:rPr>
          <w:rFonts w:ascii="Times New Roman" w:hAnsi="Times New Roman" w:cs="Times New Roman"/>
          <w:bCs/>
        </w:rPr>
        <w:t>recognises</w:t>
      </w:r>
      <w:r w:rsidR="001B15A3">
        <w:rPr>
          <w:rFonts w:ascii="Times New Roman" w:hAnsi="Times New Roman" w:cs="Times New Roman"/>
          <w:bCs/>
        </w:rPr>
        <w:t xml:space="preserve"> that the LHNA is a snap short in time across the borough and as such </w:t>
      </w:r>
      <w:r w:rsidR="00E96E02">
        <w:rPr>
          <w:rFonts w:ascii="Times New Roman" w:hAnsi="Times New Roman" w:cs="Times New Roman"/>
          <w:bCs/>
        </w:rPr>
        <w:t xml:space="preserve">may lack relevance in some locations. </w:t>
      </w:r>
      <w:r w:rsidR="00E21408">
        <w:rPr>
          <w:rFonts w:ascii="Times New Roman" w:hAnsi="Times New Roman" w:cs="Times New Roman"/>
          <w:bCs/>
        </w:rPr>
        <w:t xml:space="preserve">However, we would </w:t>
      </w:r>
      <w:r w:rsidR="00BB4783" w:rsidRPr="00307877">
        <w:rPr>
          <w:rFonts w:ascii="Times New Roman" w:hAnsi="Times New Roman" w:cs="Times New Roman"/>
          <w:bCs/>
        </w:rPr>
        <w:t xml:space="preserve">suggest </w:t>
      </w:r>
      <w:r w:rsidR="00E21408">
        <w:rPr>
          <w:rFonts w:ascii="Times New Roman" w:hAnsi="Times New Roman" w:cs="Times New Roman"/>
          <w:bCs/>
        </w:rPr>
        <w:t xml:space="preserve">that the </w:t>
      </w:r>
      <w:r w:rsidR="00BB4783" w:rsidRPr="00307877">
        <w:rPr>
          <w:rFonts w:ascii="Times New Roman" w:hAnsi="Times New Roman" w:cs="Times New Roman"/>
          <w:bCs/>
        </w:rPr>
        <w:t xml:space="preserve">table in part a is removed </w:t>
      </w:r>
      <w:r w:rsidR="00804A17" w:rsidRPr="00307877">
        <w:rPr>
          <w:rFonts w:ascii="Times New Roman" w:hAnsi="Times New Roman" w:cs="Times New Roman"/>
          <w:bCs/>
        </w:rPr>
        <w:t>given that th</w:t>
      </w:r>
      <w:r w:rsidR="00E21408">
        <w:rPr>
          <w:rFonts w:ascii="Times New Roman" w:hAnsi="Times New Roman" w:cs="Times New Roman"/>
          <w:bCs/>
        </w:rPr>
        <w:t>e evidence relating to mix could change over time</w:t>
      </w:r>
      <w:r w:rsidR="00F33295">
        <w:rPr>
          <w:rFonts w:ascii="Times New Roman" w:hAnsi="Times New Roman" w:cs="Times New Roman"/>
          <w:bCs/>
        </w:rPr>
        <w:t xml:space="preserve">. Part a should simply state that </w:t>
      </w:r>
      <w:r w:rsidR="0038237A">
        <w:rPr>
          <w:rFonts w:ascii="Times New Roman" w:hAnsi="Times New Roman" w:cs="Times New Roman"/>
          <w:bCs/>
        </w:rPr>
        <w:t xml:space="preserve">residential development will be </w:t>
      </w:r>
      <w:r w:rsidR="0038237A">
        <w:rPr>
          <w:rFonts w:ascii="Times New Roman" w:hAnsi="Times New Roman" w:cs="Times New Roman"/>
          <w:bCs/>
        </w:rPr>
        <w:lastRenderedPageBreak/>
        <w:t xml:space="preserve">supported where it is informed by the most recent local housing needs assessment. </w:t>
      </w:r>
      <w:r w:rsidR="00804A17" w:rsidRPr="00307877">
        <w:rPr>
          <w:rFonts w:ascii="Times New Roman" w:hAnsi="Times New Roman" w:cs="Times New Roman"/>
          <w:bCs/>
        </w:rPr>
        <w:t xml:space="preserve">informed by most recent local housing needs assessment. </w:t>
      </w:r>
    </w:p>
    <w:p w14:paraId="1F48FF26" w14:textId="4CA04BFC" w:rsidR="00BE03FE" w:rsidRPr="00307877" w:rsidRDefault="00812F4F" w:rsidP="00307877">
      <w:pPr>
        <w:widowControl/>
        <w:tabs>
          <w:tab w:val="left" w:pos="2268"/>
        </w:tabs>
        <w:suppressAutoHyphens w:val="0"/>
        <w:autoSpaceDE/>
        <w:spacing w:after="240" w:line="360" w:lineRule="auto"/>
        <w:jc w:val="both"/>
        <w:rPr>
          <w:rFonts w:ascii="Times New Roman" w:hAnsi="Times New Roman" w:cs="Times New Roman"/>
          <w:b/>
        </w:rPr>
      </w:pPr>
      <w:r w:rsidRPr="00307877">
        <w:rPr>
          <w:rFonts w:ascii="Times New Roman" w:hAnsi="Times New Roman" w:cs="Times New Roman"/>
          <w:b/>
        </w:rPr>
        <w:t>H5: Specialist Housing including Housing for an Aging Population</w:t>
      </w:r>
    </w:p>
    <w:p w14:paraId="0A84D094" w14:textId="4CE92166" w:rsidR="00BB4783" w:rsidRPr="00307877" w:rsidRDefault="00EE0A94"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While</w:t>
      </w:r>
      <w:r w:rsidR="00EA6CB6">
        <w:rPr>
          <w:rFonts w:ascii="Times New Roman" w:hAnsi="Times New Roman" w:cs="Times New Roman"/>
          <w:bCs/>
        </w:rPr>
        <w:t xml:space="preserve"> HBF </w:t>
      </w:r>
      <w:r w:rsidR="00FF6668">
        <w:rPr>
          <w:rFonts w:ascii="Times New Roman" w:hAnsi="Times New Roman" w:cs="Times New Roman"/>
          <w:bCs/>
        </w:rPr>
        <w:t>welcomes</w:t>
      </w:r>
      <w:r w:rsidR="00EA6CB6">
        <w:rPr>
          <w:rFonts w:ascii="Times New Roman" w:hAnsi="Times New Roman" w:cs="Times New Roman"/>
          <w:bCs/>
        </w:rPr>
        <w:t xml:space="preserve"> </w:t>
      </w:r>
      <w:r>
        <w:rPr>
          <w:rFonts w:ascii="Times New Roman" w:hAnsi="Times New Roman" w:cs="Times New Roman"/>
          <w:bCs/>
        </w:rPr>
        <w:t xml:space="preserve">the </w:t>
      </w:r>
      <w:r w:rsidR="00EA6CB6">
        <w:rPr>
          <w:rFonts w:ascii="Times New Roman" w:hAnsi="Times New Roman" w:cs="Times New Roman"/>
          <w:bCs/>
        </w:rPr>
        <w:t xml:space="preserve">support for the provision of </w:t>
      </w:r>
      <w:r>
        <w:rPr>
          <w:rFonts w:ascii="Times New Roman" w:hAnsi="Times New Roman" w:cs="Times New Roman"/>
          <w:bCs/>
        </w:rPr>
        <w:t>specialist</w:t>
      </w:r>
      <w:r w:rsidR="00EA6CB6">
        <w:rPr>
          <w:rFonts w:ascii="Times New Roman" w:hAnsi="Times New Roman" w:cs="Times New Roman"/>
          <w:bCs/>
        </w:rPr>
        <w:t xml:space="preserve"> </w:t>
      </w:r>
      <w:r>
        <w:rPr>
          <w:rFonts w:ascii="Times New Roman" w:hAnsi="Times New Roman" w:cs="Times New Roman"/>
          <w:bCs/>
        </w:rPr>
        <w:t>accommodation</w:t>
      </w:r>
      <w:r w:rsidR="00EA6CB6">
        <w:rPr>
          <w:rFonts w:ascii="Times New Roman" w:hAnsi="Times New Roman" w:cs="Times New Roman"/>
          <w:bCs/>
        </w:rPr>
        <w:t xml:space="preserve"> </w:t>
      </w:r>
      <w:r>
        <w:rPr>
          <w:rFonts w:ascii="Times New Roman" w:hAnsi="Times New Roman" w:cs="Times New Roman"/>
          <w:bCs/>
        </w:rPr>
        <w:t>t</w:t>
      </w:r>
      <w:r w:rsidR="00EA6CB6">
        <w:rPr>
          <w:rFonts w:ascii="Times New Roman" w:hAnsi="Times New Roman" w:cs="Times New Roman"/>
          <w:bCs/>
        </w:rPr>
        <w:t xml:space="preserve">he Council should </w:t>
      </w:r>
      <w:r>
        <w:rPr>
          <w:rFonts w:ascii="Times New Roman" w:hAnsi="Times New Roman" w:cs="Times New Roman"/>
          <w:bCs/>
        </w:rPr>
        <w:t xml:space="preserve">be seeking to identify sites </w:t>
      </w:r>
      <w:r w:rsidR="009D7D42">
        <w:rPr>
          <w:rFonts w:ascii="Times New Roman" w:hAnsi="Times New Roman" w:cs="Times New Roman"/>
          <w:bCs/>
        </w:rPr>
        <w:t xml:space="preserve">that support such development rather than rely on  sites of </w:t>
      </w:r>
      <w:r w:rsidR="00DB4DC4" w:rsidRPr="00307877">
        <w:rPr>
          <w:rFonts w:ascii="Times New Roman" w:hAnsi="Times New Roman" w:cs="Times New Roman"/>
          <w:bCs/>
        </w:rPr>
        <w:t>500 dwellings or more to provide</w:t>
      </w:r>
      <w:r w:rsidR="009D7D42">
        <w:rPr>
          <w:rFonts w:ascii="Times New Roman" w:hAnsi="Times New Roman" w:cs="Times New Roman"/>
          <w:bCs/>
        </w:rPr>
        <w:t xml:space="preserve"> such development. The </w:t>
      </w:r>
      <w:r w:rsidR="00FF6668">
        <w:rPr>
          <w:rFonts w:ascii="Times New Roman" w:hAnsi="Times New Roman" w:cs="Times New Roman"/>
          <w:bCs/>
        </w:rPr>
        <w:t>Council</w:t>
      </w:r>
      <w:r w:rsidR="009D7D42">
        <w:rPr>
          <w:rFonts w:ascii="Times New Roman" w:hAnsi="Times New Roman" w:cs="Times New Roman"/>
          <w:bCs/>
        </w:rPr>
        <w:t xml:space="preserve"> </w:t>
      </w:r>
      <w:r w:rsidR="00AF4BA1">
        <w:rPr>
          <w:rFonts w:ascii="Times New Roman" w:hAnsi="Times New Roman" w:cs="Times New Roman"/>
          <w:bCs/>
        </w:rPr>
        <w:t>needs</w:t>
      </w:r>
      <w:r w:rsidR="009D7D42">
        <w:rPr>
          <w:rFonts w:ascii="Times New Roman" w:hAnsi="Times New Roman" w:cs="Times New Roman"/>
          <w:bCs/>
        </w:rPr>
        <w:t xml:space="preserve"> to </w:t>
      </w:r>
      <w:r w:rsidR="00FF6668">
        <w:rPr>
          <w:rFonts w:ascii="Times New Roman" w:hAnsi="Times New Roman" w:cs="Times New Roman"/>
          <w:bCs/>
        </w:rPr>
        <w:t>engage</w:t>
      </w:r>
      <w:r w:rsidR="009D7D42">
        <w:rPr>
          <w:rFonts w:ascii="Times New Roman" w:hAnsi="Times New Roman" w:cs="Times New Roman"/>
          <w:bCs/>
        </w:rPr>
        <w:t xml:space="preserve"> with the </w:t>
      </w:r>
      <w:r w:rsidR="00FF6668">
        <w:rPr>
          <w:rFonts w:ascii="Times New Roman" w:hAnsi="Times New Roman" w:cs="Times New Roman"/>
          <w:bCs/>
        </w:rPr>
        <w:t>developers</w:t>
      </w:r>
      <w:r w:rsidR="009D7D42">
        <w:rPr>
          <w:rFonts w:ascii="Times New Roman" w:hAnsi="Times New Roman" w:cs="Times New Roman"/>
          <w:bCs/>
        </w:rPr>
        <w:t xml:space="preserve"> and providers and specialist </w:t>
      </w:r>
      <w:r w:rsidR="00FF6668">
        <w:rPr>
          <w:rFonts w:ascii="Times New Roman" w:hAnsi="Times New Roman" w:cs="Times New Roman"/>
          <w:bCs/>
        </w:rPr>
        <w:t>accommodation and</w:t>
      </w:r>
      <w:r w:rsidR="009D7D42">
        <w:rPr>
          <w:rFonts w:ascii="Times New Roman" w:hAnsi="Times New Roman" w:cs="Times New Roman"/>
          <w:bCs/>
        </w:rPr>
        <w:t xml:space="preserve"> work with them to </w:t>
      </w:r>
      <w:r w:rsidR="00FF6668">
        <w:rPr>
          <w:rFonts w:ascii="Times New Roman" w:hAnsi="Times New Roman" w:cs="Times New Roman"/>
          <w:bCs/>
        </w:rPr>
        <w:t>identify</w:t>
      </w:r>
      <w:r w:rsidR="009D7D42">
        <w:rPr>
          <w:rFonts w:ascii="Times New Roman" w:hAnsi="Times New Roman" w:cs="Times New Roman"/>
          <w:bCs/>
        </w:rPr>
        <w:t xml:space="preserve"> </w:t>
      </w:r>
      <w:r w:rsidR="00FF6668">
        <w:rPr>
          <w:rFonts w:ascii="Times New Roman" w:hAnsi="Times New Roman" w:cs="Times New Roman"/>
          <w:bCs/>
        </w:rPr>
        <w:t>appropriate sites</w:t>
      </w:r>
      <w:r w:rsidR="00597015">
        <w:rPr>
          <w:rFonts w:ascii="Times New Roman" w:hAnsi="Times New Roman" w:cs="Times New Roman"/>
          <w:bCs/>
        </w:rPr>
        <w:t xml:space="preserve"> rathe than rely on more speculative </w:t>
      </w:r>
      <w:r w:rsidR="003D4935">
        <w:rPr>
          <w:rFonts w:ascii="Times New Roman" w:hAnsi="Times New Roman" w:cs="Times New Roman"/>
          <w:bCs/>
        </w:rPr>
        <w:t>approaches</w:t>
      </w:r>
      <w:r w:rsidR="00597015">
        <w:rPr>
          <w:rFonts w:ascii="Times New Roman" w:hAnsi="Times New Roman" w:cs="Times New Roman"/>
          <w:bCs/>
        </w:rPr>
        <w:t xml:space="preserve"> to meeting the </w:t>
      </w:r>
      <w:r w:rsidR="003D4935">
        <w:rPr>
          <w:rFonts w:ascii="Times New Roman" w:hAnsi="Times New Roman" w:cs="Times New Roman"/>
          <w:bCs/>
        </w:rPr>
        <w:t>needs of older people.</w:t>
      </w:r>
    </w:p>
    <w:p w14:paraId="57A0A686" w14:textId="45B70459" w:rsidR="00281DB0" w:rsidRPr="00307877" w:rsidRDefault="00E60D53"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With</w:t>
      </w:r>
      <w:r w:rsidR="0040122C">
        <w:rPr>
          <w:rFonts w:ascii="Times New Roman" w:hAnsi="Times New Roman" w:cs="Times New Roman"/>
          <w:bCs/>
        </w:rPr>
        <w:t xml:space="preserve"> regard to the </w:t>
      </w:r>
      <w:r>
        <w:rPr>
          <w:rFonts w:ascii="Times New Roman" w:hAnsi="Times New Roman" w:cs="Times New Roman"/>
          <w:bCs/>
        </w:rPr>
        <w:t>requirement</w:t>
      </w:r>
      <w:r w:rsidR="0040122C">
        <w:rPr>
          <w:rFonts w:ascii="Times New Roman" w:hAnsi="Times New Roman" w:cs="Times New Roman"/>
          <w:bCs/>
        </w:rPr>
        <w:t xml:space="preserve"> for </w:t>
      </w:r>
      <w:r w:rsidR="00396D0A">
        <w:rPr>
          <w:rFonts w:ascii="Times New Roman" w:hAnsi="Times New Roman" w:cs="Times New Roman"/>
          <w:bCs/>
        </w:rPr>
        <w:t xml:space="preserve">5% of market homes to and 10% of affordable homes to be built to part M4(3) of the building </w:t>
      </w:r>
      <w:r>
        <w:rPr>
          <w:rFonts w:ascii="Times New Roman" w:hAnsi="Times New Roman" w:cs="Times New Roman"/>
          <w:bCs/>
        </w:rPr>
        <w:t>regulations</w:t>
      </w:r>
      <w:r w:rsidR="00396D0A">
        <w:rPr>
          <w:rFonts w:ascii="Times New Roman" w:hAnsi="Times New Roman" w:cs="Times New Roman"/>
          <w:bCs/>
        </w:rPr>
        <w:t xml:space="preserve"> it is </w:t>
      </w:r>
      <w:r>
        <w:rPr>
          <w:rFonts w:ascii="Times New Roman" w:hAnsi="Times New Roman" w:cs="Times New Roman"/>
          <w:bCs/>
        </w:rPr>
        <w:t>notable</w:t>
      </w:r>
      <w:r w:rsidR="00396D0A">
        <w:rPr>
          <w:rFonts w:ascii="Times New Roman" w:hAnsi="Times New Roman" w:cs="Times New Roman"/>
          <w:bCs/>
        </w:rPr>
        <w:t xml:space="preserve"> that the council have </w:t>
      </w:r>
      <w:r>
        <w:rPr>
          <w:rFonts w:ascii="Times New Roman" w:hAnsi="Times New Roman" w:cs="Times New Roman"/>
          <w:bCs/>
        </w:rPr>
        <w:t xml:space="preserve">chosen to base their assessment of need </w:t>
      </w:r>
      <w:r w:rsidR="008C5796">
        <w:rPr>
          <w:rFonts w:ascii="Times New Roman" w:hAnsi="Times New Roman" w:cs="Times New Roman"/>
          <w:bCs/>
        </w:rPr>
        <w:t>on data relating to individuals who</w:t>
      </w:r>
      <w:r>
        <w:rPr>
          <w:rFonts w:ascii="Times New Roman" w:hAnsi="Times New Roman" w:cs="Times New Roman"/>
          <w:bCs/>
        </w:rPr>
        <w:t xml:space="preserve"> use a wheelchair both inside and outside the home</w:t>
      </w:r>
      <w:r w:rsidR="008C5796">
        <w:rPr>
          <w:rFonts w:ascii="Times New Roman" w:hAnsi="Times New Roman" w:cs="Times New Roman"/>
          <w:bCs/>
        </w:rPr>
        <w:t xml:space="preserve"> </w:t>
      </w:r>
      <w:r w:rsidR="00B16DAC">
        <w:rPr>
          <w:rFonts w:ascii="Times New Roman" w:hAnsi="Times New Roman" w:cs="Times New Roman"/>
          <w:bCs/>
        </w:rPr>
        <w:t>rather</w:t>
      </w:r>
      <w:r w:rsidR="008C5796">
        <w:rPr>
          <w:rFonts w:ascii="Times New Roman" w:hAnsi="Times New Roman" w:cs="Times New Roman"/>
          <w:bCs/>
        </w:rPr>
        <w:t xml:space="preserve"> than just those who use a wh</w:t>
      </w:r>
      <w:r w:rsidR="00B16DAC">
        <w:rPr>
          <w:rFonts w:ascii="Times New Roman" w:hAnsi="Times New Roman" w:cs="Times New Roman"/>
          <w:bCs/>
        </w:rPr>
        <w:t>eelchair inside the home and who will require it to be built to part M4(3)</w:t>
      </w:r>
      <w:r w:rsidR="001E4BAF">
        <w:rPr>
          <w:rFonts w:ascii="Times New Roman" w:hAnsi="Times New Roman" w:cs="Times New Roman"/>
          <w:bCs/>
        </w:rPr>
        <w:t xml:space="preserve">. The figures are quite different with only 0.7% of owner occupier using a wheelchair both inside and outside the home. </w:t>
      </w:r>
      <w:r w:rsidR="00E3435C">
        <w:rPr>
          <w:rFonts w:ascii="Times New Roman" w:hAnsi="Times New Roman" w:cs="Times New Roman"/>
          <w:bCs/>
        </w:rPr>
        <w:t xml:space="preserve">While HBF </w:t>
      </w:r>
      <w:r w:rsidR="00BC5C5D">
        <w:rPr>
          <w:rFonts w:ascii="Times New Roman" w:hAnsi="Times New Roman" w:cs="Times New Roman"/>
          <w:bCs/>
        </w:rPr>
        <w:t>recognise</w:t>
      </w:r>
      <w:r w:rsidR="00E3435C">
        <w:rPr>
          <w:rFonts w:ascii="Times New Roman" w:hAnsi="Times New Roman" w:cs="Times New Roman"/>
          <w:bCs/>
        </w:rPr>
        <w:t xml:space="preserve"> the need for some home  to be built to part M4(3) </w:t>
      </w:r>
      <w:r w:rsidR="00BC5C5D">
        <w:rPr>
          <w:rFonts w:ascii="Times New Roman" w:hAnsi="Times New Roman" w:cs="Times New Roman"/>
          <w:bCs/>
        </w:rPr>
        <w:t>where required there is a danger that the council’s assessment over estimates the demand for such homes</w:t>
      </w:r>
      <w:r w:rsidR="00CD550B">
        <w:rPr>
          <w:rFonts w:ascii="Times New Roman" w:hAnsi="Times New Roman" w:cs="Times New Roman"/>
          <w:bCs/>
        </w:rPr>
        <w:t xml:space="preserve">. HBF would suggest the council reconsider the evidence and examine need on the basis of those who use a wheelchair inside the home. </w:t>
      </w:r>
      <w:r w:rsidR="00BC5C5D">
        <w:rPr>
          <w:rFonts w:ascii="Times New Roman" w:hAnsi="Times New Roman" w:cs="Times New Roman"/>
          <w:bCs/>
        </w:rPr>
        <w:t xml:space="preserve"> </w:t>
      </w:r>
    </w:p>
    <w:p w14:paraId="435371CF" w14:textId="6ED38B25" w:rsidR="006A678B" w:rsidRPr="00307877" w:rsidRDefault="006A678B" w:rsidP="00307877">
      <w:pPr>
        <w:widowControl/>
        <w:tabs>
          <w:tab w:val="left" w:pos="2268"/>
        </w:tabs>
        <w:suppressAutoHyphens w:val="0"/>
        <w:autoSpaceDE/>
        <w:spacing w:after="240" w:line="360" w:lineRule="auto"/>
        <w:jc w:val="both"/>
        <w:rPr>
          <w:rFonts w:ascii="Times New Roman" w:hAnsi="Times New Roman" w:cs="Times New Roman"/>
          <w:b/>
        </w:rPr>
      </w:pPr>
      <w:r w:rsidRPr="00307877">
        <w:rPr>
          <w:rFonts w:ascii="Times New Roman" w:hAnsi="Times New Roman" w:cs="Times New Roman"/>
          <w:b/>
        </w:rPr>
        <w:t>H6: Self and Custom Build</w:t>
      </w:r>
    </w:p>
    <w:p w14:paraId="54DC6045" w14:textId="6E38408D" w:rsidR="0007709F" w:rsidRPr="0007709F" w:rsidRDefault="00B1178E" w:rsidP="004A338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07709F">
        <w:rPr>
          <w:rFonts w:ascii="Times New Roman" w:hAnsi="Times New Roman" w:cs="Times New Roman"/>
          <w:bCs/>
        </w:rPr>
        <w:t xml:space="preserve">This </w:t>
      </w:r>
      <w:r w:rsidR="003A45E9" w:rsidRPr="0007709F">
        <w:rPr>
          <w:rFonts w:ascii="Times New Roman" w:hAnsi="Times New Roman" w:cs="Times New Roman"/>
          <w:bCs/>
        </w:rPr>
        <w:t>policy</w:t>
      </w:r>
      <w:r w:rsidRPr="0007709F">
        <w:rPr>
          <w:rFonts w:ascii="Times New Roman" w:hAnsi="Times New Roman" w:cs="Times New Roman"/>
          <w:bCs/>
        </w:rPr>
        <w:t xml:space="preserve"> requires </w:t>
      </w:r>
      <w:r w:rsidR="006A678B" w:rsidRPr="0007709F">
        <w:rPr>
          <w:rFonts w:ascii="Times New Roman" w:hAnsi="Times New Roman" w:cs="Times New Roman"/>
          <w:bCs/>
        </w:rPr>
        <w:t xml:space="preserve">2% </w:t>
      </w:r>
      <w:r w:rsidRPr="0007709F">
        <w:rPr>
          <w:rFonts w:ascii="Times New Roman" w:hAnsi="Times New Roman" w:cs="Times New Roman"/>
          <w:bCs/>
        </w:rPr>
        <w:t xml:space="preserve">of homes </w:t>
      </w:r>
      <w:r w:rsidR="00EF015B" w:rsidRPr="0007709F">
        <w:rPr>
          <w:rFonts w:ascii="Times New Roman" w:hAnsi="Times New Roman" w:cs="Times New Roman"/>
          <w:bCs/>
        </w:rPr>
        <w:t xml:space="preserve">on </w:t>
      </w:r>
      <w:r w:rsidR="00CE4581" w:rsidRPr="0007709F">
        <w:rPr>
          <w:rFonts w:ascii="Times New Roman" w:hAnsi="Times New Roman" w:cs="Times New Roman"/>
          <w:bCs/>
        </w:rPr>
        <w:t xml:space="preserve">sites of </w:t>
      </w:r>
      <w:r w:rsidR="00EF015B" w:rsidRPr="0007709F">
        <w:rPr>
          <w:rFonts w:ascii="Times New Roman" w:hAnsi="Times New Roman" w:cs="Times New Roman"/>
          <w:bCs/>
        </w:rPr>
        <w:t xml:space="preserve">150 + </w:t>
      </w:r>
      <w:r w:rsidR="00CE4581" w:rsidRPr="0007709F">
        <w:rPr>
          <w:rFonts w:ascii="Times New Roman" w:hAnsi="Times New Roman" w:cs="Times New Roman"/>
          <w:bCs/>
        </w:rPr>
        <w:t xml:space="preserve"> homes to be provided as self-build plots. </w:t>
      </w:r>
      <w:r w:rsidR="003A45E9" w:rsidRPr="0007709F">
        <w:rPr>
          <w:rFonts w:ascii="Times New Roman" w:hAnsi="Times New Roman" w:cs="Times New Roman"/>
          <w:bCs/>
        </w:rPr>
        <w:t>Firstly,</w:t>
      </w:r>
      <w:r w:rsidR="00CE4581" w:rsidRPr="0007709F">
        <w:rPr>
          <w:rFonts w:ascii="Times New Roman" w:hAnsi="Times New Roman" w:cs="Times New Roman"/>
          <w:bCs/>
        </w:rPr>
        <w:t xml:space="preserve"> </w:t>
      </w:r>
      <w:r w:rsidR="00EF015B" w:rsidRPr="0007709F">
        <w:rPr>
          <w:rFonts w:ascii="Times New Roman" w:hAnsi="Times New Roman" w:cs="Times New Roman"/>
          <w:bCs/>
        </w:rPr>
        <w:t xml:space="preserve"> </w:t>
      </w:r>
      <w:r w:rsidR="00CE4581" w:rsidRPr="0007709F">
        <w:rPr>
          <w:rFonts w:ascii="Times New Roman" w:hAnsi="Times New Roman" w:cs="Times New Roman"/>
          <w:bCs/>
        </w:rPr>
        <w:t xml:space="preserve">HBF </w:t>
      </w:r>
      <w:r w:rsidR="003A45E9" w:rsidRPr="0007709F">
        <w:rPr>
          <w:rFonts w:ascii="Times New Roman" w:hAnsi="Times New Roman" w:cs="Times New Roman"/>
          <w:bCs/>
        </w:rPr>
        <w:t>could</w:t>
      </w:r>
      <w:r w:rsidR="00CE4581" w:rsidRPr="0007709F">
        <w:rPr>
          <w:rFonts w:ascii="Times New Roman" w:hAnsi="Times New Roman" w:cs="Times New Roman"/>
          <w:bCs/>
        </w:rPr>
        <w:t xml:space="preserve"> </w:t>
      </w:r>
      <w:r w:rsidR="003A45E9" w:rsidRPr="0007709F">
        <w:rPr>
          <w:rFonts w:ascii="Times New Roman" w:hAnsi="Times New Roman" w:cs="Times New Roman"/>
          <w:bCs/>
        </w:rPr>
        <w:t>n</w:t>
      </w:r>
      <w:r w:rsidR="00CE4581" w:rsidRPr="0007709F">
        <w:rPr>
          <w:rFonts w:ascii="Times New Roman" w:hAnsi="Times New Roman" w:cs="Times New Roman"/>
          <w:bCs/>
        </w:rPr>
        <w:t xml:space="preserve">ot find </w:t>
      </w:r>
      <w:r w:rsidR="003A45E9" w:rsidRPr="0007709F">
        <w:rPr>
          <w:rFonts w:ascii="Times New Roman" w:hAnsi="Times New Roman" w:cs="Times New Roman"/>
          <w:bCs/>
        </w:rPr>
        <w:t>the evidence</w:t>
      </w:r>
      <w:r w:rsidR="00CE4581" w:rsidRPr="0007709F">
        <w:rPr>
          <w:rFonts w:ascii="Times New Roman" w:hAnsi="Times New Roman" w:cs="Times New Roman"/>
          <w:bCs/>
        </w:rPr>
        <w:t xml:space="preserve"> </w:t>
      </w:r>
      <w:r w:rsidR="00380FC2" w:rsidRPr="0007709F">
        <w:rPr>
          <w:rFonts w:ascii="Times New Roman" w:hAnsi="Times New Roman" w:cs="Times New Roman"/>
          <w:bCs/>
        </w:rPr>
        <w:t xml:space="preserve">as the demand for self-build homes in Colchester. </w:t>
      </w:r>
      <w:r w:rsidR="009759CD" w:rsidRPr="0007709F">
        <w:rPr>
          <w:rFonts w:ascii="Times New Roman" w:hAnsi="Times New Roman" w:cs="Times New Roman"/>
          <w:bCs/>
        </w:rPr>
        <w:t xml:space="preserve">Secondly if there is demand for </w:t>
      </w:r>
      <w:r w:rsidR="0007709F" w:rsidRPr="0007709F">
        <w:rPr>
          <w:rFonts w:ascii="Times New Roman" w:hAnsi="Times New Roman" w:cs="Times New Roman"/>
          <w:bCs/>
        </w:rPr>
        <w:t>self-build</w:t>
      </w:r>
      <w:r w:rsidR="009759CD" w:rsidRPr="0007709F">
        <w:rPr>
          <w:rFonts w:ascii="Times New Roman" w:hAnsi="Times New Roman" w:cs="Times New Roman"/>
          <w:bCs/>
        </w:rPr>
        <w:t xml:space="preserve"> homes then the Council must </w:t>
      </w:r>
      <w:r w:rsidR="0007709F">
        <w:rPr>
          <w:rFonts w:ascii="Times New Roman" w:hAnsi="Times New Roman" w:cs="Times New Roman"/>
          <w:bCs/>
        </w:rPr>
        <w:t xml:space="preserve">first </w:t>
      </w:r>
      <w:r w:rsidR="009759CD" w:rsidRPr="0007709F">
        <w:rPr>
          <w:rFonts w:ascii="Times New Roman" w:hAnsi="Times New Roman" w:cs="Times New Roman"/>
          <w:bCs/>
        </w:rPr>
        <w:t xml:space="preserve">consider </w:t>
      </w:r>
      <w:r w:rsidR="0007709F" w:rsidRPr="0007709F">
        <w:rPr>
          <w:rFonts w:ascii="Times New Roman" w:hAnsi="Times New Roman" w:cs="Times New Roman"/>
          <w:bCs/>
        </w:rPr>
        <w:t xml:space="preserve">alternative options for providing self-build plots it has considered before placing the burden of meeting these needs on house builders. PPG sets in paragraph 57-025 that planning authorities should not only use planning policies to meet needs but also whether they could use their own land to meet those needs, how have they engaged directly with landowners to try and bring forward specific sites for self-build. It is essential that these mechanism are considered prior to setting requirements in local plans for plot delivery on larger sites. </w:t>
      </w:r>
    </w:p>
    <w:p w14:paraId="25660CC9" w14:textId="77777777" w:rsidR="0007709F" w:rsidRPr="0007709F" w:rsidRDefault="0007709F" w:rsidP="004A338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07709F">
        <w:rPr>
          <w:rFonts w:ascii="Times New Roman" w:hAnsi="Times New Roman" w:cs="Times New Roman"/>
          <w:bCs/>
        </w:rPr>
        <w:t xml:space="preserve">The Council also needs to consider the difficulties in providing self-build plots on new housing developments and how there are coordinated with the development of a wider site. At any one time, there are often multiple contractors and large machinery operating on-site and therefore from both a practical and health and safety perspective, it is difficult to envisage the development of single plots by individuals operating alongside this construction activity. It may also be the case that it is unfeasible to provide self-build plots on sites taking into account topography and access and the degree to which self-build and the rest of the side can be developed separately. HBF would therefore recommend that in part 2 of the policy that where developer can show that provision of plots is either unfeasible or unviable then they will not need to be provided.  </w:t>
      </w:r>
    </w:p>
    <w:p w14:paraId="2DAD22B6" w14:textId="1228BDCE" w:rsidR="009E6C9F" w:rsidRPr="004A3381" w:rsidRDefault="0007709F" w:rsidP="004A338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4A3381">
        <w:rPr>
          <w:rFonts w:ascii="Times New Roman" w:hAnsi="Times New Roman" w:cs="Times New Roman"/>
          <w:bCs/>
        </w:rPr>
        <w:lastRenderedPageBreak/>
        <w:t>In conclusion HBF does not consider this policy to be justified or effective at present. Without further evidence the HBF would suggest that the requirement in this policy has not been robustly justified. We would also suggest that the Council consider allocating specific sites for self-builders which are more likely to meet the needs of those households as well as avoiding the potentially harmful impacts of mixing the delivery of self-build units alongside commercial housebuilding.</w:t>
      </w:r>
    </w:p>
    <w:p w14:paraId="7493E264" w14:textId="4B6DA79F" w:rsidR="00985456" w:rsidRPr="00307877" w:rsidRDefault="009E6C9F" w:rsidP="00307877">
      <w:pPr>
        <w:widowControl/>
        <w:tabs>
          <w:tab w:val="left" w:pos="2268"/>
        </w:tabs>
        <w:suppressAutoHyphens w:val="0"/>
        <w:autoSpaceDE/>
        <w:spacing w:after="240" w:line="360" w:lineRule="auto"/>
        <w:jc w:val="both"/>
        <w:rPr>
          <w:rFonts w:ascii="Times New Roman" w:hAnsi="Times New Roman" w:cs="Times New Roman"/>
          <w:b/>
        </w:rPr>
      </w:pPr>
      <w:r w:rsidRPr="00307877">
        <w:rPr>
          <w:rFonts w:ascii="Times New Roman" w:hAnsi="Times New Roman" w:cs="Times New Roman"/>
          <w:b/>
        </w:rPr>
        <w:t xml:space="preserve">Policy CS4 </w:t>
      </w:r>
      <w:r w:rsidR="00985456" w:rsidRPr="00307877">
        <w:rPr>
          <w:rFonts w:ascii="Times New Roman" w:hAnsi="Times New Roman" w:cs="Times New Roman"/>
          <w:b/>
        </w:rPr>
        <w:t>Sport provision</w:t>
      </w:r>
    </w:p>
    <w:p w14:paraId="0D918837" w14:textId="6B3C7769" w:rsidR="003B4243" w:rsidRPr="00307877" w:rsidRDefault="008E75D3" w:rsidP="0029179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policy states that a</w:t>
      </w:r>
      <w:r w:rsidR="00985456" w:rsidRPr="00307877">
        <w:rPr>
          <w:rFonts w:ascii="Times New Roman" w:hAnsi="Times New Roman" w:cs="Times New Roman"/>
          <w:bCs/>
        </w:rPr>
        <w:t xml:space="preserve">ll major </w:t>
      </w:r>
      <w:r w:rsidR="00610D64" w:rsidRPr="00307877">
        <w:rPr>
          <w:rFonts w:ascii="Times New Roman" w:hAnsi="Times New Roman" w:cs="Times New Roman"/>
          <w:bCs/>
        </w:rPr>
        <w:t>residential</w:t>
      </w:r>
      <w:r w:rsidR="00985456" w:rsidRPr="00307877">
        <w:rPr>
          <w:rFonts w:ascii="Times New Roman" w:hAnsi="Times New Roman" w:cs="Times New Roman"/>
          <w:bCs/>
        </w:rPr>
        <w:t xml:space="preserve"> development must assess the ne for new sport </w:t>
      </w:r>
      <w:r w:rsidR="00610D64" w:rsidRPr="00307877">
        <w:rPr>
          <w:rFonts w:ascii="Times New Roman" w:hAnsi="Times New Roman" w:cs="Times New Roman"/>
          <w:bCs/>
        </w:rPr>
        <w:t xml:space="preserve">provision. </w:t>
      </w:r>
      <w:r w:rsidR="00015EE0">
        <w:rPr>
          <w:rFonts w:ascii="Times New Roman" w:hAnsi="Times New Roman" w:cs="Times New Roman"/>
          <w:bCs/>
        </w:rPr>
        <w:t xml:space="preserve">It should not be for induvial </w:t>
      </w:r>
      <w:r w:rsidR="00266FBA">
        <w:rPr>
          <w:rFonts w:ascii="Times New Roman" w:hAnsi="Times New Roman" w:cs="Times New Roman"/>
          <w:bCs/>
        </w:rPr>
        <w:t>development</w:t>
      </w:r>
      <w:r w:rsidR="00015EE0">
        <w:rPr>
          <w:rFonts w:ascii="Times New Roman" w:hAnsi="Times New Roman" w:cs="Times New Roman"/>
          <w:bCs/>
        </w:rPr>
        <w:t xml:space="preserve"> to assess the </w:t>
      </w:r>
      <w:r w:rsidR="00266FBA">
        <w:rPr>
          <w:rFonts w:ascii="Times New Roman" w:hAnsi="Times New Roman" w:cs="Times New Roman"/>
          <w:bCs/>
        </w:rPr>
        <w:t>need</w:t>
      </w:r>
      <w:r w:rsidR="00015EE0">
        <w:rPr>
          <w:rFonts w:ascii="Times New Roman" w:hAnsi="Times New Roman" w:cs="Times New Roman"/>
          <w:bCs/>
        </w:rPr>
        <w:t xml:space="preserve"> for sport provision on their sites. This should be set out in th</w:t>
      </w:r>
      <w:r w:rsidR="00266FBA">
        <w:rPr>
          <w:rFonts w:ascii="Times New Roman" w:hAnsi="Times New Roman" w:cs="Times New Roman"/>
          <w:bCs/>
        </w:rPr>
        <w:t xml:space="preserve">e local plan to ensure that there is transparency about what is needed and ensure that any provision is fully accounted for within the viability assessment. </w:t>
      </w:r>
    </w:p>
    <w:p w14:paraId="34BF189F" w14:textId="68C94CBB" w:rsidR="003B4243" w:rsidRDefault="003B4243" w:rsidP="003B4243">
      <w:pPr>
        <w:spacing w:after="240" w:line="360" w:lineRule="auto"/>
        <w:rPr>
          <w:rFonts w:ascii="Arial" w:hAnsi="Arial" w:cs="Arial"/>
          <w:b/>
        </w:rPr>
      </w:pPr>
      <w:r>
        <w:rPr>
          <w:rFonts w:ascii="Arial" w:hAnsi="Arial" w:cs="Arial"/>
          <w:b/>
        </w:rPr>
        <w:t>Future Engagement</w:t>
      </w:r>
    </w:p>
    <w:p w14:paraId="222067DA" w14:textId="77777777" w:rsidR="003B4243" w:rsidRDefault="003B4243" w:rsidP="003B424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 trust that the Council will find these comments useful as it continues to progress its Local Plan. I would be happy to discuss these issues in greater detail or assist in facilitating discussions with the wider housebuilding industry.</w:t>
      </w:r>
    </w:p>
    <w:p w14:paraId="503CD2BD" w14:textId="77777777" w:rsidR="003B4243" w:rsidRDefault="003B4243" w:rsidP="003B4243">
      <w:pPr>
        <w:pStyle w:val="ListParagraph"/>
        <w:widowControl/>
        <w:numPr>
          <w:ilvl w:val="0"/>
          <w:numId w:val="2"/>
        </w:numPr>
        <w:tabs>
          <w:tab w:val="left" w:pos="2268"/>
        </w:tabs>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HBF would like to be kept informed of all forthcoming consultations upon the Local Plan and associated documents. Please use the contact details provided below for future correspondence.</w:t>
      </w:r>
    </w:p>
    <w:p w14:paraId="3028B90E" w14:textId="77777777" w:rsidR="006A678B" w:rsidRDefault="006A678B" w:rsidP="00C411E9">
      <w:pPr>
        <w:spacing w:line="360" w:lineRule="auto"/>
        <w:jc w:val="both"/>
        <w:rPr>
          <w:rFonts w:ascii="Times New Roman" w:hAnsi="Times New Roman" w:cs="Times New Roman"/>
        </w:rPr>
      </w:pPr>
    </w:p>
    <w:p w14:paraId="01632919" w14:textId="3C8A17D5" w:rsidR="0028345D" w:rsidRPr="004612EA" w:rsidRDefault="0028345D" w:rsidP="00C411E9">
      <w:pPr>
        <w:spacing w:line="360" w:lineRule="auto"/>
        <w:jc w:val="both"/>
        <w:rPr>
          <w:rFonts w:ascii="Times New Roman" w:hAnsi="Times New Roman" w:cs="Times New Roman"/>
        </w:rPr>
      </w:pPr>
      <w:r w:rsidRPr="004612EA">
        <w:rPr>
          <w:rFonts w:ascii="Times New Roman" w:hAnsi="Times New Roman" w:cs="Times New Roman"/>
        </w:rPr>
        <w:t>Yours sincerely,</w:t>
      </w:r>
    </w:p>
    <w:p w14:paraId="542C626C" w14:textId="03D677E5" w:rsidR="0028345D" w:rsidRPr="004612EA" w:rsidRDefault="00C411E9" w:rsidP="00C411E9">
      <w:pPr>
        <w:spacing w:line="360" w:lineRule="auto"/>
        <w:jc w:val="both"/>
        <w:rPr>
          <w:rFonts w:ascii="Times New Roman" w:hAnsi="Times New Roman" w:cs="Times New Roman"/>
        </w:rPr>
      </w:pPr>
      <w:r>
        <w:rPr>
          <w:noProof/>
        </w:rPr>
        <w:drawing>
          <wp:inline distT="0" distB="0" distL="0" distR="0" wp14:anchorId="55C24A28" wp14:editId="5B644039">
            <wp:extent cx="1823085" cy="688975"/>
            <wp:effectExtent l="0" t="0" r="5715" b="0"/>
            <wp:docPr id="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ignature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688975"/>
                    </a:xfrm>
                    <a:prstGeom prst="rect">
                      <a:avLst/>
                    </a:prstGeom>
                    <a:noFill/>
                  </pic:spPr>
                </pic:pic>
              </a:graphicData>
            </a:graphic>
          </wp:inline>
        </w:drawing>
      </w:r>
    </w:p>
    <w:p w14:paraId="45C8A7DF" w14:textId="60D844CC"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Mark Behrendt</w:t>
      </w:r>
    </w:p>
    <w:p w14:paraId="3DDCE4C3" w14:textId="566E8E4B"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 xml:space="preserve">Regional </w:t>
      </w:r>
      <w:r w:rsidR="0028345D" w:rsidRPr="004612EA">
        <w:rPr>
          <w:rFonts w:ascii="Times New Roman" w:hAnsi="Times New Roman" w:cs="Times New Roman"/>
          <w:b/>
        </w:rPr>
        <w:t xml:space="preserve">Planning Manager – </w:t>
      </w:r>
      <w:r w:rsidRPr="004612EA">
        <w:rPr>
          <w:rFonts w:ascii="Times New Roman" w:hAnsi="Times New Roman" w:cs="Times New Roman"/>
          <w:b/>
        </w:rPr>
        <w:t>SE and E</w:t>
      </w:r>
    </w:p>
    <w:p w14:paraId="5E40E301" w14:textId="42DC2727"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Email: </w:t>
      </w:r>
      <w:r w:rsidR="000D7947" w:rsidRPr="004612EA">
        <w:rPr>
          <w:rFonts w:ascii="Times New Roman" w:hAnsi="Times New Roman" w:cs="Times New Roman"/>
        </w:rPr>
        <w:t>mark.behrendt@hbf.co.uk</w:t>
      </w:r>
    </w:p>
    <w:p w14:paraId="7A519937" w14:textId="3E7913DB"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Phone: </w:t>
      </w:r>
      <w:r w:rsidR="000D7947" w:rsidRPr="004612EA">
        <w:rPr>
          <w:rFonts w:ascii="Times New Roman" w:hAnsi="Times New Roman" w:cs="Times New Roman"/>
        </w:rPr>
        <w:t>07867415547</w:t>
      </w:r>
    </w:p>
    <w:p w14:paraId="0A209BA6" w14:textId="77777777" w:rsidR="00BC62DD" w:rsidRDefault="00BC62DD" w:rsidP="0043348C">
      <w:pPr>
        <w:tabs>
          <w:tab w:val="left" w:pos="426"/>
          <w:tab w:val="left" w:pos="2380"/>
        </w:tabs>
        <w:rPr>
          <w:rFonts w:ascii="Times New Roman" w:hAnsi="Times New Roman" w:cs="Times New Roman"/>
          <w:bCs/>
        </w:rPr>
        <w:sectPr w:rsidR="00BC62DD" w:rsidSect="009A7C8D">
          <w:footerReference w:type="default" r:id="rId12"/>
          <w:headerReference w:type="first" r:id="rId13"/>
          <w:footerReference w:type="first" r:id="rId14"/>
          <w:pgSz w:w="13090" w:h="18020"/>
          <w:pgMar w:top="1440" w:right="1440" w:bottom="1440" w:left="1440" w:header="0" w:footer="393" w:gutter="0"/>
          <w:pgNumType w:start="1"/>
          <w:cols w:space="720"/>
          <w:titlePg/>
          <w:docGrid w:linePitch="299"/>
        </w:sectPr>
      </w:pPr>
    </w:p>
    <w:p w14:paraId="276FDCDA" w14:textId="77777777" w:rsidR="0028345D" w:rsidRPr="0043348C" w:rsidRDefault="0028345D" w:rsidP="0043348C">
      <w:pPr>
        <w:tabs>
          <w:tab w:val="left" w:pos="426"/>
          <w:tab w:val="left" w:pos="2380"/>
        </w:tabs>
        <w:rPr>
          <w:rFonts w:ascii="Times New Roman" w:hAnsi="Times New Roman" w:cs="Times New Roman"/>
          <w:bCs/>
        </w:rPr>
      </w:pPr>
    </w:p>
    <w:p w14:paraId="271F3E21" w14:textId="77777777" w:rsidR="003205C3" w:rsidRPr="0043348C" w:rsidRDefault="003205C3">
      <w:pPr>
        <w:pStyle w:val="BodyText"/>
        <w:rPr>
          <w:rFonts w:ascii="Times New Roman" w:hAnsi="Times New Roman" w:cs="Times New Roman"/>
          <w:bCs/>
          <w:sz w:val="22"/>
          <w:szCs w:val="22"/>
        </w:rPr>
      </w:pPr>
    </w:p>
    <w:p w14:paraId="271F3E22" w14:textId="77777777" w:rsidR="003205C3" w:rsidRPr="0043348C" w:rsidRDefault="003205C3" w:rsidP="00527E57">
      <w:pPr>
        <w:tabs>
          <w:tab w:val="left" w:pos="426"/>
          <w:tab w:val="left" w:pos="2380"/>
        </w:tabs>
        <w:rPr>
          <w:rFonts w:ascii="Times New Roman" w:hAnsi="Times New Roman" w:cs="Times New Roman"/>
          <w:bCs/>
        </w:rPr>
      </w:pPr>
    </w:p>
    <w:p w14:paraId="271F3E58" w14:textId="1BF01850" w:rsidR="003205C3" w:rsidRPr="0043348C" w:rsidRDefault="003205C3" w:rsidP="00527E57">
      <w:pPr>
        <w:tabs>
          <w:tab w:val="left" w:pos="426"/>
          <w:tab w:val="left" w:pos="2380"/>
        </w:tabs>
        <w:rPr>
          <w:rFonts w:ascii="Times New Roman" w:hAnsi="Times New Roman" w:cs="Times New Roman"/>
          <w:bCs/>
        </w:rPr>
      </w:pPr>
    </w:p>
    <w:p w14:paraId="271F3E5D" w14:textId="77777777" w:rsidR="00B93060" w:rsidRPr="0043348C" w:rsidRDefault="00B93060" w:rsidP="00527E57">
      <w:pPr>
        <w:tabs>
          <w:tab w:val="left" w:pos="426"/>
          <w:tab w:val="left" w:pos="2380"/>
        </w:tabs>
        <w:rPr>
          <w:rFonts w:ascii="Times New Roman" w:hAnsi="Times New Roman" w:cs="Times New Roman"/>
          <w:bCs/>
        </w:rPr>
        <w:sectPr w:rsidR="00B93060" w:rsidRPr="0043348C" w:rsidSect="00BC62DD">
          <w:type w:val="continuous"/>
          <w:pgSz w:w="13090" w:h="18020"/>
          <w:pgMar w:top="1440" w:right="1440" w:bottom="1440" w:left="1440" w:header="0" w:footer="393" w:gutter="0"/>
          <w:pgNumType w:start="1"/>
          <w:cols w:space="720"/>
          <w:titlePg/>
          <w:docGrid w:linePitch="299"/>
        </w:sectPr>
      </w:pPr>
    </w:p>
    <w:p w14:paraId="271F3E5E" w14:textId="77777777" w:rsidR="003205C3" w:rsidRPr="00527E57" w:rsidRDefault="003205C3" w:rsidP="00527E57">
      <w:pPr>
        <w:tabs>
          <w:tab w:val="left" w:pos="426"/>
          <w:tab w:val="left" w:pos="2380"/>
        </w:tabs>
        <w:rPr>
          <w:rFonts w:ascii="Times New Roman" w:hAnsi="Times New Roman" w:cs="Times New Roman"/>
          <w:bCs/>
        </w:rPr>
      </w:pPr>
    </w:p>
    <w:p w14:paraId="2CCC6B5E" w14:textId="77777777" w:rsidR="00527E57" w:rsidRPr="00527E57" w:rsidRDefault="00527E57" w:rsidP="00527E57">
      <w:pPr>
        <w:rPr>
          <w:rFonts w:ascii="Times New Roman" w:hAnsi="Times New Roman" w:cs="Times New Roman"/>
          <w:bCs/>
        </w:rPr>
      </w:pPr>
    </w:p>
    <w:sectPr w:rsidR="00527E57" w:rsidRPr="00527E57" w:rsidSect="00EE0F3D">
      <w:type w:val="continuous"/>
      <w:pgSz w:w="13090" w:h="18020"/>
      <w:pgMar w:top="1440" w:right="1440" w:bottom="1440" w:left="1440" w:header="0" w:footer="39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6319" w14:textId="77777777" w:rsidR="00777B16" w:rsidRDefault="00777B16">
      <w:r>
        <w:separator/>
      </w:r>
    </w:p>
  </w:endnote>
  <w:endnote w:type="continuationSeparator" w:id="0">
    <w:p w14:paraId="6CBF0FC8" w14:textId="77777777" w:rsidR="00777B16" w:rsidRDefault="0077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Omeg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333ED030" w:rsidR="00B93060" w:rsidRDefault="00B93060">
    <w:pPr>
      <w:spacing w:before="18"/>
    </w:pPr>
    <w:bookmarkStart w:id="1" w:name="_Hlk193356826"/>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tcMar>
            <w:top w:w="0" w:type="dxa"/>
            <w:left w:w="108" w:type="dxa"/>
            <w:bottom w:w="0" w:type="dxa"/>
            <w:right w:w="108" w:type="dxa"/>
          </w:tcMar>
        </w:tcPr>
        <w:p w14:paraId="454A33AB" w14:textId="3EFE928A" w:rsidR="00B93060" w:rsidRDefault="00B93060">
          <w:pPr>
            <w:spacing w:before="18"/>
          </w:pPr>
        </w:p>
        <w:p w14:paraId="271F3E2E" w14:textId="51E62B4C" w:rsidR="00E539DA" w:rsidRDefault="00E539DA">
          <w:pPr>
            <w:spacing w:before="18"/>
          </w:pPr>
        </w:p>
      </w:tc>
      <w:tc>
        <w:tcPr>
          <w:tcW w:w="5663" w:type="dxa"/>
          <w:tcMar>
            <w:top w:w="0" w:type="dxa"/>
            <w:left w:w="108" w:type="dxa"/>
            <w:bottom w:w="0" w:type="dxa"/>
            <w:right w:w="108" w:type="dxa"/>
          </w:tcMar>
        </w:tcPr>
        <w:p w14:paraId="271F3E32" w14:textId="2C511E27" w:rsidR="00B93060" w:rsidRDefault="00B93060">
          <w:pPr>
            <w:spacing w:before="18"/>
            <w:rPr>
              <w:rFonts w:ascii="Times New Roman" w:hAnsi="Times New Roman" w:cs="Times New Roman"/>
              <w:b/>
              <w:bCs/>
              <w:color w:val="231F20"/>
              <w:spacing w:val="-2"/>
              <w:sz w:val="18"/>
            </w:rPr>
          </w:pPr>
        </w:p>
      </w:tc>
    </w:tr>
    <w:bookmarkEnd w:id="1"/>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A26" w14:textId="77777777" w:rsidR="009A7C8D" w:rsidRDefault="009A7C8D" w:rsidP="009A7C8D">
    <w:pPr>
      <w:spacing w:before="18"/>
    </w:pPr>
    <w:r>
      <w:rPr>
        <w:noProof/>
      </w:rPr>
      <mc:AlternateContent>
        <mc:Choice Requires="wps">
          <w:drawing>
            <wp:anchor distT="0" distB="0" distL="114300" distR="114300" simplePos="0" relativeHeight="251658241" behindDoc="0" locked="0" layoutInCell="1" allowOverlap="1" wp14:anchorId="2910AE42" wp14:editId="7FF9E427">
              <wp:simplePos x="0" y="0"/>
              <wp:positionH relativeFrom="margin">
                <wp:align>left</wp:align>
              </wp:positionH>
              <wp:positionV relativeFrom="paragraph">
                <wp:posOffset>110349</wp:posOffset>
              </wp:positionV>
              <wp:extent cx="6858000" cy="15243"/>
              <wp:effectExtent l="0" t="0" r="0" b="0"/>
              <wp:wrapTopAndBottom/>
              <wp:docPr id="629835544"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1F273430" id="Graphic 20" o:spid="_x0000_s1026" style="position:absolute;margin-left:0;margin-top:8.7pt;width:540pt;height:1.2pt;z-index:251658241;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9A7C8D" w14:paraId="5EB38C0D" w14:textId="77777777" w:rsidTr="00D0237E">
      <w:trPr>
        <w:trHeight w:val="1016"/>
      </w:trPr>
      <w:tc>
        <w:tcPr>
          <w:tcW w:w="5663" w:type="dxa"/>
          <w:tcMar>
            <w:top w:w="0" w:type="dxa"/>
            <w:left w:w="108" w:type="dxa"/>
            <w:bottom w:w="0" w:type="dxa"/>
            <w:right w:w="108" w:type="dxa"/>
          </w:tcMar>
        </w:tcPr>
        <w:p w14:paraId="2B04AE18" w14:textId="77777777" w:rsidR="009A7C8D" w:rsidRDefault="009A7C8D" w:rsidP="009A7C8D">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D97A3D6" w14:textId="77777777" w:rsidR="009A7C8D" w:rsidRDefault="009A7C8D" w:rsidP="009A7C8D">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D752FC4" w14:textId="77777777" w:rsidR="009A7C8D" w:rsidRDefault="009A7C8D" w:rsidP="009A7C8D">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tcMar>
            <w:top w:w="0" w:type="dxa"/>
            <w:left w:w="108" w:type="dxa"/>
            <w:bottom w:w="0" w:type="dxa"/>
            <w:right w:w="108" w:type="dxa"/>
          </w:tcMar>
        </w:tcPr>
        <w:p w14:paraId="43B6691D"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47EB6190"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2C0ABDF6" w14:textId="77777777" w:rsidR="009A7C8D" w:rsidRDefault="009A7C8D" w:rsidP="009A7C8D">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0B2A5A1" wp14:editId="5088D5E6">
                <wp:extent cx="67400" cy="64236"/>
                <wp:effectExtent l="0" t="0" r="8800" b="0"/>
                <wp:docPr id="361466313"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33264861" w14:textId="77777777" w:rsidR="009A7C8D" w:rsidRDefault="009A7C8D" w:rsidP="009A7C8D">
          <w:pPr>
            <w:spacing w:before="18"/>
            <w:rPr>
              <w:rFonts w:ascii="Times New Roman" w:hAnsi="Times New Roman" w:cs="Times New Roman"/>
              <w:b/>
              <w:bCs/>
              <w:color w:val="231F20"/>
              <w:spacing w:val="-2"/>
              <w:sz w:val="18"/>
            </w:rPr>
          </w:pPr>
        </w:p>
      </w:tc>
    </w:tr>
  </w:tbl>
  <w:p w14:paraId="4B9F6196" w14:textId="77777777" w:rsidR="00A80AB2" w:rsidRDefault="00A8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CF31" w14:textId="77777777" w:rsidR="00777B16" w:rsidRDefault="00777B16">
      <w:r>
        <w:rPr>
          <w:color w:val="000000"/>
        </w:rPr>
        <w:separator/>
      </w:r>
    </w:p>
  </w:footnote>
  <w:footnote w:type="continuationSeparator" w:id="0">
    <w:p w14:paraId="662A0609" w14:textId="77777777" w:rsidR="00777B16" w:rsidRDefault="00777B16">
      <w:r>
        <w:continuationSeparator/>
      </w:r>
    </w:p>
  </w:footnote>
  <w:footnote w:id="1">
    <w:p w14:paraId="2747FC18" w14:textId="1DAA122A" w:rsidR="005B5B81" w:rsidRPr="005B5B81" w:rsidRDefault="005B5B81">
      <w:pPr>
        <w:pStyle w:val="FootnoteText"/>
        <w:rPr>
          <w:lang w:val="en-GB"/>
        </w:rPr>
      </w:pPr>
      <w:r>
        <w:rPr>
          <w:rStyle w:val="FootnoteReference"/>
        </w:rPr>
        <w:footnoteRef/>
      </w:r>
      <w:r>
        <w:t xml:space="preserve"> </w:t>
      </w:r>
      <w:hyperlink r:id="rId1" w:history="1">
        <w:r w:rsidRPr="00A0233F">
          <w:rPr>
            <w:rStyle w:val="Hyperlink"/>
            <w:lang w:val="en-GB"/>
          </w:rPr>
          <w:t>Ready for Zero</w:t>
        </w:r>
      </w:hyperlink>
      <w:r w:rsidR="00A0233F">
        <w:rPr>
          <w:lang w:val="en-GB"/>
        </w:rPr>
        <w:t>, Future Homes Hub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CFD" w14:textId="7128A88E" w:rsidR="00A80AB2" w:rsidRDefault="009A7C8D">
    <w:pPr>
      <w:pStyle w:val="Header"/>
    </w:pPr>
    <w:r>
      <w:rPr>
        <w:noProof/>
      </w:rPr>
      <w:drawing>
        <wp:anchor distT="0" distB="0" distL="114300" distR="114300" simplePos="0" relativeHeight="251658240" behindDoc="0" locked="0" layoutInCell="1" allowOverlap="1" wp14:anchorId="3FD7467F" wp14:editId="506C53E4">
          <wp:simplePos x="0" y="0"/>
          <wp:positionH relativeFrom="column">
            <wp:posOffset>4572000</wp:posOffset>
          </wp:positionH>
          <wp:positionV relativeFrom="paragraph">
            <wp:posOffset>561975</wp:posOffset>
          </wp:positionV>
          <wp:extent cx="2019873" cy="516142"/>
          <wp:effectExtent l="0" t="0" r="0" b="0"/>
          <wp:wrapNone/>
          <wp:docPr id="1276913256"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7CED"/>
    <w:multiLevelType w:val="hybridMultilevel"/>
    <w:tmpl w:val="C7E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4C2385"/>
    <w:multiLevelType w:val="hybridMultilevel"/>
    <w:tmpl w:val="DCC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060F40"/>
    <w:multiLevelType w:val="hybridMultilevel"/>
    <w:tmpl w:val="E1948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F00AF3"/>
    <w:multiLevelType w:val="hybridMultilevel"/>
    <w:tmpl w:val="005C284C"/>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E87FCD"/>
    <w:multiLevelType w:val="hybridMultilevel"/>
    <w:tmpl w:val="0C849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C047FED"/>
    <w:multiLevelType w:val="hybridMultilevel"/>
    <w:tmpl w:val="6128B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3758027">
    <w:abstractNumId w:val="3"/>
  </w:num>
  <w:num w:numId="2" w16cid:durableId="1235816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645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604406">
    <w:abstractNumId w:val="0"/>
  </w:num>
  <w:num w:numId="5" w16cid:durableId="1417747014">
    <w:abstractNumId w:val="5"/>
  </w:num>
  <w:num w:numId="6" w16cid:durableId="1614702790">
    <w:abstractNumId w:val="1"/>
  </w:num>
  <w:num w:numId="7" w16cid:durableId="103624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143C4"/>
    <w:rsid w:val="00015EE0"/>
    <w:rsid w:val="000174F5"/>
    <w:rsid w:val="00027172"/>
    <w:rsid w:val="00032E45"/>
    <w:rsid w:val="00044843"/>
    <w:rsid w:val="00044A43"/>
    <w:rsid w:val="00045D2E"/>
    <w:rsid w:val="00046AA0"/>
    <w:rsid w:val="00067F15"/>
    <w:rsid w:val="00070733"/>
    <w:rsid w:val="00070C85"/>
    <w:rsid w:val="0007187D"/>
    <w:rsid w:val="00072E0B"/>
    <w:rsid w:val="000734A5"/>
    <w:rsid w:val="000741F2"/>
    <w:rsid w:val="00075FF0"/>
    <w:rsid w:val="0007709F"/>
    <w:rsid w:val="000848DE"/>
    <w:rsid w:val="00091B3E"/>
    <w:rsid w:val="0009638F"/>
    <w:rsid w:val="00097769"/>
    <w:rsid w:val="00097BC1"/>
    <w:rsid w:val="000B0523"/>
    <w:rsid w:val="000C312C"/>
    <w:rsid w:val="000D7947"/>
    <w:rsid w:val="000E1BAF"/>
    <w:rsid w:val="000E6949"/>
    <w:rsid w:val="000F1634"/>
    <w:rsid w:val="00100123"/>
    <w:rsid w:val="00100CB5"/>
    <w:rsid w:val="0010176F"/>
    <w:rsid w:val="00111244"/>
    <w:rsid w:val="0011389E"/>
    <w:rsid w:val="00122DDE"/>
    <w:rsid w:val="0014752B"/>
    <w:rsid w:val="00155E16"/>
    <w:rsid w:val="00157532"/>
    <w:rsid w:val="00167AE9"/>
    <w:rsid w:val="00180C48"/>
    <w:rsid w:val="00180EBD"/>
    <w:rsid w:val="00187EF8"/>
    <w:rsid w:val="001B15A3"/>
    <w:rsid w:val="001C15B2"/>
    <w:rsid w:val="001C39A0"/>
    <w:rsid w:val="001D7A3E"/>
    <w:rsid w:val="001E4193"/>
    <w:rsid w:val="001E4BAF"/>
    <w:rsid w:val="001F6025"/>
    <w:rsid w:val="001F7A0B"/>
    <w:rsid w:val="00207F02"/>
    <w:rsid w:val="00215C07"/>
    <w:rsid w:val="002232BF"/>
    <w:rsid w:val="002365B1"/>
    <w:rsid w:val="00241C92"/>
    <w:rsid w:val="00242AE7"/>
    <w:rsid w:val="00243BE2"/>
    <w:rsid w:val="00250A45"/>
    <w:rsid w:val="00263A82"/>
    <w:rsid w:val="002662DD"/>
    <w:rsid w:val="00266FBA"/>
    <w:rsid w:val="0027026E"/>
    <w:rsid w:val="00271B2A"/>
    <w:rsid w:val="0027601F"/>
    <w:rsid w:val="00281DB0"/>
    <w:rsid w:val="0028345D"/>
    <w:rsid w:val="00283AB8"/>
    <w:rsid w:val="002860A1"/>
    <w:rsid w:val="0029179F"/>
    <w:rsid w:val="00297006"/>
    <w:rsid w:val="002A0174"/>
    <w:rsid w:val="002A309E"/>
    <w:rsid w:val="002A54E7"/>
    <w:rsid w:val="002B41E7"/>
    <w:rsid w:val="002D0F6E"/>
    <w:rsid w:val="002D2604"/>
    <w:rsid w:val="002D7913"/>
    <w:rsid w:val="002E0E6C"/>
    <w:rsid w:val="002E23F9"/>
    <w:rsid w:val="002E4409"/>
    <w:rsid w:val="002E447A"/>
    <w:rsid w:val="002F5DE5"/>
    <w:rsid w:val="0030122C"/>
    <w:rsid w:val="00307877"/>
    <w:rsid w:val="00312435"/>
    <w:rsid w:val="0032050C"/>
    <w:rsid w:val="003205C3"/>
    <w:rsid w:val="00324578"/>
    <w:rsid w:val="0033591E"/>
    <w:rsid w:val="0033642F"/>
    <w:rsid w:val="003425AB"/>
    <w:rsid w:val="0036102D"/>
    <w:rsid w:val="00380FC2"/>
    <w:rsid w:val="00381C3F"/>
    <w:rsid w:val="0038237A"/>
    <w:rsid w:val="00387516"/>
    <w:rsid w:val="00391C1E"/>
    <w:rsid w:val="00393D94"/>
    <w:rsid w:val="0039462E"/>
    <w:rsid w:val="00396D0A"/>
    <w:rsid w:val="003A3913"/>
    <w:rsid w:val="003A45E9"/>
    <w:rsid w:val="003A6625"/>
    <w:rsid w:val="003A78CD"/>
    <w:rsid w:val="003B4243"/>
    <w:rsid w:val="003B66AC"/>
    <w:rsid w:val="003B7B26"/>
    <w:rsid w:val="003D2D2D"/>
    <w:rsid w:val="003D3426"/>
    <w:rsid w:val="003D4935"/>
    <w:rsid w:val="003D56CC"/>
    <w:rsid w:val="003E770F"/>
    <w:rsid w:val="003E7FF0"/>
    <w:rsid w:val="003F008E"/>
    <w:rsid w:val="003F00F5"/>
    <w:rsid w:val="0040122C"/>
    <w:rsid w:val="0043348C"/>
    <w:rsid w:val="004375C2"/>
    <w:rsid w:val="00442C19"/>
    <w:rsid w:val="004452DC"/>
    <w:rsid w:val="00447E3D"/>
    <w:rsid w:val="0045128F"/>
    <w:rsid w:val="004612EA"/>
    <w:rsid w:val="00473070"/>
    <w:rsid w:val="00480F85"/>
    <w:rsid w:val="0048380E"/>
    <w:rsid w:val="00497D88"/>
    <w:rsid w:val="004A28B3"/>
    <w:rsid w:val="004A3381"/>
    <w:rsid w:val="004B372E"/>
    <w:rsid w:val="004B671C"/>
    <w:rsid w:val="004B794F"/>
    <w:rsid w:val="004C5E4B"/>
    <w:rsid w:val="004E326A"/>
    <w:rsid w:val="004F659A"/>
    <w:rsid w:val="0051236A"/>
    <w:rsid w:val="0051526E"/>
    <w:rsid w:val="00523709"/>
    <w:rsid w:val="00527E57"/>
    <w:rsid w:val="005404C9"/>
    <w:rsid w:val="00543DDD"/>
    <w:rsid w:val="00550CD5"/>
    <w:rsid w:val="00553E9C"/>
    <w:rsid w:val="00566C66"/>
    <w:rsid w:val="00574B31"/>
    <w:rsid w:val="005751EB"/>
    <w:rsid w:val="0058167F"/>
    <w:rsid w:val="005862DC"/>
    <w:rsid w:val="005873AB"/>
    <w:rsid w:val="00590FC9"/>
    <w:rsid w:val="00592ECC"/>
    <w:rsid w:val="00597015"/>
    <w:rsid w:val="005A2427"/>
    <w:rsid w:val="005B5B81"/>
    <w:rsid w:val="005C055E"/>
    <w:rsid w:val="005E185B"/>
    <w:rsid w:val="005F3510"/>
    <w:rsid w:val="005F4669"/>
    <w:rsid w:val="0060684F"/>
    <w:rsid w:val="00610D64"/>
    <w:rsid w:val="00623656"/>
    <w:rsid w:val="00637BFC"/>
    <w:rsid w:val="006556E4"/>
    <w:rsid w:val="00672B2E"/>
    <w:rsid w:val="00676813"/>
    <w:rsid w:val="006854B2"/>
    <w:rsid w:val="00687D1B"/>
    <w:rsid w:val="006A678B"/>
    <w:rsid w:val="006B2A68"/>
    <w:rsid w:val="006C58AA"/>
    <w:rsid w:val="006C5B3B"/>
    <w:rsid w:val="006D4D2A"/>
    <w:rsid w:val="006D59D4"/>
    <w:rsid w:val="006E289E"/>
    <w:rsid w:val="006F64D8"/>
    <w:rsid w:val="00704544"/>
    <w:rsid w:val="007077C7"/>
    <w:rsid w:val="00710AD6"/>
    <w:rsid w:val="00715128"/>
    <w:rsid w:val="007418AA"/>
    <w:rsid w:val="00754ED6"/>
    <w:rsid w:val="00765AE1"/>
    <w:rsid w:val="00771E1A"/>
    <w:rsid w:val="007726F0"/>
    <w:rsid w:val="00777B16"/>
    <w:rsid w:val="007812F5"/>
    <w:rsid w:val="007A15B6"/>
    <w:rsid w:val="007A5142"/>
    <w:rsid w:val="007A7C5C"/>
    <w:rsid w:val="007C16CB"/>
    <w:rsid w:val="007C6892"/>
    <w:rsid w:val="007C6CEA"/>
    <w:rsid w:val="007D4FDB"/>
    <w:rsid w:val="007D6CC0"/>
    <w:rsid w:val="007E2102"/>
    <w:rsid w:val="007E26AC"/>
    <w:rsid w:val="007E6B76"/>
    <w:rsid w:val="007F3F23"/>
    <w:rsid w:val="00802819"/>
    <w:rsid w:val="00804A17"/>
    <w:rsid w:val="00804BE3"/>
    <w:rsid w:val="00812F4F"/>
    <w:rsid w:val="008160D1"/>
    <w:rsid w:val="00827BFA"/>
    <w:rsid w:val="008322D8"/>
    <w:rsid w:val="008459A4"/>
    <w:rsid w:val="008460DC"/>
    <w:rsid w:val="00853A68"/>
    <w:rsid w:val="00862EBB"/>
    <w:rsid w:val="00872A57"/>
    <w:rsid w:val="00874DC2"/>
    <w:rsid w:val="00883B11"/>
    <w:rsid w:val="00890DC2"/>
    <w:rsid w:val="0089563E"/>
    <w:rsid w:val="008A2693"/>
    <w:rsid w:val="008B730B"/>
    <w:rsid w:val="008C5796"/>
    <w:rsid w:val="008C7439"/>
    <w:rsid w:val="008D7F5A"/>
    <w:rsid w:val="008E011E"/>
    <w:rsid w:val="008E75D3"/>
    <w:rsid w:val="008F08C6"/>
    <w:rsid w:val="009065AA"/>
    <w:rsid w:val="00912D34"/>
    <w:rsid w:val="00920C64"/>
    <w:rsid w:val="009222A4"/>
    <w:rsid w:val="00936F58"/>
    <w:rsid w:val="00940FDA"/>
    <w:rsid w:val="00942638"/>
    <w:rsid w:val="009469F3"/>
    <w:rsid w:val="00971195"/>
    <w:rsid w:val="009759CD"/>
    <w:rsid w:val="0097656C"/>
    <w:rsid w:val="00977DB8"/>
    <w:rsid w:val="00983343"/>
    <w:rsid w:val="00985456"/>
    <w:rsid w:val="0099101B"/>
    <w:rsid w:val="009A7C8D"/>
    <w:rsid w:val="009C451E"/>
    <w:rsid w:val="009D7D42"/>
    <w:rsid w:val="009E6C9F"/>
    <w:rsid w:val="009F37A0"/>
    <w:rsid w:val="00A0107C"/>
    <w:rsid w:val="00A0233F"/>
    <w:rsid w:val="00A12F7F"/>
    <w:rsid w:val="00A13FD0"/>
    <w:rsid w:val="00A36116"/>
    <w:rsid w:val="00A43A76"/>
    <w:rsid w:val="00A448B3"/>
    <w:rsid w:val="00A44F5B"/>
    <w:rsid w:val="00A46677"/>
    <w:rsid w:val="00A52C5F"/>
    <w:rsid w:val="00A53879"/>
    <w:rsid w:val="00A623BC"/>
    <w:rsid w:val="00A80AB2"/>
    <w:rsid w:val="00A8305D"/>
    <w:rsid w:val="00A904F9"/>
    <w:rsid w:val="00AC6A5A"/>
    <w:rsid w:val="00AC77EC"/>
    <w:rsid w:val="00AD5448"/>
    <w:rsid w:val="00AD6464"/>
    <w:rsid w:val="00AF20FB"/>
    <w:rsid w:val="00AF3EC9"/>
    <w:rsid w:val="00AF47AA"/>
    <w:rsid w:val="00AF4BA1"/>
    <w:rsid w:val="00B1178E"/>
    <w:rsid w:val="00B1248D"/>
    <w:rsid w:val="00B16DAC"/>
    <w:rsid w:val="00B26D0A"/>
    <w:rsid w:val="00B433ED"/>
    <w:rsid w:val="00B51D63"/>
    <w:rsid w:val="00B54CE2"/>
    <w:rsid w:val="00B6019A"/>
    <w:rsid w:val="00B6069C"/>
    <w:rsid w:val="00B641B3"/>
    <w:rsid w:val="00B71486"/>
    <w:rsid w:val="00B737EB"/>
    <w:rsid w:val="00B815A6"/>
    <w:rsid w:val="00B81DB6"/>
    <w:rsid w:val="00B903DF"/>
    <w:rsid w:val="00B91E16"/>
    <w:rsid w:val="00B93060"/>
    <w:rsid w:val="00BA1209"/>
    <w:rsid w:val="00BA3D4C"/>
    <w:rsid w:val="00BA5DED"/>
    <w:rsid w:val="00BB04A7"/>
    <w:rsid w:val="00BB4783"/>
    <w:rsid w:val="00BC3032"/>
    <w:rsid w:val="00BC4C7F"/>
    <w:rsid w:val="00BC5C5D"/>
    <w:rsid w:val="00BC62DD"/>
    <w:rsid w:val="00BD3966"/>
    <w:rsid w:val="00BE03FE"/>
    <w:rsid w:val="00BE305C"/>
    <w:rsid w:val="00BE6443"/>
    <w:rsid w:val="00BF0D89"/>
    <w:rsid w:val="00BF17BB"/>
    <w:rsid w:val="00BF1A89"/>
    <w:rsid w:val="00BF2F82"/>
    <w:rsid w:val="00C071CC"/>
    <w:rsid w:val="00C167BC"/>
    <w:rsid w:val="00C20D89"/>
    <w:rsid w:val="00C2507A"/>
    <w:rsid w:val="00C26455"/>
    <w:rsid w:val="00C304DC"/>
    <w:rsid w:val="00C31F31"/>
    <w:rsid w:val="00C36295"/>
    <w:rsid w:val="00C411E9"/>
    <w:rsid w:val="00C41521"/>
    <w:rsid w:val="00C45E42"/>
    <w:rsid w:val="00C47DC2"/>
    <w:rsid w:val="00C50944"/>
    <w:rsid w:val="00C5293D"/>
    <w:rsid w:val="00C60FF8"/>
    <w:rsid w:val="00C61734"/>
    <w:rsid w:val="00C70738"/>
    <w:rsid w:val="00C71C86"/>
    <w:rsid w:val="00C72ECA"/>
    <w:rsid w:val="00C755F5"/>
    <w:rsid w:val="00C863AF"/>
    <w:rsid w:val="00CA5BA5"/>
    <w:rsid w:val="00CA733F"/>
    <w:rsid w:val="00CA742A"/>
    <w:rsid w:val="00CB57A8"/>
    <w:rsid w:val="00CC0A28"/>
    <w:rsid w:val="00CC31CB"/>
    <w:rsid w:val="00CD0937"/>
    <w:rsid w:val="00CD43B8"/>
    <w:rsid w:val="00CD550B"/>
    <w:rsid w:val="00CE4581"/>
    <w:rsid w:val="00CF4328"/>
    <w:rsid w:val="00CF45EC"/>
    <w:rsid w:val="00CF4D75"/>
    <w:rsid w:val="00D12AB1"/>
    <w:rsid w:val="00D13D37"/>
    <w:rsid w:val="00D15968"/>
    <w:rsid w:val="00D24F46"/>
    <w:rsid w:val="00D40466"/>
    <w:rsid w:val="00D42B72"/>
    <w:rsid w:val="00D43B7E"/>
    <w:rsid w:val="00D44A73"/>
    <w:rsid w:val="00D47767"/>
    <w:rsid w:val="00D70B8D"/>
    <w:rsid w:val="00D757E3"/>
    <w:rsid w:val="00D75832"/>
    <w:rsid w:val="00DA395C"/>
    <w:rsid w:val="00DA78A5"/>
    <w:rsid w:val="00DA7B86"/>
    <w:rsid w:val="00DB2A59"/>
    <w:rsid w:val="00DB4DC4"/>
    <w:rsid w:val="00DC093A"/>
    <w:rsid w:val="00DC0A60"/>
    <w:rsid w:val="00DC4952"/>
    <w:rsid w:val="00DD0DE5"/>
    <w:rsid w:val="00DD4B14"/>
    <w:rsid w:val="00DD5481"/>
    <w:rsid w:val="00DE7E23"/>
    <w:rsid w:val="00E03655"/>
    <w:rsid w:val="00E04C11"/>
    <w:rsid w:val="00E11B3F"/>
    <w:rsid w:val="00E12216"/>
    <w:rsid w:val="00E133B7"/>
    <w:rsid w:val="00E1702E"/>
    <w:rsid w:val="00E21408"/>
    <w:rsid w:val="00E22A9D"/>
    <w:rsid w:val="00E3435C"/>
    <w:rsid w:val="00E539DA"/>
    <w:rsid w:val="00E60D53"/>
    <w:rsid w:val="00E64C62"/>
    <w:rsid w:val="00E827A7"/>
    <w:rsid w:val="00E91775"/>
    <w:rsid w:val="00E96E02"/>
    <w:rsid w:val="00EA1287"/>
    <w:rsid w:val="00EA1D20"/>
    <w:rsid w:val="00EA68D8"/>
    <w:rsid w:val="00EA6CB6"/>
    <w:rsid w:val="00EA7DF0"/>
    <w:rsid w:val="00EB330F"/>
    <w:rsid w:val="00ED00C2"/>
    <w:rsid w:val="00EE0A94"/>
    <w:rsid w:val="00EE0F3D"/>
    <w:rsid w:val="00EF015B"/>
    <w:rsid w:val="00EF158B"/>
    <w:rsid w:val="00EF2467"/>
    <w:rsid w:val="00F0430A"/>
    <w:rsid w:val="00F04755"/>
    <w:rsid w:val="00F0761E"/>
    <w:rsid w:val="00F10368"/>
    <w:rsid w:val="00F106A0"/>
    <w:rsid w:val="00F118A2"/>
    <w:rsid w:val="00F1224E"/>
    <w:rsid w:val="00F154AA"/>
    <w:rsid w:val="00F2583E"/>
    <w:rsid w:val="00F30238"/>
    <w:rsid w:val="00F305CC"/>
    <w:rsid w:val="00F30707"/>
    <w:rsid w:val="00F33295"/>
    <w:rsid w:val="00F36413"/>
    <w:rsid w:val="00F4085B"/>
    <w:rsid w:val="00F45231"/>
    <w:rsid w:val="00F70354"/>
    <w:rsid w:val="00F73584"/>
    <w:rsid w:val="00F82742"/>
    <w:rsid w:val="00F85470"/>
    <w:rsid w:val="00F90209"/>
    <w:rsid w:val="00F90B34"/>
    <w:rsid w:val="00FA240E"/>
    <w:rsid w:val="00FB7195"/>
    <w:rsid w:val="00FC57D3"/>
    <w:rsid w:val="00FC7EC9"/>
    <w:rsid w:val="00FD6208"/>
    <w:rsid w:val="00FF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D"/>
    <w:pPr>
      <w:suppressAutoHyphens/>
    </w:pPr>
    <w:rPr>
      <w:rFonts w:ascii="Palatino Linotype" w:eastAsia="Palatino Linotype" w:hAnsi="Palatino Linotype" w:cs="Palatino Linotype"/>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paragraph" w:styleId="FootnoteText">
    <w:name w:val="footnote text"/>
    <w:basedOn w:val="Normal"/>
    <w:link w:val="FootnoteTextChar"/>
    <w:uiPriority w:val="99"/>
    <w:semiHidden/>
    <w:unhideWhenUsed/>
    <w:rsid w:val="005B5B81"/>
    <w:rPr>
      <w:sz w:val="20"/>
      <w:szCs w:val="20"/>
    </w:rPr>
  </w:style>
  <w:style w:type="character" w:customStyle="1" w:styleId="FootnoteTextChar">
    <w:name w:val="Footnote Text Char"/>
    <w:basedOn w:val="DefaultParagraphFont"/>
    <w:link w:val="FootnoteText"/>
    <w:uiPriority w:val="99"/>
    <w:semiHidden/>
    <w:rsid w:val="005B5B81"/>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5B5B81"/>
    <w:rPr>
      <w:vertAlign w:val="superscript"/>
    </w:rPr>
  </w:style>
  <w:style w:type="character" w:styleId="UnresolvedMention">
    <w:name w:val="Unresolved Mention"/>
    <w:basedOn w:val="DefaultParagraphFont"/>
    <w:uiPriority w:val="99"/>
    <w:semiHidden/>
    <w:unhideWhenUsed/>
    <w:rsid w:val="00A02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uturehomes.org.uk/libr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eaa070a7ccaa9c3973c608e2e51349f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8f2a6c3626e9a5f922790ed30f5754dd"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8D2A4-B872-4638-9D31-7F3098124F8B}">
  <ds:schemaRefs>
    <ds:schemaRef ds:uri="http://schemas.openxmlformats.org/officeDocument/2006/bibliography"/>
  </ds:schemaRefs>
</ds:datastoreItem>
</file>

<file path=customXml/itemProps2.xml><?xml version="1.0" encoding="utf-8"?>
<ds:datastoreItem xmlns:ds="http://schemas.openxmlformats.org/officeDocument/2006/customXml" ds:itemID="{AD26CD54-8697-499A-A9B3-EEE529F89003}">
  <ds:schemaRefs>
    <ds:schemaRef ds:uri="http://schemas.microsoft.com/sharepoint/v3/contenttype/forms"/>
  </ds:schemaRefs>
</ds:datastoreItem>
</file>

<file path=customXml/itemProps3.xml><?xml version="1.0" encoding="utf-8"?>
<ds:datastoreItem xmlns:ds="http://schemas.openxmlformats.org/officeDocument/2006/customXml" ds:itemID="{50443463-5719-4AD6-972E-563CDF6B8828}">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4.xml><?xml version="1.0" encoding="utf-8"?>
<ds:datastoreItem xmlns:ds="http://schemas.openxmlformats.org/officeDocument/2006/customXml" ds:itemID="{745BA1A5-21A5-41EB-A6D6-234CA4B5A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10</Pages>
  <Words>5179</Words>
  <Characters>25588</Characters>
  <Application>Microsoft Office Word</Application>
  <DocSecurity>0</DocSecurity>
  <Lines>691</Lines>
  <Paragraphs>353</Paragraphs>
  <ScaleCrop>false</ScaleCrop>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Calder</dc:creator>
  <cp:lastModifiedBy>Mark Behrendt</cp:lastModifiedBy>
  <cp:revision>343</cp:revision>
  <dcterms:created xsi:type="dcterms:W3CDTF">2026-01-05T16:05:00Z</dcterms:created>
  <dcterms:modified xsi:type="dcterms:W3CDTF">2026-01-09T15:49:00Z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ies>
</file>