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7756" w14:textId="434FAEBC" w:rsidR="0028345D" w:rsidRPr="00C411E9" w:rsidRDefault="0028345D" w:rsidP="0028345D">
      <w:pPr>
        <w:spacing w:line="276" w:lineRule="auto"/>
        <w:rPr>
          <w:rFonts w:ascii="Times New Roman" w:hAnsi="Times New Roman" w:cs="Times New Roman"/>
        </w:rPr>
      </w:pPr>
      <w:r w:rsidRPr="00C411E9">
        <w:rPr>
          <w:rFonts w:ascii="Times New Roman" w:hAnsi="Times New Roman" w:cs="Times New Roman"/>
          <w:highlight w:val="yellow"/>
        </w:rPr>
        <w:t>Address</w:t>
      </w:r>
    </w:p>
    <w:p w14:paraId="4CCF833C" w14:textId="77777777" w:rsidR="0028345D" w:rsidRPr="00C411E9" w:rsidRDefault="0028345D" w:rsidP="0028345D">
      <w:pPr>
        <w:spacing w:line="276" w:lineRule="auto"/>
        <w:jc w:val="right"/>
        <w:rPr>
          <w:rFonts w:ascii="Times New Roman" w:hAnsi="Times New Roman" w:cs="Times New Roman"/>
        </w:rPr>
      </w:pPr>
    </w:p>
    <w:p w14:paraId="716344B2" w14:textId="77777777" w:rsidR="0028345D" w:rsidRPr="00C411E9" w:rsidRDefault="0028345D" w:rsidP="0028345D">
      <w:pPr>
        <w:spacing w:line="276" w:lineRule="auto"/>
        <w:jc w:val="right"/>
        <w:rPr>
          <w:rFonts w:ascii="Times New Roman" w:hAnsi="Times New Roman" w:cs="Times New Roman"/>
        </w:rPr>
      </w:pPr>
    </w:p>
    <w:p w14:paraId="5E7AD8ED" w14:textId="4FEA7A51" w:rsidR="0028345D" w:rsidRPr="00C411E9" w:rsidRDefault="0028345D" w:rsidP="0028345D">
      <w:pPr>
        <w:spacing w:line="276" w:lineRule="auto"/>
        <w:jc w:val="right"/>
        <w:rPr>
          <w:rFonts w:ascii="Times New Roman" w:hAnsi="Times New Roman" w:cs="Times New Roman"/>
        </w:rPr>
      </w:pPr>
      <w:r w:rsidRPr="00C411E9">
        <w:rPr>
          <w:rFonts w:ascii="Times New Roman" w:hAnsi="Times New Roman" w:cs="Times New Roman"/>
        </w:rPr>
        <w:t>SENT BY EMAIL</w:t>
      </w:r>
    </w:p>
    <w:p w14:paraId="29E0D710" w14:textId="77777777" w:rsidR="0028345D" w:rsidRPr="00C411E9" w:rsidRDefault="0028345D" w:rsidP="0028345D">
      <w:pPr>
        <w:spacing w:line="276" w:lineRule="auto"/>
        <w:jc w:val="right"/>
        <w:rPr>
          <w:rFonts w:ascii="Times New Roman" w:hAnsi="Times New Roman" w:cs="Times New Roman"/>
        </w:rPr>
      </w:pPr>
      <w:r w:rsidRPr="00C411E9">
        <w:rPr>
          <w:rFonts w:ascii="Times New Roman" w:hAnsi="Times New Roman" w:cs="Times New Roman"/>
          <w:highlight w:val="yellow"/>
        </w:rPr>
        <w:t>Email</w:t>
      </w:r>
    </w:p>
    <w:p w14:paraId="31A747EC" w14:textId="43B473A4" w:rsidR="0028345D" w:rsidRPr="00C411E9" w:rsidRDefault="0028345D" w:rsidP="0028345D">
      <w:pPr>
        <w:spacing w:line="276" w:lineRule="auto"/>
        <w:ind w:left="720" w:firstLine="720"/>
        <w:jc w:val="right"/>
        <w:rPr>
          <w:rFonts w:ascii="Times New Roman" w:hAnsi="Times New Roman" w:cs="Times New Roman"/>
        </w:rPr>
      </w:pPr>
      <w:r w:rsidRPr="00C411E9">
        <w:rPr>
          <w:rFonts w:ascii="Times New Roman" w:hAnsi="Times New Roman" w:cs="Times New Roman"/>
        </w:rPr>
        <w:t xml:space="preserve"> </w:t>
      </w:r>
      <w:r w:rsidR="00C411E9">
        <w:rPr>
          <w:rFonts w:ascii="Times New Roman" w:hAnsi="Times New Roman" w:cs="Times New Roman"/>
        </w:rPr>
        <w:t>Date</w:t>
      </w:r>
    </w:p>
    <w:p w14:paraId="797EEAAB" w14:textId="77777777" w:rsidR="0028345D" w:rsidRDefault="0028345D" w:rsidP="0028345D">
      <w:pPr>
        <w:spacing w:line="276" w:lineRule="auto"/>
        <w:rPr>
          <w:rFonts w:ascii="Times New Roman" w:hAnsi="Times New Roman" w:cs="Times New Roman"/>
        </w:rPr>
      </w:pPr>
    </w:p>
    <w:p w14:paraId="38C5BCDF" w14:textId="77777777" w:rsidR="00191708" w:rsidRDefault="00191708" w:rsidP="0028345D">
      <w:pPr>
        <w:spacing w:line="276" w:lineRule="auto"/>
        <w:rPr>
          <w:rFonts w:ascii="Times New Roman" w:hAnsi="Times New Roman" w:cs="Times New Roman"/>
        </w:rPr>
      </w:pPr>
    </w:p>
    <w:p w14:paraId="2AE77AF7" w14:textId="77777777" w:rsidR="00191708" w:rsidRDefault="00191708" w:rsidP="0028345D">
      <w:pPr>
        <w:spacing w:line="276" w:lineRule="auto"/>
        <w:rPr>
          <w:rFonts w:ascii="Times New Roman" w:hAnsi="Times New Roman" w:cs="Times New Roman"/>
        </w:rPr>
      </w:pPr>
    </w:p>
    <w:p w14:paraId="7C2139C1" w14:textId="77777777" w:rsidR="00191708" w:rsidRDefault="00191708" w:rsidP="0028345D">
      <w:pPr>
        <w:spacing w:line="276" w:lineRule="auto"/>
        <w:rPr>
          <w:rFonts w:ascii="Times New Roman" w:hAnsi="Times New Roman" w:cs="Times New Roman"/>
        </w:rPr>
      </w:pPr>
    </w:p>
    <w:p w14:paraId="3472AA2C" w14:textId="77777777" w:rsidR="00191708" w:rsidRPr="00C411E9" w:rsidRDefault="00191708" w:rsidP="0028345D">
      <w:pPr>
        <w:spacing w:line="276" w:lineRule="auto"/>
        <w:rPr>
          <w:rFonts w:ascii="Times New Roman" w:hAnsi="Times New Roman" w:cs="Times New Roman"/>
        </w:rPr>
      </w:pPr>
    </w:p>
    <w:p w14:paraId="14FD9C55" w14:textId="77777777" w:rsidR="0028345D" w:rsidRPr="001977B8" w:rsidRDefault="0028345D" w:rsidP="0028345D">
      <w:pPr>
        <w:spacing w:line="276" w:lineRule="auto"/>
        <w:rPr>
          <w:rFonts w:ascii="Arial" w:hAnsi="Arial" w:cs="Arial"/>
        </w:rPr>
      </w:pPr>
    </w:p>
    <w:p w14:paraId="31120CFD" w14:textId="77777777" w:rsidR="00F0430A" w:rsidRDefault="00F0430A" w:rsidP="00F0430A">
      <w:pPr>
        <w:spacing w:after="240" w:line="276" w:lineRule="auto"/>
        <w:rPr>
          <w:rFonts w:ascii="Times New Roman" w:hAnsi="Times New Roman" w:cs="Times New Roman"/>
        </w:rPr>
      </w:pPr>
      <w:r>
        <w:rPr>
          <w:rFonts w:ascii="Times New Roman" w:hAnsi="Times New Roman" w:cs="Times New Roman"/>
        </w:rPr>
        <w:t>Dear Sir/ Madam</w:t>
      </w:r>
    </w:p>
    <w:p w14:paraId="1C89053A" w14:textId="03E69927" w:rsidR="00F0430A" w:rsidRDefault="0053083C" w:rsidP="00F0430A">
      <w:pPr>
        <w:pStyle w:val="Heading3"/>
        <w:spacing w:after="240" w:line="276" w:lineRule="auto"/>
        <w:rPr>
          <w:rFonts w:ascii="Arial" w:hAnsi="Arial" w:cs="Arial"/>
          <w:sz w:val="22"/>
          <w:szCs w:val="22"/>
        </w:rPr>
      </w:pPr>
      <w:r>
        <w:rPr>
          <w:rFonts w:ascii="Arial" w:hAnsi="Arial" w:cs="Arial"/>
          <w:sz w:val="22"/>
          <w:szCs w:val="22"/>
        </w:rPr>
        <w:t>WEST OXFORDSHIRE</w:t>
      </w:r>
      <w:r w:rsidR="00F0430A">
        <w:rPr>
          <w:rFonts w:ascii="Arial" w:hAnsi="Arial" w:cs="Arial"/>
          <w:sz w:val="22"/>
          <w:szCs w:val="22"/>
        </w:rPr>
        <w:t xml:space="preserve"> LOCAL PLAN</w:t>
      </w:r>
      <w:r>
        <w:rPr>
          <w:rFonts w:ascii="Arial" w:hAnsi="Arial" w:cs="Arial"/>
          <w:sz w:val="22"/>
          <w:szCs w:val="22"/>
        </w:rPr>
        <w:t xml:space="preserve"> – PREFERRED OPTIONS</w:t>
      </w:r>
    </w:p>
    <w:p w14:paraId="4F9A4834" w14:textId="11AC41CC" w:rsidR="00F0430A" w:rsidRDefault="00F0430A" w:rsidP="00F0430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Thank you for consulting with the Home Builders Federation (HBF) on the</w:t>
      </w:r>
      <w:r w:rsidR="0053083C">
        <w:rPr>
          <w:rFonts w:ascii="Times New Roman" w:hAnsi="Times New Roman" w:cs="Times New Roman"/>
          <w:bCs/>
        </w:rPr>
        <w:t xml:space="preserve"> preferred options for the West Oxfordshire</w:t>
      </w:r>
      <w:r>
        <w:rPr>
          <w:rFonts w:ascii="Times New Roman" w:hAnsi="Times New Roman" w:cs="Times New Roman"/>
          <w:bCs/>
        </w:rPr>
        <w:t xml:space="preserve"> Local Plan.</w:t>
      </w:r>
    </w:p>
    <w:p w14:paraId="6CD0CD54" w14:textId="77777777" w:rsidR="00F0430A" w:rsidRDefault="00F0430A" w:rsidP="00F0430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HBF is the principal representative body of the house-building industry in England and Wales. Our representations reflect the views of our membership, which include multi-national PLC’s, regional developers and small, local builders. In any one year, our members account for over 80% of all new “for sale” market housing built in England and Wales as well as a large proportion of newly built affordable housing. </w:t>
      </w:r>
    </w:p>
    <w:p w14:paraId="70DE5989" w14:textId="48ED8A0C" w:rsidR="003E272D" w:rsidRPr="00344FF0" w:rsidRDefault="001107ED" w:rsidP="003E272D">
      <w:pPr>
        <w:widowControl/>
        <w:suppressAutoHyphens w:val="0"/>
        <w:autoSpaceDE/>
        <w:spacing w:after="240" w:line="360" w:lineRule="auto"/>
        <w:jc w:val="both"/>
        <w:rPr>
          <w:rFonts w:ascii="Times New Roman" w:hAnsi="Times New Roman" w:cs="Times New Roman"/>
          <w:b/>
        </w:rPr>
      </w:pPr>
      <w:r w:rsidRPr="00344FF0">
        <w:rPr>
          <w:rFonts w:ascii="Times New Roman" w:hAnsi="Times New Roman" w:cs="Times New Roman"/>
          <w:b/>
        </w:rPr>
        <w:t>The Local</w:t>
      </w:r>
      <w:r w:rsidR="003C65DD" w:rsidRPr="00344FF0">
        <w:rPr>
          <w:rFonts w:ascii="Times New Roman" w:hAnsi="Times New Roman" w:cs="Times New Roman"/>
          <w:b/>
        </w:rPr>
        <w:t xml:space="preserve"> </w:t>
      </w:r>
      <w:r w:rsidR="003E272D" w:rsidRPr="00344FF0">
        <w:rPr>
          <w:rFonts w:ascii="Times New Roman" w:hAnsi="Times New Roman" w:cs="Times New Roman"/>
          <w:b/>
        </w:rPr>
        <w:t xml:space="preserve">Plan </w:t>
      </w:r>
      <w:r w:rsidRPr="00344FF0">
        <w:rPr>
          <w:rFonts w:ascii="Times New Roman" w:hAnsi="Times New Roman" w:cs="Times New Roman"/>
          <w:b/>
        </w:rPr>
        <w:t>P</w:t>
      </w:r>
      <w:r w:rsidR="003E272D" w:rsidRPr="00344FF0">
        <w:rPr>
          <w:rFonts w:ascii="Times New Roman" w:hAnsi="Times New Roman" w:cs="Times New Roman"/>
          <w:b/>
        </w:rPr>
        <w:t>eriod</w:t>
      </w:r>
    </w:p>
    <w:p w14:paraId="1D21C862" w14:textId="4F65F3CA" w:rsidR="00F11251" w:rsidRDefault="005E4EA2" w:rsidP="00CE66B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92017A">
        <w:rPr>
          <w:rFonts w:ascii="Times New Roman" w:hAnsi="Times New Roman" w:cs="Times New Roman"/>
          <w:bCs/>
        </w:rPr>
        <w:t xml:space="preserve">HBF </w:t>
      </w:r>
      <w:r w:rsidR="009D7090" w:rsidRPr="0092017A">
        <w:rPr>
          <w:rFonts w:ascii="Times New Roman" w:hAnsi="Times New Roman" w:cs="Times New Roman"/>
          <w:bCs/>
        </w:rPr>
        <w:t>supports</w:t>
      </w:r>
      <w:r w:rsidRPr="0092017A">
        <w:rPr>
          <w:rFonts w:ascii="Times New Roman" w:hAnsi="Times New Roman" w:cs="Times New Roman"/>
          <w:bCs/>
        </w:rPr>
        <w:t xml:space="preserve"> </w:t>
      </w:r>
      <w:r w:rsidR="00F11251" w:rsidRPr="0092017A">
        <w:rPr>
          <w:rFonts w:ascii="Times New Roman" w:hAnsi="Times New Roman" w:cs="Times New Roman"/>
          <w:bCs/>
        </w:rPr>
        <w:t>t</w:t>
      </w:r>
      <w:r w:rsidRPr="0092017A">
        <w:rPr>
          <w:rFonts w:ascii="Times New Roman" w:hAnsi="Times New Roman" w:cs="Times New Roman"/>
          <w:bCs/>
        </w:rPr>
        <w:t xml:space="preserve">he </w:t>
      </w:r>
      <w:r w:rsidR="00F11251" w:rsidRPr="0092017A">
        <w:rPr>
          <w:rFonts w:ascii="Times New Roman" w:hAnsi="Times New Roman" w:cs="Times New Roman"/>
          <w:bCs/>
        </w:rPr>
        <w:t>extension</w:t>
      </w:r>
      <w:r w:rsidRPr="0092017A">
        <w:rPr>
          <w:rFonts w:ascii="Times New Roman" w:hAnsi="Times New Roman" w:cs="Times New Roman"/>
          <w:bCs/>
        </w:rPr>
        <w:t xml:space="preserve"> of the plan period to </w:t>
      </w:r>
      <w:r w:rsidR="00F11251" w:rsidRPr="0092017A">
        <w:rPr>
          <w:rFonts w:ascii="Times New Roman" w:hAnsi="Times New Roman" w:cs="Times New Roman"/>
          <w:bCs/>
        </w:rPr>
        <w:t>the 31</w:t>
      </w:r>
      <w:r w:rsidR="00F11251" w:rsidRPr="0092017A">
        <w:rPr>
          <w:rFonts w:ascii="Times New Roman" w:hAnsi="Times New Roman" w:cs="Times New Roman"/>
          <w:bCs/>
          <w:vertAlign w:val="superscript"/>
        </w:rPr>
        <w:t>st</w:t>
      </w:r>
      <w:r w:rsidR="00F11251" w:rsidRPr="0092017A">
        <w:rPr>
          <w:rFonts w:ascii="Times New Roman" w:hAnsi="Times New Roman" w:cs="Times New Roman"/>
          <w:bCs/>
        </w:rPr>
        <w:t xml:space="preserve"> of March 2043. </w:t>
      </w:r>
      <w:r w:rsidR="0092017A" w:rsidRPr="0092017A">
        <w:rPr>
          <w:rFonts w:ascii="Times New Roman" w:hAnsi="Times New Roman" w:cs="Times New Roman"/>
          <w:bCs/>
        </w:rPr>
        <w:t xml:space="preserve">If the </w:t>
      </w:r>
      <w:r w:rsidR="00F11251" w:rsidRPr="0092017A">
        <w:rPr>
          <w:rFonts w:ascii="Times New Roman" w:hAnsi="Times New Roman" w:cs="Times New Roman"/>
          <w:bCs/>
        </w:rPr>
        <w:t xml:space="preserve">plan </w:t>
      </w:r>
      <w:r w:rsidR="0092017A" w:rsidRPr="0092017A">
        <w:rPr>
          <w:rFonts w:ascii="Times New Roman" w:hAnsi="Times New Roman" w:cs="Times New Roman"/>
          <w:bCs/>
        </w:rPr>
        <w:t>is</w:t>
      </w:r>
      <w:r w:rsidR="00F11251" w:rsidRPr="0092017A">
        <w:rPr>
          <w:rFonts w:ascii="Times New Roman" w:hAnsi="Times New Roman" w:cs="Times New Roman"/>
          <w:bCs/>
        </w:rPr>
        <w:t xml:space="preserve"> submitted by </w:t>
      </w:r>
      <w:r w:rsidR="0092017A" w:rsidRPr="0092017A">
        <w:rPr>
          <w:rFonts w:ascii="Times New Roman" w:hAnsi="Times New Roman" w:cs="Times New Roman"/>
          <w:bCs/>
        </w:rPr>
        <w:t>September</w:t>
      </w:r>
      <w:r w:rsidR="00F11251" w:rsidRPr="0092017A">
        <w:rPr>
          <w:rFonts w:ascii="Times New Roman" w:hAnsi="Times New Roman" w:cs="Times New Roman"/>
          <w:bCs/>
        </w:rPr>
        <w:t xml:space="preserve"> 2026</w:t>
      </w:r>
      <w:r w:rsidR="00E27CA7">
        <w:rPr>
          <w:rFonts w:ascii="Times New Roman" w:hAnsi="Times New Roman" w:cs="Times New Roman"/>
          <w:bCs/>
        </w:rPr>
        <w:t xml:space="preserve">, as </w:t>
      </w:r>
      <w:r w:rsidR="00140BB9">
        <w:rPr>
          <w:rFonts w:ascii="Times New Roman" w:hAnsi="Times New Roman" w:cs="Times New Roman"/>
          <w:bCs/>
        </w:rPr>
        <w:t>suggested in the latest Local Development Scheme,</w:t>
      </w:r>
      <w:r w:rsidR="00F11251" w:rsidRPr="0092017A">
        <w:rPr>
          <w:rFonts w:ascii="Times New Roman" w:hAnsi="Times New Roman" w:cs="Times New Roman"/>
          <w:bCs/>
        </w:rPr>
        <w:t xml:space="preserve"> </w:t>
      </w:r>
      <w:r w:rsidR="00291248" w:rsidRPr="0092017A">
        <w:rPr>
          <w:rFonts w:ascii="Times New Roman" w:hAnsi="Times New Roman" w:cs="Times New Roman"/>
          <w:bCs/>
        </w:rPr>
        <w:t xml:space="preserve">the </w:t>
      </w:r>
      <w:r w:rsidR="00B927CB" w:rsidRPr="0092017A">
        <w:rPr>
          <w:rFonts w:ascii="Times New Roman" w:hAnsi="Times New Roman" w:cs="Times New Roman"/>
          <w:bCs/>
        </w:rPr>
        <w:t xml:space="preserve">proposed end date </w:t>
      </w:r>
      <w:r w:rsidR="00140BB9">
        <w:rPr>
          <w:rFonts w:ascii="Times New Roman" w:hAnsi="Times New Roman" w:cs="Times New Roman"/>
          <w:bCs/>
        </w:rPr>
        <w:t xml:space="preserve">of the plan </w:t>
      </w:r>
      <w:r w:rsidR="00B927CB" w:rsidRPr="0092017A">
        <w:rPr>
          <w:rFonts w:ascii="Times New Roman" w:hAnsi="Times New Roman" w:cs="Times New Roman"/>
          <w:bCs/>
        </w:rPr>
        <w:t xml:space="preserve">should allow sufficient time for the plan </w:t>
      </w:r>
      <w:r w:rsidR="0092017A">
        <w:rPr>
          <w:rFonts w:ascii="Times New Roman" w:hAnsi="Times New Roman" w:cs="Times New Roman"/>
          <w:bCs/>
        </w:rPr>
        <w:t xml:space="preserve">to reach adoption with 15 years of the plan remaining. </w:t>
      </w:r>
      <w:r w:rsidR="000513C3">
        <w:rPr>
          <w:rFonts w:ascii="Times New Roman" w:hAnsi="Times New Roman" w:cs="Times New Roman"/>
          <w:bCs/>
        </w:rPr>
        <w:t>However</w:t>
      </w:r>
      <w:r w:rsidR="0092017A">
        <w:rPr>
          <w:rFonts w:ascii="Times New Roman" w:hAnsi="Times New Roman" w:cs="Times New Roman"/>
          <w:bCs/>
        </w:rPr>
        <w:t xml:space="preserve">, </w:t>
      </w:r>
      <w:r w:rsidR="006545A2">
        <w:rPr>
          <w:rFonts w:ascii="Times New Roman" w:hAnsi="Times New Roman" w:cs="Times New Roman"/>
          <w:bCs/>
        </w:rPr>
        <w:t xml:space="preserve">the </w:t>
      </w:r>
      <w:r w:rsidR="000513C3">
        <w:rPr>
          <w:rFonts w:ascii="Times New Roman" w:hAnsi="Times New Roman" w:cs="Times New Roman"/>
          <w:bCs/>
        </w:rPr>
        <w:t>Council</w:t>
      </w:r>
      <w:r w:rsidR="006545A2">
        <w:rPr>
          <w:rFonts w:ascii="Times New Roman" w:hAnsi="Times New Roman" w:cs="Times New Roman"/>
          <w:bCs/>
        </w:rPr>
        <w:t xml:space="preserve"> must be aware that there are a </w:t>
      </w:r>
      <w:r w:rsidR="000513C3">
        <w:rPr>
          <w:rFonts w:ascii="Times New Roman" w:hAnsi="Times New Roman" w:cs="Times New Roman"/>
          <w:bCs/>
        </w:rPr>
        <w:t>significant</w:t>
      </w:r>
      <w:r w:rsidR="006545A2">
        <w:rPr>
          <w:rFonts w:ascii="Times New Roman" w:hAnsi="Times New Roman" w:cs="Times New Roman"/>
          <w:bCs/>
        </w:rPr>
        <w:t xml:space="preserve"> number of plans looking to submit </w:t>
      </w:r>
      <w:r w:rsidR="000513C3">
        <w:rPr>
          <w:rFonts w:ascii="Times New Roman" w:hAnsi="Times New Roman" w:cs="Times New Roman"/>
          <w:bCs/>
        </w:rPr>
        <w:t>prior</w:t>
      </w:r>
      <w:r w:rsidR="006545A2">
        <w:rPr>
          <w:rFonts w:ascii="Times New Roman" w:hAnsi="Times New Roman" w:cs="Times New Roman"/>
          <w:bCs/>
        </w:rPr>
        <w:t xml:space="preserve"> to </w:t>
      </w:r>
      <w:r w:rsidR="000513C3">
        <w:rPr>
          <w:rFonts w:ascii="Times New Roman" w:hAnsi="Times New Roman" w:cs="Times New Roman"/>
          <w:bCs/>
        </w:rPr>
        <w:t>December</w:t>
      </w:r>
      <w:r w:rsidR="006545A2">
        <w:rPr>
          <w:rFonts w:ascii="Times New Roman" w:hAnsi="Times New Roman" w:cs="Times New Roman"/>
          <w:bCs/>
        </w:rPr>
        <w:t xml:space="preserve"> 202</w:t>
      </w:r>
      <w:r w:rsidR="000943F9">
        <w:rPr>
          <w:rFonts w:ascii="Times New Roman" w:hAnsi="Times New Roman" w:cs="Times New Roman"/>
          <w:bCs/>
        </w:rPr>
        <w:t>6</w:t>
      </w:r>
      <w:r w:rsidR="001E16B7">
        <w:rPr>
          <w:rFonts w:ascii="Times New Roman" w:hAnsi="Times New Roman" w:cs="Times New Roman"/>
          <w:bCs/>
        </w:rPr>
        <w:t xml:space="preserve">, the deadline which plans must be submitted if they are </w:t>
      </w:r>
      <w:r w:rsidR="00844DA2">
        <w:rPr>
          <w:rFonts w:ascii="Times New Roman" w:hAnsi="Times New Roman" w:cs="Times New Roman"/>
          <w:bCs/>
        </w:rPr>
        <w:t>being prepared under the current plan making process</w:t>
      </w:r>
      <w:r w:rsidR="00140BB9">
        <w:rPr>
          <w:rFonts w:ascii="Times New Roman" w:hAnsi="Times New Roman" w:cs="Times New Roman"/>
          <w:bCs/>
        </w:rPr>
        <w:t xml:space="preserve">. </w:t>
      </w:r>
      <w:r w:rsidR="002B2A77">
        <w:rPr>
          <w:rFonts w:ascii="Times New Roman" w:hAnsi="Times New Roman" w:cs="Times New Roman"/>
          <w:bCs/>
        </w:rPr>
        <w:t xml:space="preserve">If a significant number of plan are submitted next year </w:t>
      </w:r>
      <w:r w:rsidR="00EA4F05">
        <w:rPr>
          <w:rFonts w:ascii="Times New Roman" w:hAnsi="Times New Roman" w:cs="Times New Roman"/>
          <w:bCs/>
        </w:rPr>
        <w:t xml:space="preserve">this will place the Planning </w:t>
      </w:r>
      <w:r w:rsidR="00726A39">
        <w:rPr>
          <w:rFonts w:ascii="Times New Roman" w:hAnsi="Times New Roman" w:cs="Times New Roman"/>
          <w:bCs/>
        </w:rPr>
        <w:t>Inspectorate</w:t>
      </w:r>
      <w:r w:rsidR="00EA4F05">
        <w:rPr>
          <w:rFonts w:ascii="Times New Roman" w:hAnsi="Times New Roman" w:cs="Times New Roman"/>
          <w:bCs/>
        </w:rPr>
        <w:t xml:space="preserve"> under </w:t>
      </w:r>
      <w:r w:rsidR="00726A39">
        <w:rPr>
          <w:rFonts w:ascii="Times New Roman" w:hAnsi="Times New Roman" w:cs="Times New Roman"/>
          <w:bCs/>
        </w:rPr>
        <w:t>significant</w:t>
      </w:r>
      <w:r w:rsidR="00EA4F05">
        <w:rPr>
          <w:rFonts w:ascii="Times New Roman" w:hAnsi="Times New Roman" w:cs="Times New Roman"/>
          <w:bCs/>
        </w:rPr>
        <w:t xml:space="preserve"> pressure</w:t>
      </w:r>
      <w:r w:rsidR="00D72788">
        <w:rPr>
          <w:rFonts w:ascii="Times New Roman" w:hAnsi="Times New Roman" w:cs="Times New Roman"/>
          <w:bCs/>
        </w:rPr>
        <w:t xml:space="preserve"> and could impact on the speed at which plans progress through their EIPs. A</w:t>
      </w:r>
      <w:r w:rsidR="002B2A77">
        <w:rPr>
          <w:rFonts w:ascii="Times New Roman" w:hAnsi="Times New Roman" w:cs="Times New Roman"/>
          <w:bCs/>
        </w:rPr>
        <w:t xml:space="preserve">s such if the Council </w:t>
      </w:r>
      <w:r w:rsidR="00D72788">
        <w:rPr>
          <w:rFonts w:ascii="Times New Roman" w:hAnsi="Times New Roman" w:cs="Times New Roman"/>
          <w:bCs/>
        </w:rPr>
        <w:t>wishes</w:t>
      </w:r>
      <w:r w:rsidR="002B2A77">
        <w:rPr>
          <w:rFonts w:ascii="Times New Roman" w:hAnsi="Times New Roman" w:cs="Times New Roman"/>
          <w:bCs/>
        </w:rPr>
        <w:t xml:space="preserve"> to </w:t>
      </w:r>
      <w:r w:rsidR="00D72788">
        <w:rPr>
          <w:rFonts w:ascii="Times New Roman" w:hAnsi="Times New Roman" w:cs="Times New Roman"/>
          <w:bCs/>
        </w:rPr>
        <w:t>adopt a plan</w:t>
      </w:r>
      <w:r w:rsidR="002B2A77">
        <w:rPr>
          <w:rFonts w:ascii="Times New Roman" w:hAnsi="Times New Roman" w:cs="Times New Roman"/>
          <w:bCs/>
        </w:rPr>
        <w:t xml:space="preserve"> in </w:t>
      </w:r>
      <w:r w:rsidR="00851432">
        <w:rPr>
          <w:rFonts w:ascii="Times New Roman" w:hAnsi="Times New Roman" w:cs="Times New Roman"/>
          <w:bCs/>
        </w:rPr>
        <w:t>2027,</w:t>
      </w:r>
      <w:r w:rsidR="002B2A77">
        <w:rPr>
          <w:rFonts w:ascii="Times New Roman" w:hAnsi="Times New Roman" w:cs="Times New Roman"/>
          <w:bCs/>
        </w:rPr>
        <w:t xml:space="preserve"> they will need to ensure that the deadlines set out in the Local Development Scheme are met.</w:t>
      </w:r>
    </w:p>
    <w:p w14:paraId="41D323D2" w14:textId="044EF225" w:rsidR="00E631E5" w:rsidRPr="00344FF0" w:rsidRDefault="00E631E5" w:rsidP="00E631E5">
      <w:pPr>
        <w:widowControl/>
        <w:suppressAutoHyphens w:val="0"/>
        <w:autoSpaceDE/>
        <w:spacing w:after="240" w:line="360" w:lineRule="auto"/>
        <w:jc w:val="both"/>
        <w:rPr>
          <w:rFonts w:ascii="Times New Roman" w:hAnsi="Times New Roman" w:cs="Times New Roman"/>
          <w:b/>
        </w:rPr>
      </w:pPr>
      <w:r w:rsidRPr="00344FF0">
        <w:rPr>
          <w:rFonts w:ascii="Times New Roman" w:hAnsi="Times New Roman" w:cs="Times New Roman"/>
          <w:b/>
        </w:rPr>
        <w:t>Settlement Hierarchy</w:t>
      </w:r>
    </w:p>
    <w:p w14:paraId="5D5D200B" w14:textId="77B64C79" w:rsidR="00E631E5" w:rsidRDefault="003637C2" w:rsidP="002D4BD5">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While HBF does not object to an </w:t>
      </w:r>
      <w:r w:rsidR="00542711">
        <w:rPr>
          <w:rFonts w:ascii="Times New Roman" w:hAnsi="Times New Roman" w:cs="Times New Roman"/>
          <w:bCs/>
        </w:rPr>
        <w:t>additional</w:t>
      </w:r>
      <w:r>
        <w:rPr>
          <w:rFonts w:ascii="Times New Roman" w:hAnsi="Times New Roman" w:cs="Times New Roman"/>
          <w:bCs/>
        </w:rPr>
        <w:t xml:space="preserve"> tier being included in the </w:t>
      </w:r>
      <w:r w:rsidR="00542711">
        <w:rPr>
          <w:rFonts w:ascii="Times New Roman" w:hAnsi="Times New Roman" w:cs="Times New Roman"/>
          <w:bCs/>
        </w:rPr>
        <w:t>settlement</w:t>
      </w:r>
      <w:r>
        <w:rPr>
          <w:rFonts w:ascii="Times New Roman" w:hAnsi="Times New Roman" w:cs="Times New Roman"/>
          <w:bCs/>
        </w:rPr>
        <w:t xml:space="preserve"> hierarchy</w:t>
      </w:r>
      <w:r w:rsidR="00844DA2">
        <w:rPr>
          <w:rFonts w:ascii="Times New Roman" w:hAnsi="Times New Roman" w:cs="Times New Roman"/>
          <w:bCs/>
        </w:rPr>
        <w:t>,</w:t>
      </w:r>
      <w:r>
        <w:rPr>
          <w:rFonts w:ascii="Times New Roman" w:hAnsi="Times New Roman" w:cs="Times New Roman"/>
          <w:bCs/>
        </w:rPr>
        <w:t xml:space="preserve"> </w:t>
      </w:r>
      <w:r w:rsidR="000860E1">
        <w:rPr>
          <w:rFonts w:ascii="Times New Roman" w:hAnsi="Times New Roman" w:cs="Times New Roman"/>
          <w:bCs/>
        </w:rPr>
        <w:t>if there</w:t>
      </w:r>
      <w:r w:rsidR="00DF365E">
        <w:rPr>
          <w:rFonts w:ascii="Times New Roman" w:hAnsi="Times New Roman" w:cs="Times New Roman"/>
          <w:bCs/>
        </w:rPr>
        <w:t xml:space="preserve"> </w:t>
      </w:r>
      <w:r w:rsidR="000860E1">
        <w:rPr>
          <w:rFonts w:ascii="Times New Roman" w:hAnsi="Times New Roman" w:cs="Times New Roman"/>
          <w:bCs/>
        </w:rPr>
        <w:t>is robust evidence to justify a distinction being made</w:t>
      </w:r>
      <w:r w:rsidR="00DF365E">
        <w:rPr>
          <w:rFonts w:ascii="Times New Roman" w:hAnsi="Times New Roman" w:cs="Times New Roman"/>
          <w:bCs/>
        </w:rPr>
        <w:t xml:space="preserve"> between larger and medium sized villages. However,</w:t>
      </w:r>
      <w:r w:rsidR="00104644">
        <w:rPr>
          <w:rFonts w:ascii="Times New Roman" w:hAnsi="Times New Roman" w:cs="Times New Roman"/>
          <w:bCs/>
        </w:rPr>
        <w:t xml:space="preserve"> this should not, as is </w:t>
      </w:r>
      <w:r w:rsidR="00097032">
        <w:rPr>
          <w:rFonts w:ascii="Times New Roman" w:hAnsi="Times New Roman" w:cs="Times New Roman"/>
          <w:bCs/>
        </w:rPr>
        <w:t>suggested</w:t>
      </w:r>
      <w:r w:rsidR="00104644">
        <w:rPr>
          <w:rFonts w:ascii="Times New Roman" w:hAnsi="Times New Roman" w:cs="Times New Roman"/>
          <w:bCs/>
        </w:rPr>
        <w:t xml:space="preserve"> by some of those responding </w:t>
      </w:r>
      <w:r w:rsidR="00851432">
        <w:rPr>
          <w:rFonts w:ascii="Times New Roman" w:hAnsi="Times New Roman" w:cs="Times New Roman"/>
          <w:bCs/>
        </w:rPr>
        <w:t>to</w:t>
      </w:r>
      <w:r w:rsidR="00104644">
        <w:rPr>
          <w:rFonts w:ascii="Times New Roman" w:hAnsi="Times New Roman" w:cs="Times New Roman"/>
          <w:bCs/>
        </w:rPr>
        <w:t xml:space="preserve"> the </w:t>
      </w:r>
      <w:r w:rsidR="00851432">
        <w:rPr>
          <w:rFonts w:ascii="Times New Roman" w:hAnsi="Times New Roman" w:cs="Times New Roman"/>
          <w:bCs/>
        </w:rPr>
        <w:t xml:space="preserve">previous </w:t>
      </w:r>
      <w:r w:rsidR="00A77B3B">
        <w:rPr>
          <w:rFonts w:ascii="Times New Roman" w:hAnsi="Times New Roman" w:cs="Times New Roman"/>
          <w:bCs/>
        </w:rPr>
        <w:t>consultation,</w:t>
      </w:r>
      <w:r w:rsidR="00104644">
        <w:rPr>
          <w:rFonts w:ascii="Times New Roman" w:hAnsi="Times New Roman" w:cs="Times New Roman"/>
          <w:bCs/>
        </w:rPr>
        <w:t xml:space="preserve"> mean</w:t>
      </w:r>
      <w:r w:rsidR="00851432">
        <w:rPr>
          <w:rFonts w:ascii="Times New Roman" w:hAnsi="Times New Roman" w:cs="Times New Roman"/>
          <w:bCs/>
        </w:rPr>
        <w:t xml:space="preserve"> that</w:t>
      </w:r>
      <w:r w:rsidR="00104644">
        <w:rPr>
          <w:rFonts w:ascii="Times New Roman" w:hAnsi="Times New Roman" w:cs="Times New Roman"/>
          <w:bCs/>
        </w:rPr>
        <w:t xml:space="preserve"> those </w:t>
      </w:r>
      <w:r w:rsidR="00DB6A28">
        <w:rPr>
          <w:rFonts w:ascii="Times New Roman" w:hAnsi="Times New Roman" w:cs="Times New Roman"/>
          <w:bCs/>
        </w:rPr>
        <w:t xml:space="preserve">settlements </w:t>
      </w:r>
      <w:r w:rsidR="00097032">
        <w:rPr>
          <w:rFonts w:ascii="Times New Roman" w:hAnsi="Times New Roman" w:cs="Times New Roman"/>
          <w:bCs/>
        </w:rPr>
        <w:t>should</w:t>
      </w:r>
      <w:r w:rsidR="00DB6A28">
        <w:rPr>
          <w:rFonts w:ascii="Times New Roman" w:hAnsi="Times New Roman" w:cs="Times New Roman"/>
          <w:bCs/>
        </w:rPr>
        <w:t xml:space="preserve"> </w:t>
      </w:r>
      <w:r w:rsidR="00097032">
        <w:rPr>
          <w:rFonts w:ascii="Times New Roman" w:hAnsi="Times New Roman" w:cs="Times New Roman"/>
          <w:bCs/>
        </w:rPr>
        <w:t>only</w:t>
      </w:r>
      <w:r w:rsidR="00DB6A28">
        <w:rPr>
          <w:rFonts w:ascii="Times New Roman" w:hAnsi="Times New Roman" w:cs="Times New Roman"/>
          <w:bCs/>
        </w:rPr>
        <w:t xml:space="preserve"> see minimal growth. In considering the </w:t>
      </w:r>
      <w:r w:rsidR="00097032">
        <w:rPr>
          <w:rFonts w:ascii="Times New Roman" w:hAnsi="Times New Roman" w:cs="Times New Roman"/>
          <w:bCs/>
        </w:rPr>
        <w:t>spatial</w:t>
      </w:r>
      <w:r w:rsidR="00DB6A28">
        <w:rPr>
          <w:rFonts w:ascii="Times New Roman" w:hAnsi="Times New Roman" w:cs="Times New Roman"/>
          <w:bCs/>
        </w:rPr>
        <w:t xml:space="preserve"> options for </w:t>
      </w:r>
      <w:r w:rsidR="00097032">
        <w:rPr>
          <w:rFonts w:ascii="Times New Roman" w:hAnsi="Times New Roman" w:cs="Times New Roman"/>
          <w:bCs/>
        </w:rPr>
        <w:t>growth</w:t>
      </w:r>
      <w:r w:rsidR="00DB6A28">
        <w:rPr>
          <w:rFonts w:ascii="Times New Roman" w:hAnsi="Times New Roman" w:cs="Times New Roman"/>
          <w:bCs/>
        </w:rPr>
        <w:t xml:space="preserve"> the Council must </w:t>
      </w:r>
      <w:r w:rsidR="00097032">
        <w:rPr>
          <w:rFonts w:ascii="Times New Roman" w:hAnsi="Times New Roman" w:cs="Times New Roman"/>
          <w:bCs/>
        </w:rPr>
        <w:t>recognise</w:t>
      </w:r>
      <w:r w:rsidR="00DB6A28">
        <w:rPr>
          <w:rFonts w:ascii="Times New Roman" w:hAnsi="Times New Roman" w:cs="Times New Roman"/>
          <w:bCs/>
        </w:rPr>
        <w:t xml:space="preserve"> that there can be clusters of smaller settlements that</w:t>
      </w:r>
      <w:r w:rsidR="00097032">
        <w:rPr>
          <w:rFonts w:ascii="Times New Roman" w:hAnsi="Times New Roman" w:cs="Times New Roman"/>
          <w:bCs/>
        </w:rPr>
        <w:t xml:space="preserve"> can</w:t>
      </w:r>
      <w:r w:rsidR="00DB6A28">
        <w:rPr>
          <w:rFonts w:ascii="Times New Roman" w:hAnsi="Times New Roman" w:cs="Times New Roman"/>
          <w:bCs/>
        </w:rPr>
        <w:t xml:space="preserve"> meet a range of needs or that additional development can secure </w:t>
      </w:r>
      <w:r w:rsidR="00097032">
        <w:rPr>
          <w:rFonts w:ascii="Times New Roman" w:hAnsi="Times New Roman" w:cs="Times New Roman"/>
          <w:bCs/>
        </w:rPr>
        <w:t xml:space="preserve">and grow the services in a settlement. The </w:t>
      </w:r>
      <w:r w:rsidR="0061138F">
        <w:rPr>
          <w:rFonts w:ascii="Times New Roman" w:hAnsi="Times New Roman" w:cs="Times New Roman"/>
          <w:bCs/>
        </w:rPr>
        <w:t>settlement</w:t>
      </w:r>
      <w:r w:rsidR="00097032">
        <w:rPr>
          <w:rFonts w:ascii="Times New Roman" w:hAnsi="Times New Roman" w:cs="Times New Roman"/>
          <w:bCs/>
        </w:rPr>
        <w:t xml:space="preserve"> hierarchy is a</w:t>
      </w:r>
      <w:r w:rsidR="002A67BD">
        <w:rPr>
          <w:rFonts w:ascii="Times New Roman" w:hAnsi="Times New Roman" w:cs="Times New Roman"/>
          <w:bCs/>
        </w:rPr>
        <w:t xml:space="preserve"> helpful</w:t>
      </w:r>
      <w:r w:rsidR="00097032">
        <w:rPr>
          <w:rFonts w:ascii="Times New Roman" w:hAnsi="Times New Roman" w:cs="Times New Roman"/>
          <w:bCs/>
        </w:rPr>
        <w:t xml:space="preserve"> guide </w:t>
      </w:r>
      <w:r w:rsidR="002A67BD">
        <w:rPr>
          <w:rFonts w:ascii="Times New Roman" w:hAnsi="Times New Roman" w:cs="Times New Roman"/>
          <w:bCs/>
        </w:rPr>
        <w:t xml:space="preserve">as </w:t>
      </w:r>
      <w:r w:rsidR="00097032">
        <w:rPr>
          <w:rFonts w:ascii="Times New Roman" w:hAnsi="Times New Roman" w:cs="Times New Roman"/>
          <w:bCs/>
        </w:rPr>
        <w:t xml:space="preserve">to </w:t>
      </w:r>
      <w:r w:rsidR="007F72A8">
        <w:rPr>
          <w:rFonts w:ascii="Times New Roman" w:hAnsi="Times New Roman" w:cs="Times New Roman"/>
          <w:bCs/>
        </w:rPr>
        <w:t xml:space="preserve">where that </w:t>
      </w:r>
      <w:r w:rsidR="0061138F">
        <w:rPr>
          <w:rFonts w:ascii="Times New Roman" w:hAnsi="Times New Roman" w:cs="Times New Roman"/>
          <w:bCs/>
        </w:rPr>
        <w:t>settlement</w:t>
      </w:r>
      <w:r w:rsidR="007F72A8">
        <w:rPr>
          <w:rFonts w:ascii="Times New Roman" w:hAnsi="Times New Roman" w:cs="Times New Roman"/>
          <w:bCs/>
        </w:rPr>
        <w:t xml:space="preserve"> </w:t>
      </w:r>
      <w:r w:rsidR="007F72A8">
        <w:rPr>
          <w:rFonts w:ascii="Times New Roman" w:hAnsi="Times New Roman" w:cs="Times New Roman"/>
          <w:bCs/>
        </w:rPr>
        <w:lastRenderedPageBreak/>
        <w:t xml:space="preserve">currently </w:t>
      </w:r>
      <w:r w:rsidR="00F80921">
        <w:rPr>
          <w:rFonts w:ascii="Times New Roman" w:hAnsi="Times New Roman" w:cs="Times New Roman"/>
          <w:bCs/>
        </w:rPr>
        <w:t>ranks alongside of towns and villages</w:t>
      </w:r>
      <w:r w:rsidR="007F72A8">
        <w:rPr>
          <w:rFonts w:ascii="Times New Roman" w:hAnsi="Times New Roman" w:cs="Times New Roman"/>
          <w:bCs/>
        </w:rPr>
        <w:t xml:space="preserve"> </w:t>
      </w:r>
      <w:r w:rsidR="0061138F">
        <w:rPr>
          <w:rFonts w:ascii="Times New Roman" w:hAnsi="Times New Roman" w:cs="Times New Roman"/>
          <w:bCs/>
        </w:rPr>
        <w:t>with</w:t>
      </w:r>
      <w:r w:rsidR="00F80921">
        <w:rPr>
          <w:rFonts w:ascii="Times New Roman" w:hAnsi="Times New Roman" w:cs="Times New Roman"/>
          <w:bCs/>
        </w:rPr>
        <w:t xml:space="preserve"> regard to size, infrastructure and services </w:t>
      </w:r>
      <w:r w:rsidR="007F72A8">
        <w:rPr>
          <w:rFonts w:ascii="Times New Roman" w:hAnsi="Times New Roman" w:cs="Times New Roman"/>
          <w:bCs/>
        </w:rPr>
        <w:t xml:space="preserve">but it should not be </w:t>
      </w:r>
      <w:r w:rsidR="0061138F">
        <w:rPr>
          <w:rFonts w:ascii="Times New Roman" w:hAnsi="Times New Roman" w:cs="Times New Roman"/>
          <w:bCs/>
        </w:rPr>
        <w:t xml:space="preserve">seen as fixed and that services cannot be </w:t>
      </w:r>
      <w:r w:rsidR="00F80921">
        <w:rPr>
          <w:rFonts w:ascii="Times New Roman" w:hAnsi="Times New Roman" w:cs="Times New Roman"/>
          <w:bCs/>
        </w:rPr>
        <w:t>expanded to support development</w:t>
      </w:r>
      <w:r w:rsidR="0061138F">
        <w:rPr>
          <w:rFonts w:ascii="Times New Roman" w:hAnsi="Times New Roman" w:cs="Times New Roman"/>
          <w:bCs/>
        </w:rPr>
        <w:t>.</w:t>
      </w:r>
    </w:p>
    <w:p w14:paraId="33DA2046" w14:textId="43611D47" w:rsidR="00344FF0" w:rsidRPr="00AF491A" w:rsidRDefault="00344FF0" w:rsidP="00344FF0">
      <w:pPr>
        <w:widowControl/>
        <w:suppressAutoHyphens w:val="0"/>
        <w:autoSpaceDE/>
        <w:spacing w:after="240" w:line="360" w:lineRule="auto"/>
        <w:jc w:val="both"/>
        <w:rPr>
          <w:rFonts w:ascii="Times New Roman" w:hAnsi="Times New Roman" w:cs="Times New Roman"/>
          <w:b/>
        </w:rPr>
      </w:pPr>
      <w:r w:rsidRPr="00AF491A">
        <w:rPr>
          <w:rFonts w:ascii="Times New Roman" w:hAnsi="Times New Roman" w:cs="Times New Roman"/>
          <w:b/>
        </w:rPr>
        <w:t>Spatial Strategy</w:t>
      </w:r>
    </w:p>
    <w:p w14:paraId="26B7FA27" w14:textId="0362E6DE" w:rsidR="00EB1EB0" w:rsidRPr="0060480D" w:rsidRDefault="00AF63C6" w:rsidP="0060480D">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At paragraph </w:t>
      </w:r>
      <w:r w:rsidR="00BF72E5">
        <w:rPr>
          <w:rFonts w:ascii="Times New Roman" w:hAnsi="Times New Roman" w:cs="Times New Roman"/>
          <w:bCs/>
        </w:rPr>
        <w:t xml:space="preserve">5.7 the </w:t>
      </w:r>
      <w:r w:rsidR="00564578">
        <w:rPr>
          <w:rFonts w:ascii="Times New Roman" w:hAnsi="Times New Roman" w:cs="Times New Roman"/>
          <w:bCs/>
        </w:rPr>
        <w:t>Council</w:t>
      </w:r>
      <w:r w:rsidR="00344FF0">
        <w:rPr>
          <w:rFonts w:ascii="Times New Roman" w:hAnsi="Times New Roman" w:cs="Times New Roman"/>
          <w:bCs/>
        </w:rPr>
        <w:t xml:space="preserve"> propos</w:t>
      </w:r>
      <w:r w:rsidR="00BF72E5">
        <w:rPr>
          <w:rFonts w:ascii="Times New Roman" w:hAnsi="Times New Roman" w:cs="Times New Roman"/>
          <w:bCs/>
        </w:rPr>
        <w:t>e</w:t>
      </w:r>
      <w:r w:rsidR="00344FF0">
        <w:rPr>
          <w:rFonts w:ascii="Times New Roman" w:hAnsi="Times New Roman" w:cs="Times New Roman"/>
          <w:bCs/>
        </w:rPr>
        <w:t xml:space="preserve"> to</w:t>
      </w:r>
      <w:r w:rsidR="00CC6FEF">
        <w:rPr>
          <w:rFonts w:ascii="Times New Roman" w:hAnsi="Times New Roman" w:cs="Times New Roman"/>
          <w:bCs/>
        </w:rPr>
        <w:t xml:space="preserve"> define four different scales of </w:t>
      </w:r>
      <w:r w:rsidR="00564578">
        <w:rPr>
          <w:rFonts w:ascii="Times New Roman" w:hAnsi="Times New Roman" w:cs="Times New Roman"/>
          <w:bCs/>
        </w:rPr>
        <w:t>residential</w:t>
      </w:r>
      <w:r w:rsidR="00CC6FEF">
        <w:rPr>
          <w:rFonts w:ascii="Times New Roman" w:hAnsi="Times New Roman" w:cs="Times New Roman"/>
          <w:bCs/>
        </w:rPr>
        <w:t xml:space="preserve"> development </w:t>
      </w:r>
      <w:r w:rsidR="00C70A44">
        <w:rPr>
          <w:rFonts w:ascii="Times New Roman" w:hAnsi="Times New Roman" w:cs="Times New Roman"/>
          <w:bCs/>
        </w:rPr>
        <w:t>that will the</w:t>
      </w:r>
      <w:r w:rsidR="00FE6BE2">
        <w:rPr>
          <w:rFonts w:ascii="Times New Roman" w:hAnsi="Times New Roman" w:cs="Times New Roman"/>
          <w:bCs/>
        </w:rPr>
        <w:t>n be used to consider the appropriate scale of development in</w:t>
      </w:r>
      <w:r w:rsidR="005766F8">
        <w:rPr>
          <w:rFonts w:ascii="Times New Roman" w:hAnsi="Times New Roman" w:cs="Times New Roman"/>
          <w:bCs/>
        </w:rPr>
        <w:t xml:space="preserve"> e</w:t>
      </w:r>
      <w:r w:rsidR="00CC6FEF">
        <w:rPr>
          <w:rFonts w:ascii="Times New Roman" w:hAnsi="Times New Roman" w:cs="Times New Roman"/>
          <w:bCs/>
        </w:rPr>
        <w:t xml:space="preserve">ach </w:t>
      </w:r>
      <w:r w:rsidR="00564578">
        <w:rPr>
          <w:rFonts w:ascii="Times New Roman" w:hAnsi="Times New Roman" w:cs="Times New Roman"/>
          <w:bCs/>
        </w:rPr>
        <w:t>of</w:t>
      </w:r>
      <w:r w:rsidR="00CC6FEF">
        <w:rPr>
          <w:rFonts w:ascii="Times New Roman" w:hAnsi="Times New Roman" w:cs="Times New Roman"/>
          <w:bCs/>
        </w:rPr>
        <w:t xml:space="preserve"> </w:t>
      </w:r>
      <w:r w:rsidR="00564578">
        <w:rPr>
          <w:rFonts w:ascii="Times New Roman" w:hAnsi="Times New Roman" w:cs="Times New Roman"/>
          <w:bCs/>
        </w:rPr>
        <w:t xml:space="preserve">the </w:t>
      </w:r>
      <w:r w:rsidR="00CC6FEF">
        <w:rPr>
          <w:rFonts w:ascii="Times New Roman" w:hAnsi="Times New Roman" w:cs="Times New Roman"/>
          <w:bCs/>
        </w:rPr>
        <w:t>categories in the</w:t>
      </w:r>
      <w:r w:rsidR="00564578">
        <w:rPr>
          <w:rFonts w:ascii="Times New Roman" w:hAnsi="Times New Roman" w:cs="Times New Roman"/>
          <w:bCs/>
        </w:rPr>
        <w:t xml:space="preserve"> </w:t>
      </w:r>
      <w:r w:rsidR="00AF491A">
        <w:rPr>
          <w:rFonts w:ascii="Times New Roman" w:hAnsi="Times New Roman" w:cs="Times New Roman"/>
          <w:bCs/>
        </w:rPr>
        <w:t>settlement</w:t>
      </w:r>
      <w:r w:rsidR="00564578">
        <w:rPr>
          <w:rFonts w:ascii="Times New Roman" w:hAnsi="Times New Roman" w:cs="Times New Roman"/>
          <w:bCs/>
        </w:rPr>
        <w:t xml:space="preserve"> hierarchy</w:t>
      </w:r>
      <w:r w:rsidR="005766F8">
        <w:rPr>
          <w:rFonts w:ascii="Times New Roman" w:hAnsi="Times New Roman" w:cs="Times New Roman"/>
          <w:bCs/>
        </w:rPr>
        <w:t>.</w:t>
      </w:r>
      <w:r w:rsidR="00A07C87">
        <w:rPr>
          <w:rFonts w:ascii="Times New Roman" w:hAnsi="Times New Roman" w:cs="Times New Roman"/>
          <w:bCs/>
        </w:rPr>
        <w:t xml:space="preserve"> HBF do not support this approach which seeks </w:t>
      </w:r>
      <w:r w:rsidR="007A20DB">
        <w:rPr>
          <w:rFonts w:ascii="Times New Roman" w:hAnsi="Times New Roman" w:cs="Times New Roman"/>
          <w:bCs/>
        </w:rPr>
        <w:t>to</w:t>
      </w:r>
      <w:r w:rsidR="00A07C87">
        <w:rPr>
          <w:rFonts w:ascii="Times New Roman" w:hAnsi="Times New Roman" w:cs="Times New Roman"/>
          <w:bCs/>
        </w:rPr>
        <w:t xml:space="preserve"> place </w:t>
      </w:r>
      <w:r w:rsidR="007A20DB">
        <w:rPr>
          <w:rFonts w:ascii="Times New Roman" w:hAnsi="Times New Roman" w:cs="Times New Roman"/>
          <w:bCs/>
        </w:rPr>
        <w:t>unnecessary</w:t>
      </w:r>
      <w:r w:rsidR="00B6550D">
        <w:rPr>
          <w:rFonts w:ascii="Times New Roman" w:hAnsi="Times New Roman" w:cs="Times New Roman"/>
          <w:bCs/>
        </w:rPr>
        <w:t xml:space="preserve"> and arbitrary </w:t>
      </w:r>
      <w:r w:rsidR="007A20DB">
        <w:rPr>
          <w:rFonts w:ascii="Times New Roman" w:hAnsi="Times New Roman" w:cs="Times New Roman"/>
          <w:bCs/>
        </w:rPr>
        <w:t xml:space="preserve">limits on the scale of development that can be delivered in </w:t>
      </w:r>
      <w:r w:rsidR="00AB2166">
        <w:rPr>
          <w:rFonts w:ascii="Times New Roman" w:hAnsi="Times New Roman" w:cs="Times New Roman"/>
          <w:bCs/>
        </w:rPr>
        <w:t>different settlements.</w:t>
      </w:r>
      <w:r w:rsidR="00A2616C">
        <w:rPr>
          <w:rFonts w:ascii="Times New Roman" w:hAnsi="Times New Roman" w:cs="Times New Roman"/>
          <w:bCs/>
        </w:rPr>
        <w:t xml:space="preserve"> By placing strict </w:t>
      </w:r>
      <w:r w:rsidR="00C029B6">
        <w:rPr>
          <w:rFonts w:ascii="Times New Roman" w:hAnsi="Times New Roman" w:cs="Times New Roman"/>
          <w:bCs/>
        </w:rPr>
        <w:t>limits, it</w:t>
      </w:r>
      <w:r w:rsidR="00E5743B">
        <w:rPr>
          <w:rFonts w:ascii="Times New Roman" w:hAnsi="Times New Roman" w:cs="Times New Roman"/>
          <w:bCs/>
        </w:rPr>
        <w:t xml:space="preserve"> will </w:t>
      </w:r>
      <w:r w:rsidR="00426728">
        <w:rPr>
          <w:rFonts w:ascii="Times New Roman" w:hAnsi="Times New Roman" w:cs="Times New Roman"/>
          <w:bCs/>
        </w:rPr>
        <w:t>prevent</w:t>
      </w:r>
      <w:r w:rsidR="00E5743B">
        <w:rPr>
          <w:rFonts w:ascii="Times New Roman" w:hAnsi="Times New Roman" w:cs="Times New Roman"/>
          <w:bCs/>
        </w:rPr>
        <w:t xml:space="preserve"> per</w:t>
      </w:r>
      <w:r w:rsidR="00426728">
        <w:rPr>
          <w:rFonts w:ascii="Times New Roman" w:hAnsi="Times New Roman" w:cs="Times New Roman"/>
          <w:bCs/>
        </w:rPr>
        <w:t>fectly</w:t>
      </w:r>
      <w:r w:rsidR="00E5743B">
        <w:rPr>
          <w:rFonts w:ascii="Times New Roman" w:hAnsi="Times New Roman" w:cs="Times New Roman"/>
          <w:bCs/>
        </w:rPr>
        <w:t xml:space="preserve"> su</w:t>
      </w:r>
      <w:r w:rsidR="00C029B6">
        <w:rPr>
          <w:rFonts w:ascii="Times New Roman" w:hAnsi="Times New Roman" w:cs="Times New Roman"/>
          <w:bCs/>
        </w:rPr>
        <w:t>stainable</w:t>
      </w:r>
      <w:r w:rsidR="00E5743B">
        <w:rPr>
          <w:rFonts w:ascii="Times New Roman" w:hAnsi="Times New Roman" w:cs="Times New Roman"/>
          <w:bCs/>
        </w:rPr>
        <w:t xml:space="preserve"> </w:t>
      </w:r>
      <w:r w:rsidR="00426728">
        <w:rPr>
          <w:rFonts w:ascii="Times New Roman" w:hAnsi="Times New Roman" w:cs="Times New Roman"/>
          <w:bCs/>
        </w:rPr>
        <w:t xml:space="preserve">developments outside of </w:t>
      </w:r>
      <w:r w:rsidR="00C029B6">
        <w:rPr>
          <w:rFonts w:ascii="Times New Roman" w:hAnsi="Times New Roman" w:cs="Times New Roman"/>
          <w:bCs/>
        </w:rPr>
        <w:t>these</w:t>
      </w:r>
      <w:r w:rsidR="00426728">
        <w:rPr>
          <w:rFonts w:ascii="Times New Roman" w:hAnsi="Times New Roman" w:cs="Times New Roman"/>
          <w:bCs/>
        </w:rPr>
        <w:t xml:space="preserve"> ranges from coming forward</w:t>
      </w:r>
      <w:r w:rsidR="00C029B6">
        <w:rPr>
          <w:rFonts w:ascii="Times New Roman" w:hAnsi="Times New Roman" w:cs="Times New Roman"/>
          <w:bCs/>
        </w:rPr>
        <w:t xml:space="preserve"> solely due to the settlement hierarchy.</w:t>
      </w:r>
      <w:r w:rsidR="00EB1EB0">
        <w:rPr>
          <w:rFonts w:ascii="Times New Roman" w:hAnsi="Times New Roman" w:cs="Times New Roman"/>
          <w:bCs/>
        </w:rPr>
        <w:t xml:space="preserve"> It </w:t>
      </w:r>
      <w:r w:rsidR="0041673F">
        <w:rPr>
          <w:rFonts w:ascii="Times New Roman" w:hAnsi="Times New Roman" w:cs="Times New Roman"/>
          <w:bCs/>
        </w:rPr>
        <w:t>limits</w:t>
      </w:r>
      <w:r w:rsidR="00EB1EB0">
        <w:rPr>
          <w:rFonts w:ascii="Times New Roman" w:hAnsi="Times New Roman" w:cs="Times New Roman"/>
          <w:bCs/>
        </w:rPr>
        <w:t xml:space="preserve"> consideration that </w:t>
      </w:r>
      <w:r w:rsidR="00A46196">
        <w:rPr>
          <w:rFonts w:ascii="Times New Roman" w:hAnsi="Times New Roman" w:cs="Times New Roman"/>
          <w:bCs/>
        </w:rPr>
        <w:t xml:space="preserve">there may be clusters of smaller </w:t>
      </w:r>
      <w:r w:rsidR="0041673F">
        <w:rPr>
          <w:rFonts w:ascii="Times New Roman" w:hAnsi="Times New Roman" w:cs="Times New Roman"/>
          <w:bCs/>
        </w:rPr>
        <w:t>settlements</w:t>
      </w:r>
      <w:r w:rsidR="00A46196">
        <w:rPr>
          <w:rFonts w:ascii="Times New Roman" w:hAnsi="Times New Roman" w:cs="Times New Roman"/>
          <w:bCs/>
        </w:rPr>
        <w:t xml:space="preserve"> that can provide multiple services or </w:t>
      </w:r>
      <w:r w:rsidR="0041673F">
        <w:rPr>
          <w:rFonts w:ascii="Times New Roman" w:hAnsi="Times New Roman" w:cs="Times New Roman"/>
          <w:bCs/>
        </w:rPr>
        <w:t>recognise</w:t>
      </w:r>
      <w:r w:rsidR="00A46196">
        <w:rPr>
          <w:rFonts w:ascii="Times New Roman" w:hAnsi="Times New Roman" w:cs="Times New Roman"/>
          <w:bCs/>
        </w:rPr>
        <w:t xml:space="preserve"> that there within each category </w:t>
      </w:r>
      <w:r w:rsidR="0041673F">
        <w:rPr>
          <w:rFonts w:ascii="Times New Roman" w:hAnsi="Times New Roman" w:cs="Times New Roman"/>
          <w:bCs/>
        </w:rPr>
        <w:t>there</w:t>
      </w:r>
      <w:r w:rsidR="00A46196">
        <w:rPr>
          <w:rFonts w:ascii="Times New Roman" w:hAnsi="Times New Roman" w:cs="Times New Roman"/>
          <w:bCs/>
        </w:rPr>
        <w:t xml:space="preserve"> will be a </w:t>
      </w:r>
      <w:r w:rsidR="0041673F">
        <w:rPr>
          <w:rFonts w:ascii="Times New Roman" w:hAnsi="Times New Roman" w:cs="Times New Roman"/>
          <w:bCs/>
        </w:rPr>
        <w:t>range</w:t>
      </w:r>
      <w:r w:rsidR="00A46196">
        <w:rPr>
          <w:rFonts w:ascii="Times New Roman" w:hAnsi="Times New Roman" w:cs="Times New Roman"/>
          <w:bCs/>
        </w:rPr>
        <w:t xml:space="preserve"> of </w:t>
      </w:r>
      <w:r w:rsidR="0041673F">
        <w:rPr>
          <w:rFonts w:ascii="Times New Roman" w:hAnsi="Times New Roman" w:cs="Times New Roman"/>
          <w:bCs/>
        </w:rPr>
        <w:t xml:space="preserve">settlements with different services. </w:t>
      </w:r>
      <w:r w:rsidR="00426728">
        <w:rPr>
          <w:rFonts w:ascii="Times New Roman" w:hAnsi="Times New Roman" w:cs="Times New Roman"/>
          <w:bCs/>
        </w:rPr>
        <w:t xml:space="preserve"> </w:t>
      </w:r>
      <w:r w:rsidR="00EB1EB0">
        <w:rPr>
          <w:rFonts w:ascii="Times New Roman" w:hAnsi="Times New Roman" w:cs="Times New Roman"/>
          <w:bCs/>
        </w:rPr>
        <w:t xml:space="preserve">It will also mean that decision makers and developers will be unable to ensure that the most efficient use of land is made – as is required by paragraph 129 of the NPPF. </w:t>
      </w:r>
      <w:r w:rsidR="00EB1EB0" w:rsidRPr="0060480D">
        <w:rPr>
          <w:rFonts w:ascii="Times New Roman" w:hAnsi="Times New Roman" w:cs="Times New Roman"/>
          <w:bCs/>
        </w:rPr>
        <w:t xml:space="preserve">The approach taken by the Council will mean that sites that could deliver more homes will be restricted to fit in with the Council’s rigid approach to site size and the settlement hierarchy. </w:t>
      </w:r>
    </w:p>
    <w:p w14:paraId="2DBE9130" w14:textId="741B8A70" w:rsidR="00344FF0" w:rsidRPr="00101996" w:rsidRDefault="00FB770B" w:rsidP="00101996">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HBF</w:t>
      </w:r>
      <w:r w:rsidR="0060480D">
        <w:rPr>
          <w:rFonts w:ascii="Times New Roman" w:hAnsi="Times New Roman" w:cs="Times New Roman"/>
          <w:bCs/>
        </w:rPr>
        <w:t xml:space="preserve"> therefore consider</w:t>
      </w:r>
      <w:r w:rsidR="00350281">
        <w:rPr>
          <w:rFonts w:ascii="Times New Roman" w:hAnsi="Times New Roman" w:cs="Times New Roman"/>
          <w:bCs/>
        </w:rPr>
        <w:t xml:space="preserve"> the use of </w:t>
      </w:r>
      <w:r w:rsidR="002548A4">
        <w:rPr>
          <w:rFonts w:ascii="Times New Roman" w:hAnsi="Times New Roman" w:cs="Times New Roman"/>
          <w:bCs/>
        </w:rPr>
        <w:t>site size</w:t>
      </w:r>
      <w:r w:rsidR="0060480D">
        <w:rPr>
          <w:rFonts w:ascii="Times New Roman" w:hAnsi="Times New Roman" w:cs="Times New Roman"/>
          <w:bCs/>
        </w:rPr>
        <w:t xml:space="preserve"> to be too blunt a</w:t>
      </w:r>
      <w:r w:rsidR="00101996">
        <w:rPr>
          <w:rFonts w:ascii="Times New Roman" w:hAnsi="Times New Roman" w:cs="Times New Roman"/>
          <w:bCs/>
        </w:rPr>
        <w:t xml:space="preserve"> tool to be effective. HBF</w:t>
      </w:r>
      <w:r w:rsidR="00463D86" w:rsidRPr="00101996">
        <w:rPr>
          <w:rFonts w:ascii="Times New Roman" w:hAnsi="Times New Roman" w:cs="Times New Roman"/>
          <w:bCs/>
        </w:rPr>
        <w:t xml:space="preserve"> </w:t>
      </w:r>
      <w:r w:rsidR="00994C87" w:rsidRPr="00101996">
        <w:rPr>
          <w:rFonts w:ascii="Times New Roman" w:hAnsi="Times New Roman" w:cs="Times New Roman"/>
          <w:bCs/>
        </w:rPr>
        <w:t>recognise</w:t>
      </w:r>
      <w:r w:rsidR="00101996">
        <w:rPr>
          <w:rFonts w:ascii="Times New Roman" w:hAnsi="Times New Roman" w:cs="Times New Roman"/>
          <w:bCs/>
        </w:rPr>
        <w:t>s</w:t>
      </w:r>
      <w:r w:rsidR="00463D86" w:rsidRPr="00101996">
        <w:rPr>
          <w:rFonts w:ascii="Times New Roman" w:hAnsi="Times New Roman" w:cs="Times New Roman"/>
          <w:bCs/>
        </w:rPr>
        <w:t xml:space="preserve"> that </w:t>
      </w:r>
      <w:r w:rsidR="00994C87" w:rsidRPr="00101996">
        <w:rPr>
          <w:rFonts w:ascii="Times New Roman" w:hAnsi="Times New Roman" w:cs="Times New Roman"/>
          <w:bCs/>
        </w:rPr>
        <w:t xml:space="preserve">the scale of development will be more limited in smaller </w:t>
      </w:r>
      <w:r w:rsidR="00B41360" w:rsidRPr="00101996">
        <w:rPr>
          <w:rFonts w:ascii="Times New Roman" w:hAnsi="Times New Roman" w:cs="Times New Roman"/>
          <w:bCs/>
        </w:rPr>
        <w:t>settlements,</w:t>
      </w:r>
      <w:r w:rsidR="00994C87" w:rsidRPr="00101996">
        <w:rPr>
          <w:rFonts w:ascii="Times New Roman" w:hAnsi="Times New Roman" w:cs="Times New Roman"/>
          <w:bCs/>
        </w:rPr>
        <w:t xml:space="preserve"> but </w:t>
      </w:r>
      <w:r w:rsidR="009B52B4" w:rsidRPr="00101996">
        <w:rPr>
          <w:rFonts w:ascii="Times New Roman" w:hAnsi="Times New Roman" w:cs="Times New Roman"/>
          <w:bCs/>
        </w:rPr>
        <w:t xml:space="preserve">this can be established in policy without setting specific standards. </w:t>
      </w:r>
      <w:r w:rsidR="001D40A4" w:rsidRPr="00101996">
        <w:rPr>
          <w:rFonts w:ascii="Times New Roman" w:hAnsi="Times New Roman" w:cs="Times New Roman"/>
          <w:bCs/>
        </w:rPr>
        <w:t xml:space="preserve">For </w:t>
      </w:r>
      <w:r w:rsidR="00B41360" w:rsidRPr="00101996">
        <w:rPr>
          <w:rFonts w:ascii="Times New Roman" w:hAnsi="Times New Roman" w:cs="Times New Roman"/>
          <w:bCs/>
        </w:rPr>
        <w:t>example,</w:t>
      </w:r>
      <w:r w:rsidR="001D40A4" w:rsidRPr="00101996">
        <w:rPr>
          <w:rFonts w:ascii="Times New Roman" w:hAnsi="Times New Roman" w:cs="Times New Roman"/>
          <w:bCs/>
        </w:rPr>
        <w:t xml:space="preserve"> </w:t>
      </w:r>
      <w:r w:rsidR="0014330D" w:rsidRPr="00101996">
        <w:rPr>
          <w:rFonts w:ascii="Times New Roman" w:hAnsi="Times New Roman" w:cs="Times New Roman"/>
          <w:bCs/>
        </w:rPr>
        <w:t>the statement with regard to Large Villages that “</w:t>
      </w:r>
      <w:r w:rsidR="0014330D" w:rsidRPr="00101996">
        <w:rPr>
          <w:rFonts w:ascii="Times New Roman" w:hAnsi="Times New Roman" w:cs="Times New Roman"/>
          <w:bCs/>
          <w:i/>
          <w:iCs/>
        </w:rPr>
        <w:t xml:space="preserve">… </w:t>
      </w:r>
      <w:r w:rsidR="00F14908" w:rsidRPr="00101996">
        <w:rPr>
          <w:rFonts w:ascii="Times New Roman" w:hAnsi="Times New Roman" w:cs="Times New Roman"/>
          <w:bCs/>
          <w:i/>
          <w:iCs/>
        </w:rPr>
        <w:t xml:space="preserve">in future development will be a </w:t>
      </w:r>
      <w:r w:rsidR="0014330D" w:rsidRPr="00101996">
        <w:rPr>
          <w:rFonts w:ascii="Times New Roman" w:hAnsi="Times New Roman" w:cs="Times New Roman"/>
          <w:bCs/>
          <w:i/>
          <w:iCs/>
        </w:rPr>
        <w:t>combination</w:t>
      </w:r>
      <w:r w:rsidR="00F14908" w:rsidRPr="00101996">
        <w:rPr>
          <w:rFonts w:ascii="Times New Roman" w:hAnsi="Times New Roman" w:cs="Times New Roman"/>
          <w:bCs/>
          <w:i/>
          <w:iCs/>
        </w:rPr>
        <w:t xml:space="preserve"> of small and </w:t>
      </w:r>
      <w:r w:rsidR="0014330D" w:rsidRPr="00101996">
        <w:rPr>
          <w:rFonts w:ascii="Times New Roman" w:hAnsi="Times New Roman" w:cs="Times New Roman"/>
          <w:bCs/>
          <w:i/>
          <w:iCs/>
        </w:rPr>
        <w:t>medium</w:t>
      </w:r>
      <w:r w:rsidR="00F14908" w:rsidRPr="00101996">
        <w:rPr>
          <w:rFonts w:ascii="Times New Roman" w:hAnsi="Times New Roman" w:cs="Times New Roman"/>
          <w:bCs/>
          <w:i/>
          <w:iCs/>
        </w:rPr>
        <w:t xml:space="preserve"> scale sized sites only</w:t>
      </w:r>
      <w:r w:rsidR="0014330D" w:rsidRPr="00101996">
        <w:rPr>
          <w:rFonts w:ascii="Times New Roman" w:hAnsi="Times New Roman" w:cs="Times New Roman"/>
          <w:bCs/>
          <w:i/>
          <w:iCs/>
        </w:rPr>
        <w:t xml:space="preserve"> …” </w:t>
      </w:r>
      <w:r w:rsidR="0014330D" w:rsidRPr="00101996">
        <w:rPr>
          <w:rFonts w:ascii="Times New Roman" w:hAnsi="Times New Roman" w:cs="Times New Roman"/>
          <w:bCs/>
        </w:rPr>
        <w:t xml:space="preserve">could be removed </w:t>
      </w:r>
      <w:r w:rsidR="00B577C5" w:rsidRPr="00101996">
        <w:rPr>
          <w:rFonts w:ascii="Times New Roman" w:hAnsi="Times New Roman" w:cs="Times New Roman"/>
          <w:bCs/>
        </w:rPr>
        <w:t xml:space="preserve">allowing the </w:t>
      </w:r>
      <w:r w:rsidR="00776B8C" w:rsidRPr="00101996">
        <w:rPr>
          <w:rFonts w:ascii="Times New Roman" w:hAnsi="Times New Roman" w:cs="Times New Roman"/>
          <w:bCs/>
        </w:rPr>
        <w:t>decision</w:t>
      </w:r>
      <w:r w:rsidR="00B577C5" w:rsidRPr="00101996">
        <w:rPr>
          <w:rFonts w:ascii="Times New Roman" w:hAnsi="Times New Roman" w:cs="Times New Roman"/>
          <w:bCs/>
        </w:rPr>
        <w:t xml:space="preserve"> </w:t>
      </w:r>
      <w:r w:rsidR="00776B8C" w:rsidRPr="00101996">
        <w:rPr>
          <w:rFonts w:ascii="Times New Roman" w:hAnsi="Times New Roman" w:cs="Times New Roman"/>
          <w:bCs/>
        </w:rPr>
        <w:t>maker</w:t>
      </w:r>
      <w:r w:rsidR="00B577C5" w:rsidRPr="00101996">
        <w:rPr>
          <w:rFonts w:ascii="Times New Roman" w:hAnsi="Times New Roman" w:cs="Times New Roman"/>
          <w:bCs/>
        </w:rPr>
        <w:t xml:space="preserve"> the flexibility </w:t>
      </w:r>
      <w:r w:rsidR="00776B8C" w:rsidRPr="00101996">
        <w:rPr>
          <w:rFonts w:ascii="Times New Roman" w:hAnsi="Times New Roman" w:cs="Times New Roman"/>
          <w:bCs/>
        </w:rPr>
        <w:t xml:space="preserve">to be guided by the existing size and relative sustainability of both the settlement and the development being proposed. </w:t>
      </w:r>
      <w:r w:rsidR="00002BC9">
        <w:rPr>
          <w:rFonts w:ascii="Times New Roman" w:hAnsi="Times New Roman" w:cs="Times New Roman"/>
          <w:bCs/>
        </w:rPr>
        <w:t xml:space="preserve">The size of a </w:t>
      </w:r>
      <w:r w:rsidR="00EB6DBD">
        <w:rPr>
          <w:rFonts w:ascii="Times New Roman" w:hAnsi="Times New Roman" w:cs="Times New Roman"/>
          <w:bCs/>
        </w:rPr>
        <w:t>settlement</w:t>
      </w:r>
      <w:r w:rsidR="00002BC9">
        <w:rPr>
          <w:rFonts w:ascii="Times New Roman" w:hAnsi="Times New Roman" w:cs="Times New Roman"/>
          <w:bCs/>
        </w:rPr>
        <w:t xml:space="preserve">, its </w:t>
      </w:r>
      <w:r w:rsidR="00EB6DBD">
        <w:rPr>
          <w:rFonts w:ascii="Times New Roman" w:hAnsi="Times New Roman" w:cs="Times New Roman"/>
          <w:bCs/>
        </w:rPr>
        <w:t>infrastructure</w:t>
      </w:r>
      <w:r w:rsidR="00002BC9">
        <w:rPr>
          <w:rFonts w:ascii="Times New Roman" w:hAnsi="Times New Roman" w:cs="Times New Roman"/>
          <w:bCs/>
        </w:rPr>
        <w:t xml:space="preserve"> and character can all be taken into account when considering the merits of a development without </w:t>
      </w:r>
      <w:r w:rsidR="00EB6DBD">
        <w:rPr>
          <w:rFonts w:ascii="Times New Roman" w:hAnsi="Times New Roman" w:cs="Times New Roman"/>
          <w:bCs/>
        </w:rPr>
        <w:t>placing</w:t>
      </w:r>
      <w:r w:rsidR="00002BC9">
        <w:rPr>
          <w:rFonts w:ascii="Times New Roman" w:hAnsi="Times New Roman" w:cs="Times New Roman"/>
          <w:bCs/>
        </w:rPr>
        <w:t xml:space="preserve"> strict li</w:t>
      </w:r>
      <w:r w:rsidR="00EB6DBD">
        <w:rPr>
          <w:rFonts w:ascii="Times New Roman" w:hAnsi="Times New Roman" w:cs="Times New Roman"/>
          <w:bCs/>
        </w:rPr>
        <w:t xml:space="preserve">mits as to the scale of development the Council considers to be appropriate. </w:t>
      </w:r>
    </w:p>
    <w:p w14:paraId="133C6E0C" w14:textId="2C7D0A60" w:rsidR="00036515" w:rsidRDefault="00036515" w:rsidP="003E272D">
      <w:pPr>
        <w:widowControl/>
        <w:suppressAutoHyphens w:val="0"/>
        <w:autoSpaceDE/>
        <w:spacing w:after="240" w:line="360" w:lineRule="auto"/>
        <w:jc w:val="both"/>
        <w:rPr>
          <w:rFonts w:ascii="Times New Roman" w:hAnsi="Times New Roman" w:cs="Times New Roman"/>
          <w:b/>
        </w:rPr>
      </w:pPr>
      <w:r w:rsidRPr="00344FF0">
        <w:rPr>
          <w:rFonts w:ascii="Times New Roman" w:hAnsi="Times New Roman" w:cs="Times New Roman"/>
          <w:b/>
        </w:rPr>
        <w:t xml:space="preserve">Meeting </w:t>
      </w:r>
      <w:r w:rsidR="00344FF0" w:rsidRPr="00344FF0">
        <w:rPr>
          <w:rFonts w:ascii="Times New Roman" w:hAnsi="Times New Roman" w:cs="Times New Roman"/>
          <w:b/>
        </w:rPr>
        <w:t xml:space="preserve">identified Housing needs </w:t>
      </w:r>
    </w:p>
    <w:p w14:paraId="3E1D0E4A" w14:textId="3A7E1696" w:rsidR="00DA0E1C" w:rsidRPr="00E725CC" w:rsidRDefault="00E725CC" w:rsidP="003E272D">
      <w:pPr>
        <w:widowControl/>
        <w:suppressAutoHyphens w:val="0"/>
        <w:autoSpaceDE/>
        <w:spacing w:after="240" w:line="360" w:lineRule="auto"/>
        <w:jc w:val="both"/>
        <w:rPr>
          <w:rFonts w:ascii="Times New Roman" w:hAnsi="Times New Roman" w:cs="Times New Roman"/>
          <w:bCs/>
          <w:i/>
          <w:iCs/>
        </w:rPr>
      </w:pPr>
      <w:r w:rsidRPr="00E725CC">
        <w:rPr>
          <w:rFonts w:ascii="Times New Roman" w:hAnsi="Times New Roman" w:cs="Times New Roman"/>
          <w:bCs/>
          <w:i/>
          <w:iCs/>
        </w:rPr>
        <w:t>H</w:t>
      </w:r>
      <w:r w:rsidR="00DA0E1C" w:rsidRPr="00E725CC">
        <w:rPr>
          <w:rFonts w:ascii="Times New Roman" w:hAnsi="Times New Roman" w:cs="Times New Roman"/>
          <w:bCs/>
          <w:i/>
          <w:iCs/>
        </w:rPr>
        <w:t xml:space="preserve">ousing </w:t>
      </w:r>
      <w:r w:rsidR="00380DE1" w:rsidRPr="00E725CC">
        <w:rPr>
          <w:rFonts w:ascii="Times New Roman" w:hAnsi="Times New Roman" w:cs="Times New Roman"/>
          <w:bCs/>
          <w:i/>
          <w:iCs/>
        </w:rPr>
        <w:t>need</w:t>
      </w:r>
    </w:p>
    <w:p w14:paraId="7893921B" w14:textId="63F3272A" w:rsidR="003E272D" w:rsidRPr="001D0751" w:rsidRDefault="00380DE1" w:rsidP="001D0751">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380DE1">
        <w:rPr>
          <w:rFonts w:ascii="Times New Roman" w:hAnsi="Times New Roman" w:cs="Times New Roman"/>
          <w:bCs/>
        </w:rPr>
        <w:t>Using the latest standard method HBF would agree that assessed housing needs are 905 dwellings per annum (dpa)</w:t>
      </w:r>
      <w:r w:rsidR="009A34D7">
        <w:rPr>
          <w:rFonts w:ascii="Times New Roman" w:hAnsi="Times New Roman" w:cs="Times New Roman"/>
          <w:bCs/>
        </w:rPr>
        <w:t xml:space="preserve"> resulting in a housing requirement </w:t>
      </w:r>
      <w:r w:rsidR="006D005E">
        <w:rPr>
          <w:rFonts w:ascii="Times New Roman" w:hAnsi="Times New Roman" w:cs="Times New Roman"/>
          <w:bCs/>
        </w:rPr>
        <w:t xml:space="preserve">over the extended plan period of 16,920 homes. </w:t>
      </w:r>
      <w:r w:rsidR="00B20E43">
        <w:rPr>
          <w:rFonts w:ascii="Times New Roman" w:hAnsi="Times New Roman" w:cs="Times New Roman"/>
          <w:bCs/>
        </w:rPr>
        <w:t>As we mentioned in our response to the previous consultation t</w:t>
      </w:r>
      <w:r w:rsidR="006437D4">
        <w:rPr>
          <w:rFonts w:ascii="Times New Roman" w:hAnsi="Times New Roman" w:cs="Times New Roman"/>
          <w:bCs/>
        </w:rPr>
        <w:t xml:space="preserve">he </w:t>
      </w:r>
      <w:r w:rsidR="00B20E43">
        <w:rPr>
          <w:rFonts w:ascii="Times New Roman" w:hAnsi="Times New Roman" w:cs="Times New Roman"/>
          <w:bCs/>
        </w:rPr>
        <w:t>Council</w:t>
      </w:r>
      <w:r w:rsidR="006437D4">
        <w:rPr>
          <w:rFonts w:ascii="Times New Roman" w:hAnsi="Times New Roman" w:cs="Times New Roman"/>
          <w:bCs/>
        </w:rPr>
        <w:t xml:space="preserve"> will also need to consider </w:t>
      </w:r>
      <w:r w:rsidR="00B20E43">
        <w:rPr>
          <w:rFonts w:ascii="Times New Roman" w:hAnsi="Times New Roman" w:cs="Times New Roman"/>
          <w:bCs/>
        </w:rPr>
        <w:t>whether</w:t>
      </w:r>
      <w:r w:rsidR="006437D4">
        <w:rPr>
          <w:rFonts w:ascii="Times New Roman" w:hAnsi="Times New Roman" w:cs="Times New Roman"/>
          <w:bCs/>
        </w:rPr>
        <w:t xml:space="preserve"> there will be any unmet needs </w:t>
      </w:r>
      <w:r w:rsidR="00B20E43">
        <w:rPr>
          <w:rFonts w:ascii="Times New Roman" w:hAnsi="Times New Roman" w:cs="Times New Roman"/>
          <w:bCs/>
        </w:rPr>
        <w:t>arising</w:t>
      </w:r>
      <w:r w:rsidR="006437D4">
        <w:rPr>
          <w:rFonts w:ascii="Times New Roman" w:hAnsi="Times New Roman" w:cs="Times New Roman"/>
          <w:bCs/>
        </w:rPr>
        <w:t xml:space="preserve"> from the Oxford City Local Plan</w:t>
      </w:r>
      <w:r w:rsidR="00B20E43">
        <w:rPr>
          <w:rFonts w:ascii="Times New Roman" w:hAnsi="Times New Roman" w:cs="Times New Roman"/>
          <w:bCs/>
        </w:rPr>
        <w:t>. The Oxford City Council</w:t>
      </w:r>
      <w:r w:rsidR="006437D4">
        <w:rPr>
          <w:rFonts w:ascii="Times New Roman" w:hAnsi="Times New Roman" w:cs="Times New Roman"/>
          <w:bCs/>
        </w:rPr>
        <w:t xml:space="preserve"> </w:t>
      </w:r>
      <w:r w:rsidR="0053083C" w:rsidRPr="001D0751">
        <w:rPr>
          <w:rFonts w:ascii="Times New Roman" w:hAnsi="Times New Roman" w:cs="Times New Roman"/>
          <w:bCs/>
        </w:rPr>
        <w:t xml:space="preserve">(OC) </w:t>
      </w:r>
      <w:r w:rsidR="00AF25BF" w:rsidRPr="001D0751">
        <w:rPr>
          <w:rFonts w:ascii="Times New Roman" w:hAnsi="Times New Roman" w:cs="Times New Roman"/>
          <w:bCs/>
        </w:rPr>
        <w:t>published a regulation</w:t>
      </w:r>
      <w:r w:rsidR="001132DA" w:rsidRPr="001D0751">
        <w:rPr>
          <w:rFonts w:ascii="Times New Roman" w:hAnsi="Times New Roman" w:cs="Times New Roman"/>
          <w:bCs/>
        </w:rPr>
        <w:t xml:space="preserve"> 18</w:t>
      </w:r>
      <w:r w:rsidR="00AF25BF" w:rsidRPr="001D0751">
        <w:rPr>
          <w:rFonts w:ascii="Times New Roman" w:hAnsi="Times New Roman" w:cs="Times New Roman"/>
          <w:bCs/>
        </w:rPr>
        <w:t xml:space="preserve"> consultation plan in July 2025</w:t>
      </w:r>
      <w:r w:rsidR="00B20E43">
        <w:rPr>
          <w:rFonts w:ascii="Times New Roman" w:hAnsi="Times New Roman" w:cs="Times New Roman"/>
          <w:bCs/>
        </w:rPr>
        <w:t xml:space="preserve"> and while this stated that they </w:t>
      </w:r>
      <w:r w:rsidR="00695BDB">
        <w:rPr>
          <w:rFonts w:ascii="Times New Roman" w:hAnsi="Times New Roman" w:cs="Times New Roman"/>
          <w:bCs/>
        </w:rPr>
        <w:t>had not</w:t>
      </w:r>
      <w:r w:rsidR="00C262DB" w:rsidRPr="001D0751">
        <w:rPr>
          <w:rFonts w:ascii="Times New Roman" w:hAnsi="Times New Roman" w:cs="Times New Roman"/>
          <w:bCs/>
        </w:rPr>
        <w:t xml:space="preserve"> finalised their land </w:t>
      </w:r>
      <w:r w:rsidR="00067F7D" w:rsidRPr="001D0751">
        <w:rPr>
          <w:rFonts w:ascii="Times New Roman" w:hAnsi="Times New Roman" w:cs="Times New Roman"/>
          <w:bCs/>
        </w:rPr>
        <w:t>availability</w:t>
      </w:r>
      <w:r w:rsidR="00C262DB" w:rsidRPr="001D0751">
        <w:rPr>
          <w:rFonts w:ascii="Times New Roman" w:hAnsi="Times New Roman" w:cs="Times New Roman"/>
          <w:bCs/>
        </w:rPr>
        <w:t xml:space="preserve"> assessment </w:t>
      </w:r>
      <w:r w:rsidR="00F804D6" w:rsidRPr="001D0751">
        <w:rPr>
          <w:rFonts w:ascii="Times New Roman" w:hAnsi="Times New Roman" w:cs="Times New Roman"/>
          <w:bCs/>
        </w:rPr>
        <w:t xml:space="preserve">it </w:t>
      </w:r>
      <w:r w:rsidR="00695BDB">
        <w:rPr>
          <w:rFonts w:ascii="Times New Roman" w:hAnsi="Times New Roman" w:cs="Times New Roman"/>
          <w:bCs/>
        </w:rPr>
        <w:t>was</w:t>
      </w:r>
      <w:r w:rsidR="00F804D6" w:rsidRPr="001D0751">
        <w:rPr>
          <w:rFonts w:ascii="Times New Roman" w:hAnsi="Times New Roman" w:cs="Times New Roman"/>
          <w:bCs/>
        </w:rPr>
        <w:t xml:space="preserve"> accepted </w:t>
      </w:r>
      <w:r w:rsidR="007C4636" w:rsidRPr="001D0751">
        <w:rPr>
          <w:rFonts w:ascii="Times New Roman" w:hAnsi="Times New Roman" w:cs="Times New Roman"/>
          <w:bCs/>
        </w:rPr>
        <w:t xml:space="preserve">that Oxford will not be able to meet their own needs – the only question </w:t>
      </w:r>
      <w:r w:rsidR="002B66E6" w:rsidRPr="001D0751">
        <w:rPr>
          <w:rFonts w:ascii="Times New Roman" w:hAnsi="Times New Roman" w:cs="Times New Roman"/>
          <w:bCs/>
        </w:rPr>
        <w:t xml:space="preserve">is how may homes the will fall short by. </w:t>
      </w:r>
      <w:r w:rsidR="00720154" w:rsidRPr="001D0751">
        <w:rPr>
          <w:rFonts w:ascii="Times New Roman" w:hAnsi="Times New Roman" w:cs="Times New Roman"/>
          <w:bCs/>
        </w:rPr>
        <w:t>A</w:t>
      </w:r>
      <w:r w:rsidR="002B75D5" w:rsidRPr="001D0751">
        <w:rPr>
          <w:rFonts w:ascii="Times New Roman" w:hAnsi="Times New Roman" w:cs="Times New Roman"/>
          <w:bCs/>
        </w:rPr>
        <w:t xml:space="preserve">t present </w:t>
      </w:r>
      <w:r w:rsidR="00720154" w:rsidRPr="001D0751">
        <w:rPr>
          <w:rFonts w:ascii="Times New Roman" w:hAnsi="Times New Roman" w:cs="Times New Roman"/>
          <w:bCs/>
        </w:rPr>
        <w:t>the only</w:t>
      </w:r>
      <w:r w:rsidR="001F6D37" w:rsidRPr="001D0751">
        <w:rPr>
          <w:rFonts w:ascii="Times New Roman" w:hAnsi="Times New Roman" w:cs="Times New Roman"/>
          <w:bCs/>
        </w:rPr>
        <w:t xml:space="preserve"> capacity </w:t>
      </w:r>
      <w:r w:rsidR="00E47D2D" w:rsidRPr="001D0751">
        <w:rPr>
          <w:rFonts w:ascii="Times New Roman" w:hAnsi="Times New Roman" w:cs="Times New Roman"/>
          <w:bCs/>
        </w:rPr>
        <w:t>constrained</w:t>
      </w:r>
      <w:r w:rsidR="001F6D37" w:rsidRPr="001D0751">
        <w:rPr>
          <w:rFonts w:ascii="Times New Roman" w:hAnsi="Times New Roman" w:cs="Times New Roman"/>
          <w:bCs/>
        </w:rPr>
        <w:t xml:space="preserve"> requirement in</w:t>
      </w:r>
      <w:r w:rsidR="001522B9" w:rsidRPr="001D0751">
        <w:rPr>
          <w:rFonts w:ascii="Times New Roman" w:hAnsi="Times New Roman" w:cs="Times New Roman"/>
          <w:bCs/>
        </w:rPr>
        <w:t xml:space="preserve"> </w:t>
      </w:r>
      <w:r w:rsidR="001F6D37" w:rsidRPr="001D0751">
        <w:rPr>
          <w:rFonts w:ascii="Times New Roman" w:hAnsi="Times New Roman" w:cs="Times New Roman"/>
          <w:bCs/>
        </w:rPr>
        <w:t xml:space="preserve">the </w:t>
      </w:r>
      <w:r w:rsidR="001522B9" w:rsidRPr="001D0751">
        <w:rPr>
          <w:rFonts w:ascii="Times New Roman" w:hAnsi="Times New Roman" w:cs="Times New Roman"/>
          <w:bCs/>
        </w:rPr>
        <w:t xml:space="preserve">previous </w:t>
      </w:r>
      <w:r w:rsidR="00356B18" w:rsidRPr="001D0751">
        <w:rPr>
          <w:rFonts w:ascii="Times New Roman" w:hAnsi="Times New Roman" w:cs="Times New Roman"/>
          <w:bCs/>
        </w:rPr>
        <w:t>local</w:t>
      </w:r>
      <w:r w:rsidR="001522B9" w:rsidRPr="001D0751">
        <w:rPr>
          <w:rFonts w:ascii="Times New Roman" w:hAnsi="Times New Roman" w:cs="Times New Roman"/>
          <w:bCs/>
        </w:rPr>
        <w:t xml:space="preserve"> plan of </w:t>
      </w:r>
      <w:r w:rsidR="001132DA" w:rsidRPr="001D0751">
        <w:rPr>
          <w:rFonts w:ascii="Times New Roman" w:hAnsi="Times New Roman" w:cs="Times New Roman"/>
          <w:bCs/>
        </w:rPr>
        <w:t>9,851 homes</w:t>
      </w:r>
      <w:r w:rsidR="001E244B" w:rsidRPr="001D0751">
        <w:rPr>
          <w:rFonts w:ascii="Times New Roman" w:hAnsi="Times New Roman" w:cs="Times New Roman"/>
          <w:bCs/>
        </w:rPr>
        <w:t xml:space="preserve"> over the period 2020 to 2040</w:t>
      </w:r>
      <w:r w:rsidR="001132DA" w:rsidRPr="001D0751">
        <w:rPr>
          <w:rFonts w:ascii="Times New Roman" w:hAnsi="Times New Roman" w:cs="Times New Roman"/>
          <w:bCs/>
        </w:rPr>
        <w:t>.</w:t>
      </w:r>
      <w:r w:rsidR="00356B18" w:rsidRPr="001D0751">
        <w:rPr>
          <w:rFonts w:ascii="Times New Roman" w:hAnsi="Times New Roman" w:cs="Times New Roman"/>
          <w:bCs/>
        </w:rPr>
        <w:t xml:space="preserve"> This results in a s</w:t>
      </w:r>
      <w:r w:rsidR="001132DA" w:rsidRPr="001D0751">
        <w:rPr>
          <w:rFonts w:ascii="Times New Roman" w:hAnsi="Times New Roman" w:cs="Times New Roman"/>
          <w:bCs/>
        </w:rPr>
        <w:t>hortfall of 11,889</w:t>
      </w:r>
      <w:r w:rsidR="00356B18" w:rsidRPr="001D0751">
        <w:rPr>
          <w:rFonts w:ascii="Times New Roman" w:hAnsi="Times New Roman" w:cs="Times New Roman"/>
          <w:bCs/>
        </w:rPr>
        <w:t xml:space="preserve"> homes over the plan period against the </w:t>
      </w:r>
      <w:r w:rsidR="00067F7D" w:rsidRPr="001D0751">
        <w:rPr>
          <w:rFonts w:ascii="Times New Roman" w:hAnsi="Times New Roman" w:cs="Times New Roman"/>
          <w:bCs/>
        </w:rPr>
        <w:t>locally</w:t>
      </w:r>
      <w:r w:rsidR="00356B18" w:rsidRPr="001D0751">
        <w:rPr>
          <w:rFonts w:ascii="Times New Roman" w:hAnsi="Times New Roman" w:cs="Times New Roman"/>
          <w:bCs/>
        </w:rPr>
        <w:t xml:space="preserve"> </w:t>
      </w:r>
      <w:r w:rsidR="00067F7D" w:rsidRPr="001D0751">
        <w:rPr>
          <w:rFonts w:ascii="Times New Roman" w:hAnsi="Times New Roman" w:cs="Times New Roman"/>
          <w:bCs/>
        </w:rPr>
        <w:t>assessed</w:t>
      </w:r>
      <w:r w:rsidR="00356B18" w:rsidRPr="001D0751">
        <w:rPr>
          <w:rFonts w:ascii="Times New Roman" w:hAnsi="Times New Roman" w:cs="Times New Roman"/>
          <w:bCs/>
        </w:rPr>
        <w:t xml:space="preserve"> housing needs of 1,087 dpa standard method – 21,740.</w:t>
      </w:r>
    </w:p>
    <w:p w14:paraId="17CD7AD9" w14:textId="77777777" w:rsidR="0065400E" w:rsidRDefault="00E968DA" w:rsidP="0065400E">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As set </w:t>
      </w:r>
      <w:r w:rsidR="00BD7B19">
        <w:rPr>
          <w:rFonts w:ascii="Times New Roman" w:hAnsi="Times New Roman" w:cs="Times New Roman"/>
          <w:bCs/>
        </w:rPr>
        <w:t>out previously</w:t>
      </w:r>
      <w:r w:rsidR="00815A33">
        <w:rPr>
          <w:rFonts w:ascii="Times New Roman" w:hAnsi="Times New Roman" w:cs="Times New Roman"/>
          <w:bCs/>
        </w:rPr>
        <w:t xml:space="preserve"> </w:t>
      </w:r>
      <w:r w:rsidR="00FC1221">
        <w:rPr>
          <w:rFonts w:ascii="Times New Roman" w:hAnsi="Times New Roman" w:cs="Times New Roman"/>
          <w:bCs/>
        </w:rPr>
        <w:t xml:space="preserve">HBF </w:t>
      </w:r>
      <w:r w:rsidR="001E0F5A">
        <w:rPr>
          <w:rFonts w:ascii="Times New Roman" w:hAnsi="Times New Roman" w:cs="Times New Roman"/>
          <w:bCs/>
        </w:rPr>
        <w:t>estimates</w:t>
      </w:r>
      <w:r w:rsidR="00FC1221">
        <w:rPr>
          <w:rFonts w:ascii="Times New Roman" w:hAnsi="Times New Roman" w:cs="Times New Roman"/>
          <w:bCs/>
        </w:rPr>
        <w:t xml:space="preserve"> that b</w:t>
      </w:r>
      <w:r w:rsidR="00815A33">
        <w:rPr>
          <w:rFonts w:ascii="Times New Roman" w:hAnsi="Times New Roman" w:cs="Times New Roman"/>
          <w:bCs/>
        </w:rPr>
        <w:t xml:space="preserve">ased on the local plans </w:t>
      </w:r>
      <w:r w:rsidR="00301A5C">
        <w:rPr>
          <w:rFonts w:ascii="Times New Roman" w:hAnsi="Times New Roman" w:cs="Times New Roman"/>
          <w:bCs/>
        </w:rPr>
        <w:t>either at examination or due to be submitted</w:t>
      </w:r>
      <w:r w:rsidR="00815A33" w:rsidRPr="00815A33">
        <w:rPr>
          <w:rFonts w:ascii="Times New Roman" w:hAnsi="Times New Roman" w:cs="Times New Roman"/>
          <w:bCs/>
        </w:rPr>
        <w:t xml:space="preserve"> </w:t>
      </w:r>
      <w:r w:rsidR="00FC1221">
        <w:rPr>
          <w:rFonts w:ascii="Times New Roman" w:hAnsi="Times New Roman" w:cs="Times New Roman"/>
          <w:bCs/>
        </w:rPr>
        <w:t>for</w:t>
      </w:r>
      <w:r w:rsidR="00815A33" w:rsidRPr="00815A33">
        <w:rPr>
          <w:rFonts w:ascii="Times New Roman" w:hAnsi="Times New Roman" w:cs="Times New Roman"/>
          <w:bCs/>
        </w:rPr>
        <w:t xml:space="preserve"> SODC, VoWH and CBC </w:t>
      </w:r>
      <w:r w:rsidR="00FC1221">
        <w:rPr>
          <w:rFonts w:ascii="Times New Roman" w:hAnsi="Times New Roman" w:cs="Times New Roman"/>
          <w:bCs/>
        </w:rPr>
        <w:t xml:space="preserve">there are </w:t>
      </w:r>
      <w:r w:rsidR="007004ED">
        <w:rPr>
          <w:rFonts w:ascii="Times New Roman" w:hAnsi="Times New Roman" w:cs="Times New Roman"/>
          <w:bCs/>
        </w:rPr>
        <w:t>a little under 8,000</w:t>
      </w:r>
      <w:r w:rsidR="00815A33" w:rsidRPr="00815A33">
        <w:rPr>
          <w:rFonts w:ascii="Times New Roman" w:hAnsi="Times New Roman" w:cs="Times New Roman"/>
          <w:bCs/>
        </w:rPr>
        <w:t xml:space="preserve"> homes</w:t>
      </w:r>
      <w:r w:rsidR="007004ED">
        <w:rPr>
          <w:rFonts w:ascii="Times New Roman" w:hAnsi="Times New Roman" w:cs="Times New Roman"/>
          <w:bCs/>
        </w:rPr>
        <w:t xml:space="preserve"> identified</w:t>
      </w:r>
      <w:r w:rsidR="00815A33" w:rsidRPr="00815A33">
        <w:rPr>
          <w:rFonts w:ascii="Times New Roman" w:hAnsi="Times New Roman" w:cs="Times New Roman"/>
          <w:bCs/>
        </w:rPr>
        <w:t xml:space="preserve"> to address Oxford’s unmet needs in </w:t>
      </w:r>
      <w:r w:rsidR="00815A33" w:rsidRPr="00815A33">
        <w:rPr>
          <w:rFonts w:ascii="Times New Roman" w:hAnsi="Times New Roman" w:cs="Times New Roman"/>
          <w:bCs/>
        </w:rPr>
        <w:lastRenderedPageBreak/>
        <w:t>the period 2025-2042</w:t>
      </w:r>
      <w:r w:rsidR="0039723E">
        <w:rPr>
          <w:rFonts w:ascii="Times New Roman" w:hAnsi="Times New Roman" w:cs="Times New Roman"/>
          <w:bCs/>
        </w:rPr>
        <w:t xml:space="preserve">, not including </w:t>
      </w:r>
      <w:r w:rsidR="009102F0">
        <w:rPr>
          <w:rFonts w:ascii="Times New Roman" w:hAnsi="Times New Roman" w:cs="Times New Roman"/>
          <w:bCs/>
        </w:rPr>
        <w:t xml:space="preserve">any supply from </w:t>
      </w:r>
      <w:r w:rsidR="0039723E">
        <w:rPr>
          <w:rFonts w:ascii="Times New Roman" w:hAnsi="Times New Roman" w:cs="Times New Roman"/>
          <w:bCs/>
        </w:rPr>
        <w:t>WODC</w:t>
      </w:r>
      <w:r w:rsidR="00FC44D7">
        <w:rPr>
          <w:rFonts w:ascii="Times New Roman" w:hAnsi="Times New Roman" w:cs="Times New Roman"/>
          <w:bCs/>
        </w:rPr>
        <w:t xml:space="preserve">. While there is still </w:t>
      </w:r>
      <w:r w:rsidR="00335FD4">
        <w:rPr>
          <w:rFonts w:ascii="Times New Roman" w:hAnsi="Times New Roman" w:cs="Times New Roman"/>
          <w:bCs/>
        </w:rPr>
        <w:t>uncertainty</w:t>
      </w:r>
      <w:r w:rsidR="00FC44D7">
        <w:rPr>
          <w:rFonts w:ascii="Times New Roman" w:hAnsi="Times New Roman" w:cs="Times New Roman"/>
          <w:bCs/>
        </w:rPr>
        <w:t xml:space="preserve"> as to the leve</w:t>
      </w:r>
      <w:r w:rsidR="00335FD4">
        <w:rPr>
          <w:rFonts w:ascii="Times New Roman" w:hAnsi="Times New Roman" w:cs="Times New Roman"/>
          <w:bCs/>
        </w:rPr>
        <w:t xml:space="preserve">l </w:t>
      </w:r>
      <w:r w:rsidR="00FC44D7">
        <w:rPr>
          <w:rFonts w:ascii="Times New Roman" w:hAnsi="Times New Roman" w:cs="Times New Roman"/>
          <w:bCs/>
        </w:rPr>
        <w:t xml:space="preserve">of unmet needs </w:t>
      </w:r>
      <w:r w:rsidR="00335FD4">
        <w:rPr>
          <w:rFonts w:ascii="Times New Roman" w:hAnsi="Times New Roman" w:cs="Times New Roman"/>
          <w:bCs/>
        </w:rPr>
        <w:t>there is</w:t>
      </w:r>
      <w:r w:rsidR="00FC44D7">
        <w:rPr>
          <w:rFonts w:ascii="Times New Roman" w:hAnsi="Times New Roman" w:cs="Times New Roman"/>
          <w:bCs/>
        </w:rPr>
        <w:t xml:space="preserve"> a strong possibility that </w:t>
      </w:r>
      <w:r w:rsidR="00335FD4">
        <w:rPr>
          <w:rFonts w:ascii="Times New Roman" w:hAnsi="Times New Roman" w:cs="Times New Roman"/>
          <w:bCs/>
        </w:rPr>
        <w:t>identified</w:t>
      </w:r>
      <w:r w:rsidR="00FC44D7">
        <w:rPr>
          <w:rFonts w:ascii="Times New Roman" w:hAnsi="Times New Roman" w:cs="Times New Roman"/>
          <w:bCs/>
        </w:rPr>
        <w:t xml:space="preserve"> supply </w:t>
      </w:r>
      <w:r w:rsidR="00453CEA">
        <w:rPr>
          <w:rFonts w:ascii="Times New Roman" w:hAnsi="Times New Roman" w:cs="Times New Roman"/>
          <w:bCs/>
        </w:rPr>
        <w:t xml:space="preserve">elsewhere in </w:t>
      </w:r>
      <w:r w:rsidR="00335FD4">
        <w:rPr>
          <w:rFonts w:ascii="Times New Roman" w:hAnsi="Times New Roman" w:cs="Times New Roman"/>
          <w:bCs/>
        </w:rPr>
        <w:t>Oxfordshire will b</w:t>
      </w:r>
      <w:r w:rsidR="00445795">
        <w:rPr>
          <w:rFonts w:ascii="Times New Roman" w:hAnsi="Times New Roman" w:cs="Times New Roman"/>
          <w:bCs/>
        </w:rPr>
        <w:t>e insufficient to address Oxford’s unmet housing needs.</w:t>
      </w:r>
      <w:r w:rsidR="0065400E" w:rsidRPr="0065400E">
        <w:rPr>
          <w:rFonts w:ascii="Times New Roman" w:hAnsi="Times New Roman" w:cs="Times New Roman"/>
          <w:bCs/>
        </w:rPr>
        <w:t xml:space="preserve"> </w:t>
      </w:r>
    </w:p>
    <w:p w14:paraId="30E50049" w14:textId="6FF0D98B" w:rsidR="001132DA" w:rsidRPr="001C707A" w:rsidRDefault="0065400E" w:rsidP="001C707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As our comments </w:t>
      </w:r>
      <w:r w:rsidR="001C707A">
        <w:rPr>
          <w:rFonts w:ascii="Times New Roman" w:hAnsi="Times New Roman" w:cs="Times New Roman"/>
          <w:bCs/>
        </w:rPr>
        <w:t>to the last consultation outlined,</w:t>
      </w:r>
      <w:r>
        <w:rPr>
          <w:rFonts w:ascii="Times New Roman" w:hAnsi="Times New Roman" w:cs="Times New Roman"/>
          <w:bCs/>
        </w:rPr>
        <w:t xml:space="preserve"> the Council</w:t>
      </w:r>
      <w:r w:rsidRPr="004B6134">
        <w:rPr>
          <w:rFonts w:ascii="Times New Roman" w:hAnsi="Times New Roman" w:cs="Times New Roman"/>
          <w:bCs/>
        </w:rPr>
        <w:t xml:space="preserve"> do not need to wait for an exact figure before seeking to plan for additional homes to meet Oxford’s needs. As was noted by the inspector examining the Tonbridge and Malling Local Plan “</w:t>
      </w:r>
      <w:r w:rsidRPr="004B6134">
        <w:rPr>
          <w:rFonts w:ascii="Times New Roman" w:hAnsi="Times New Roman" w:cs="Times New Roman"/>
          <w:bCs/>
          <w:i/>
          <w:iCs/>
        </w:rPr>
        <w:t>Whilst it was not clear then, or even later in the process, what the exact level of unmet need was or would be, as we set out in our previous letter, the fact that there was likely to be some unmet need should have led to constructive, active and ongoing engagement between the Council and SDC</w:t>
      </w:r>
      <w:r w:rsidRPr="004B6134">
        <w:rPr>
          <w:rFonts w:ascii="Times New Roman" w:hAnsi="Times New Roman" w:cs="Times New Roman"/>
          <w:bCs/>
        </w:rPr>
        <w:t xml:space="preserve">”. Given that there </w:t>
      </w:r>
      <w:r>
        <w:rPr>
          <w:rFonts w:ascii="Times New Roman" w:hAnsi="Times New Roman" w:cs="Times New Roman"/>
          <w:bCs/>
        </w:rPr>
        <w:t xml:space="preserve">is a strong possibility that there </w:t>
      </w:r>
      <w:r w:rsidRPr="004B6134">
        <w:rPr>
          <w:rFonts w:ascii="Times New Roman" w:hAnsi="Times New Roman" w:cs="Times New Roman"/>
          <w:bCs/>
        </w:rPr>
        <w:t xml:space="preserve">will be unmet needs in Oxford that </w:t>
      </w:r>
      <w:r>
        <w:rPr>
          <w:rFonts w:ascii="Times New Roman" w:hAnsi="Times New Roman" w:cs="Times New Roman"/>
          <w:bCs/>
        </w:rPr>
        <w:t>cann</w:t>
      </w:r>
      <w:r w:rsidRPr="004B6134">
        <w:rPr>
          <w:rFonts w:ascii="Times New Roman" w:hAnsi="Times New Roman" w:cs="Times New Roman"/>
          <w:bCs/>
        </w:rPr>
        <w:t xml:space="preserve">ot be met in full by commitments elsewhere in Oxfordshire </w:t>
      </w:r>
      <w:r>
        <w:rPr>
          <w:rFonts w:ascii="Times New Roman" w:hAnsi="Times New Roman" w:cs="Times New Roman"/>
          <w:bCs/>
        </w:rPr>
        <w:t>i</w:t>
      </w:r>
      <w:r w:rsidRPr="004B6134">
        <w:rPr>
          <w:rFonts w:ascii="Times New Roman" w:hAnsi="Times New Roman" w:cs="Times New Roman"/>
          <w:bCs/>
        </w:rPr>
        <w:t xml:space="preserve">t will be necessary for WODC </w:t>
      </w:r>
      <w:r>
        <w:rPr>
          <w:rFonts w:ascii="Times New Roman" w:hAnsi="Times New Roman" w:cs="Times New Roman"/>
          <w:bCs/>
        </w:rPr>
        <w:t xml:space="preserve">work with </w:t>
      </w:r>
      <w:r w:rsidRPr="004B6134">
        <w:rPr>
          <w:rFonts w:ascii="Times New Roman" w:hAnsi="Times New Roman" w:cs="Times New Roman"/>
          <w:bCs/>
        </w:rPr>
        <w:t>Oxford to</w:t>
      </w:r>
      <w:r>
        <w:rPr>
          <w:rFonts w:ascii="Times New Roman" w:hAnsi="Times New Roman" w:cs="Times New Roman"/>
          <w:bCs/>
        </w:rPr>
        <w:t xml:space="preserve"> agree how many additional homes need to be delivered through this local plan.</w:t>
      </w:r>
      <w:r w:rsidRPr="004B6134">
        <w:rPr>
          <w:rFonts w:ascii="Times New Roman" w:hAnsi="Times New Roman" w:cs="Times New Roman"/>
          <w:bCs/>
        </w:rPr>
        <w:t xml:space="preserve"> Agreements must be reached to ensure</w:t>
      </w:r>
      <w:r>
        <w:rPr>
          <w:rFonts w:ascii="Times New Roman" w:hAnsi="Times New Roman" w:cs="Times New Roman"/>
          <w:bCs/>
        </w:rPr>
        <w:t xml:space="preserve"> Oxford City’s</w:t>
      </w:r>
      <w:r w:rsidRPr="004B6134">
        <w:rPr>
          <w:rFonts w:ascii="Times New Roman" w:hAnsi="Times New Roman" w:cs="Times New Roman"/>
          <w:bCs/>
        </w:rPr>
        <w:t xml:space="preserve"> unmet needs will be met in full and that these commitments are included in the Council’s housing requirement to ensure that they are delivered. </w:t>
      </w:r>
    </w:p>
    <w:p w14:paraId="42C98ADA" w14:textId="4CDB22E1" w:rsidR="00EE2E2E" w:rsidRPr="005A55B0" w:rsidRDefault="00BD7B19" w:rsidP="005A55B0">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However, </w:t>
      </w:r>
      <w:r w:rsidR="003C55FC">
        <w:rPr>
          <w:rFonts w:ascii="Times New Roman" w:hAnsi="Times New Roman" w:cs="Times New Roman"/>
          <w:bCs/>
        </w:rPr>
        <w:t xml:space="preserve">WODC </w:t>
      </w:r>
      <w:r>
        <w:rPr>
          <w:rFonts w:ascii="Times New Roman" w:hAnsi="Times New Roman" w:cs="Times New Roman"/>
          <w:bCs/>
        </w:rPr>
        <w:t xml:space="preserve">position </w:t>
      </w:r>
      <w:r w:rsidR="003C55FC">
        <w:rPr>
          <w:rFonts w:ascii="Times New Roman" w:hAnsi="Times New Roman" w:cs="Times New Roman"/>
          <w:bCs/>
        </w:rPr>
        <w:t>w</w:t>
      </w:r>
      <w:r w:rsidR="005A55B0">
        <w:rPr>
          <w:rFonts w:ascii="Times New Roman" w:hAnsi="Times New Roman" w:cs="Times New Roman"/>
          <w:bCs/>
        </w:rPr>
        <w:t>ith</w:t>
      </w:r>
      <w:r w:rsidR="00124240">
        <w:rPr>
          <w:rFonts w:ascii="Times New Roman" w:hAnsi="Times New Roman" w:cs="Times New Roman"/>
          <w:bCs/>
        </w:rPr>
        <w:t xml:space="preserve"> regard </w:t>
      </w:r>
      <w:r w:rsidR="005A55B0">
        <w:rPr>
          <w:rFonts w:ascii="Times New Roman" w:hAnsi="Times New Roman" w:cs="Times New Roman"/>
          <w:bCs/>
        </w:rPr>
        <w:t>to</w:t>
      </w:r>
      <w:r w:rsidR="00124240">
        <w:rPr>
          <w:rFonts w:ascii="Times New Roman" w:hAnsi="Times New Roman" w:cs="Times New Roman"/>
          <w:bCs/>
        </w:rPr>
        <w:t xml:space="preserve"> </w:t>
      </w:r>
      <w:r w:rsidR="000F1D43">
        <w:rPr>
          <w:rFonts w:ascii="Times New Roman" w:hAnsi="Times New Roman" w:cs="Times New Roman"/>
          <w:bCs/>
        </w:rPr>
        <w:t>Oxford’s</w:t>
      </w:r>
      <w:r w:rsidR="00445795">
        <w:rPr>
          <w:rFonts w:ascii="Times New Roman" w:hAnsi="Times New Roman" w:cs="Times New Roman"/>
          <w:bCs/>
        </w:rPr>
        <w:t xml:space="preserve"> </w:t>
      </w:r>
      <w:r w:rsidR="00124240">
        <w:rPr>
          <w:rFonts w:ascii="Times New Roman" w:hAnsi="Times New Roman" w:cs="Times New Roman"/>
          <w:bCs/>
        </w:rPr>
        <w:t xml:space="preserve">unmet </w:t>
      </w:r>
      <w:r w:rsidR="003C55FC">
        <w:rPr>
          <w:rFonts w:ascii="Times New Roman" w:hAnsi="Times New Roman" w:cs="Times New Roman"/>
          <w:bCs/>
        </w:rPr>
        <w:t xml:space="preserve">housing </w:t>
      </w:r>
      <w:r>
        <w:rPr>
          <w:rFonts w:ascii="Times New Roman" w:hAnsi="Times New Roman" w:cs="Times New Roman"/>
          <w:bCs/>
        </w:rPr>
        <w:t>remains vague with</w:t>
      </w:r>
      <w:r w:rsidR="005A55B0">
        <w:rPr>
          <w:rFonts w:ascii="Times New Roman" w:hAnsi="Times New Roman" w:cs="Times New Roman"/>
          <w:bCs/>
        </w:rPr>
        <w:t xml:space="preserve"> </w:t>
      </w:r>
      <w:r>
        <w:rPr>
          <w:rFonts w:ascii="Times New Roman" w:hAnsi="Times New Roman" w:cs="Times New Roman"/>
          <w:bCs/>
        </w:rPr>
        <w:t xml:space="preserve">the Council </w:t>
      </w:r>
      <w:r w:rsidR="00D54B77">
        <w:rPr>
          <w:rFonts w:ascii="Times New Roman" w:hAnsi="Times New Roman" w:cs="Times New Roman"/>
          <w:bCs/>
        </w:rPr>
        <w:t>continuing to state that the</w:t>
      </w:r>
      <w:r w:rsidR="00EE2E2E" w:rsidRPr="005A55B0">
        <w:rPr>
          <w:rFonts w:ascii="Times New Roman" w:hAnsi="Times New Roman" w:cs="Times New Roman"/>
          <w:bCs/>
        </w:rPr>
        <w:t xml:space="preserve"> planned for 10% buffer</w:t>
      </w:r>
      <w:r w:rsidR="00995A89">
        <w:rPr>
          <w:rFonts w:ascii="Times New Roman" w:hAnsi="Times New Roman" w:cs="Times New Roman"/>
          <w:bCs/>
        </w:rPr>
        <w:t xml:space="preserve"> to</w:t>
      </w:r>
      <w:r w:rsidR="00EE2E2E" w:rsidRPr="005A55B0">
        <w:rPr>
          <w:rFonts w:ascii="Times New Roman" w:hAnsi="Times New Roman" w:cs="Times New Roman"/>
          <w:bCs/>
        </w:rPr>
        <w:t xml:space="preserve"> provide </w:t>
      </w:r>
      <w:r w:rsidR="006E464A">
        <w:rPr>
          <w:rFonts w:ascii="Times New Roman" w:hAnsi="Times New Roman" w:cs="Times New Roman"/>
          <w:bCs/>
        </w:rPr>
        <w:t>“</w:t>
      </w:r>
      <w:r w:rsidR="00EE2E2E" w:rsidRPr="006E464A">
        <w:rPr>
          <w:rFonts w:ascii="Times New Roman" w:hAnsi="Times New Roman" w:cs="Times New Roman"/>
          <w:bCs/>
          <w:i/>
          <w:iCs/>
        </w:rPr>
        <w:t>flexibility</w:t>
      </w:r>
      <w:r w:rsidR="006E464A" w:rsidRPr="006E464A">
        <w:rPr>
          <w:rFonts w:ascii="Times New Roman" w:hAnsi="Times New Roman" w:cs="Times New Roman"/>
          <w:bCs/>
          <w:i/>
          <w:iCs/>
        </w:rPr>
        <w:t xml:space="preserve"> and contingencies</w:t>
      </w:r>
      <w:r w:rsidR="006E464A">
        <w:rPr>
          <w:rFonts w:ascii="Times New Roman" w:hAnsi="Times New Roman" w:cs="Times New Roman"/>
          <w:bCs/>
        </w:rPr>
        <w:t>”</w:t>
      </w:r>
      <w:r w:rsidR="00D54B77">
        <w:rPr>
          <w:rFonts w:ascii="Times New Roman" w:hAnsi="Times New Roman" w:cs="Times New Roman"/>
          <w:bCs/>
        </w:rPr>
        <w:t xml:space="preserve"> is also there to address </w:t>
      </w:r>
      <w:r w:rsidR="00097571">
        <w:rPr>
          <w:rFonts w:ascii="Times New Roman" w:hAnsi="Times New Roman" w:cs="Times New Roman"/>
          <w:bCs/>
        </w:rPr>
        <w:t xml:space="preserve">the needs of Oxford City if </w:t>
      </w:r>
      <w:r w:rsidR="005C5A52">
        <w:rPr>
          <w:rFonts w:ascii="Times New Roman" w:hAnsi="Times New Roman" w:cs="Times New Roman"/>
          <w:bCs/>
        </w:rPr>
        <w:t>required</w:t>
      </w:r>
      <w:r w:rsidR="006E464A">
        <w:rPr>
          <w:rFonts w:ascii="Times New Roman" w:hAnsi="Times New Roman" w:cs="Times New Roman"/>
          <w:bCs/>
        </w:rPr>
        <w:t>.</w:t>
      </w:r>
      <w:r w:rsidR="0013173A">
        <w:rPr>
          <w:rFonts w:ascii="Times New Roman" w:hAnsi="Times New Roman" w:cs="Times New Roman"/>
          <w:bCs/>
        </w:rPr>
        <w:t xml:space="preserve"> Our position remains unchanged, </w:t>
      </w:r>
      <w:r w:rsidR="00A32014">
        <w:rPr>
          <w:rFonts w:ascii="Times New Roman" w:hAnsi="Times New Roman" w:cs="Times New Roman"/>
          <w:bCs/>
        </w:rPr>
        <w:t>any suppl</w:t>
      </w:r>
      <w:r w:rsidR="003C55FC">
        <w:rPr>
          <w:rFonts w:ascii="Times New Roman" w:hAnsi="Times New Roman" w:cs="Times New Roman"/>
          <w:bCs/>
        </w:rPr>
        <w:t>y</w:t>
      </w:r>
      <w:r w:rsidR="00A32014">
        <w:rPr>
          <w:rFonts w:ascii="Times New Roman" w:hAnsi="Times New Roman" w:cs="Times New Roman"/>
          <w:bCs/>
        </w:rPr>
        <w:t xml:space="preserve"> </w:t>
      </w:r>
      <w:r w:rsidR="00FC369C">
        <w:rPr>
          <w:rFonts w:ascii="Times New Roman" w:hAnsi="Times New Roman" w:cs="Times New Roman"/>
          <w:bCs/>
        </w:rPr>
        <w:t>above</w:t>
      </w:r>
      <w:r w:rsidR="00A32014">
        <w:rPr>
          <w:rFonts w:ascii="Times New Roman" w:hAnsi="Times New Roman" w:cs="Times New Roman"/>
          <w:bCs/>
        </w:rPr>
        <w:t xml:space="preserve"> the minimum </w:t>
      </w:r>
      <w:r w:rsidR="00FC369C">
        <w:rPr>
          <w:rFonts w:ascii="Times New Roman" w:hAnsi="Times New Roman" w:cs="Times New Roman"/>
          <w:bCs/>
        </w:rPr>
        <w:t xml:space="preserve">requirement </w:t>
      </w:r>
      <w:r w:rsidR="00EE2E2E" w:rsidRPr="005A55B0">
        <w:rPr>
          <w:rFonts w:ascii="Times New Roman" w:hAnsi="Times New Roman" w:cs="Times New Roman"/>
          <w:bCs/>
        </w:rPr>
        <w:t xml:space="preserve">cannot be considered as meeting any of Oxford’s unmet needs. It is either a buffer </w:t>
      </w:r>
      <w:r w:rsidR="006E464A">
        <w:rPr>
          <w:rFonts w:ascii="Times New Roman" w:hAnsi="Times New Roman" w:cs="Times New Roman"/>
          <w:bCs/>
        </w:rPr>
        <w:t xml:space="preserve">for </w:t>
      </w:r>
      <w:r w:rsidR="00506791">
        <w:rPr>
          <w:rFonts w:ascii="Times New Roman" w:hAnsi="Times New Roman" w:cs="Times New Roman"/>
          <w:bCs/>
        </w:rPr>
        <w:t>flexibility</w:t>
      </w:r>
      <w:r w:rsidR="006E464A">
        <w:rPr>
          <w:rFonts w:ascii="Times New Roman" w:hAnsi="Times New Roman" w:cs="Times New Roman"/>
          <w:bCs/>
        </w:rPr>
        <w:t xml:space="preserve"> </w:t>
      </w:r>
      <w:r w:rsidR="00506791">
        <w:rPr>
          <w:rFonts w:ascii="Times New Roman" w:hAnsi="Times New Roman" w:cs="Times New Roman"/>
          <w:bCs/>
        </w:rPr>
        <w:t>to address unforeseen shortfalls in deliver</w:t>
      </w:r>
      <w:r w:rsidR="00D43547">
        <w:rPr>
          <w:rFonts w:ascii="Times New Roman" w:hAnsi="Times New Roman" w:cs="Times New Roman"/>
          <w:bCs/>
        </w:rPr>
        <w:t>y</w:t>
      </w:r>
      <w:r w:rsidR="00506791">
        <w:rPr>
          <w:rFonts w:ascii="Times New Roman" w:hAnsi="Times New Roman" w:cs="Times New Roman"/>
          <w:bCs/>
        </w:rPr>
        <w:t>, or it has been identified to</w:t>
      </w:r>
      <w:r w:rsidR="00EE2E2E" w:rsidRPr="005A55B0">
        <w:rPr>
          <w:rFonts w:ascii="Times New Roman" w:hAnsi="Times New Roman" w:cs="Times New Roman"/>
          <w:bCs/>
        </w:rPr>
        <w:t xml:space="preserve"> meet Oxford’s unmet needs. If </w:t>
      </w:r>
      <w:r w:rsidR="00D67768">
        <w:rPr>
          <w:rFonts w:ascii="Times New Roman" w:hAnsi="Times New Roman" w:cs="Times New Roman"/>
          <w:bCs/>
        </w:rPr>
        <w:t xml:space="preserve">it is </w:t>
      </w:r>
      <w:r w:rsidR="00EE2E2E" w:rsidRPr="005A55B0">
        <w:rPr>
          <w:rFonts w:ascii="Times New Roman" w:hAnsi="Times New Roman" w:cs="Times New Roman"/>
          <w:bCs/>
        </w:rPr>
        <w:t>to meet Oxford’s unmet need it must be included in the Council’s housing requirement</w:t>
      </w:r>
      <w:r w:rsidR="00D37E68">
        <w:rPr>
          <w:rFonts w:ascii="Times New Roman" w:hAnsi="Times New Roman" w:cs="Times New Roman"/>
          <w:bCs/>
        </w:rPr>
        <w:t xml:space="preserve"> to provide the requisite certainty that these homes will be delivered. </w:t>
      </w:r>
      <w:r w:rsidR="00D5637E">
        <w:rPr>
          <w:rFonts w:ascii="Times New Roman" w:hAnsi="Times New Roman" w:cs="Times New Roman"/>
          <w:bCs/>
        </w:rPr>
        <w:t xml:space="preserve">This would mean that any flexibility and </w:t>
      </w:r>
      <w:r w:rsidR="009368DD">
        <w:rPr>
          <w:rFonts w:ascii="Times New Roman" w:hAnsi="Times New Roman" w:cs="Times New Roman"/>
          <w:bCs/>
        </w:rPr>
        <w:t>contingencies</w:t>
      </w:r>
      <w:r w:rsidR="00D5637E">
        <w:rPr>
          <w:rFonts w:ascii="Times New Roman" w:hAnsi="Times New Roman" w:cs="Times New Roman"/>
          <w:bCs/>
        </w:rPr>
        <w:t xml:space="preserve"> required to ensure </w:t>
      </w:r>
      <w:r w:rsidR="009368DD">
        <w:rPr>
          <w:rFonts w:ascii="Times New Roman" w:hAnsi="Times New Roman" w:cs="Times New Roman"/>
          <w:bCs/>
        </w:rPr>
        <w:t>delivery</w:t>
      </w:r>
      <w:r w:rsidR="00D5637E">
        <w:rPr>
          <w:rFonts w:ascii="Times New Roman" w:hAnsi="Times New Roman" w:cs="Times New Roman"/>
          <w:bCs/>
        </w:rPr>
        <w:t xml:space="preserve"> would be in addition to the homes </w:t>
      </w:r>
      <w:r w:rsidR="009368DD">
        <w:rPr>
          <w:rFonts w:ascii="Times New Roman" w:hAnsi="Times New Roman" w:cs="Times New Roman"/>
          <w:bCs/>
        </w:rPr>
        <w:t>identified</w:t>
      </w:r>
      <w:r w:rsidR="00D5637E">
        <w:rPr>
          <w:rFonts w:ascii="Times New Roman" w:hAnsi="Times New Roman" w:cs="Times New Roman"/>
          <w:bCs/>
        </w:rPr>
        <w:t xml:space="preserve"> as </w:t>
      </w:r>
      <w:r w:rsidR="006E78C7">
        <w:rPr>
          <w:rFonts w:ascii="Times New Roman" w:hAnsi="Times New Roman" w:cs="Times New Roman"/>
          <w:bCs/>
        </w:rPr>
        <w:t>contributing towards</w:t>
      </w:r>
      <w:r w:rsidR="00D5637E">
        <w:rPr>
          <w:rFonts w:ascii="Times New Roman" w:hAnsi="Times New Roman" w:cs="Times New Roman"/>
          <w:bCs/>
        </w:rPr>
        <w:t xml:space="preserve"> </w:t>
      </w:r>
      <w:r w:rsidR="006E78C7">
        <w:rPr>
          <w:rFonts w:ascii="Times New Roman" w:hAnsi="Times New Roman" w:cs="Times New Roman"/>
          <w:bCs/>
        </w:rPr>
        <w:t xml:space="preserve">addressing the unmet housing </w:t>
      </w:r>
      <w:r w:rsidR="00D5637E">
        <w:rPr>
          <w:rFonts w:ascii="Times New Roman" w:hAnsi="Times New Roman" w:cs="Times New Roman"/>
          <w:bCs/>
        </w:rPr>
        <w:t>needs of O</w:t>
      </w:r>
      <w:r w:rsidR="009368DD">
        <w:rPr>
          <w:rFonts w:ascii="Times New Roman" w:hAnsi="Times New Roman" w:cs="Times New Roman"/>
          <w:bCs/>
        </w:rPr>
        <w:t>xford.</w:t>
      </w:r>
    </w:p>
    <w:p w14:paraId="6C7D95E7" w14:textId="6D8567CC" w:rsidR="000A2B9A" w:rsidRDefault="00733AF9" w:rsidP="001F566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While on the basis of recent ministerial statements HBF do not expect the duty to co-operate to be in place much longer</w:t>
      </w:r>
      <w:r w:rsidR="00937F0E">
        <w:rPr>
          <w:rFonts w:ascii="Times New Roman" w:hAnsi="Times New Roman" w:cs="Times New Roman"/>
          <w:bCs/>
        </w:rPr>
        <w:t xml:space="preserve"> </w:t>
      </w:r>
      <w:r w:rsidR="00150FD3">
        <w:rPr>
          <w:rFonts w:ascii="Times New Roman" w:hAnsi="Times New Roman" w:cs="Times New Roman"/>
          <w:bCs/>
        </w:rPr>
        <w:t>the need to co-operate on strategic matters, such as housing needs, remains a key part of the NPPF and the tests of soundness.</w:t>
      </w:r>
      <w:r w:rsidR="007B46CA">
        <w:rPr>
          <w:rFonts w:ascii="Times New Roman" w:hAnsi="Times New Roman" w:cs="Times New Roman"/>
          <w:bCs/>
        </w:rPr>
        <w:t xml:space="preserve"> If there are unmet needs </w:t>
      </w:r>
      <w:r w:rsidR="007C077B">
        <w:rPr>
          <w:rFonts w:ascii="Times New Roman" w:hAnsi="Times New Roman" w:cs="Times New Roman"/>
          <w:bCs/>
        </w:rPr>
        <w:t>arising</w:t>
      </w:r>
      <w:r w:rsidR="007B46CA">
        <w:rPr>
          <w:rFonts w:ascii="Times New Roman" w:hAnsi="Times New Roman" w:cs="Times New Roman"/>
          <w:bCs/>
        </w:rPr>
        <w:t xml:space="preserve"> from the Oxford Local </w:t>
      </w:r>
      <w:r w:rsidR="001B3C1B">
        <w:rPr>
          <w:rFonts w:ascii="Times New Roman" w:hAnsi="Times New Roman" w:cs="Times New Roman"/>
          <w:bCs/>
        </w:rPr>
        <w:t>Plan,</w:t>
      </w:r>
      <w:r w:rsidR="007C077B">
        <w:rPr>
          <w:rFonts w:ascii="Times New Roman" w:hAnsi="Times New Roman" w:cs="Times New Roman"/>
          <w:bCs/>
        </w:rPr>
        <w:t xml:space="preserve"> a</w:t>
      </w:r>
      <w:r w:rsidR="004B3B7B">
        <w:rPr>
          <w:rFonts w:ascii="Times New Roman" w:hAnsi="Times New Roman" w:cs="Times New Roman"/>
          <w:bCs/>
        </w:rPr>
        <w:t xml:space="preserve"> </w:t>
      </w:r>
      <w:r w:rsidR="007C077B">
        <w:rPr>
          <w:rFonts w:ascii="Times New Roman" w:hAnsi="Times New Roman" w:cs="Times New Roman"/>
          <w:bCs/>
        </w:rPr>
        <w:t>decision</w:t>
      </w:r>
      <w:r w:rsidR="004B3B7B">
        <w:rPr>
          <w:rFonts w:ascii="Times New Roman" w:hAnsi="Times New Roman" w:cs="Times New Roman"/>
          <w:bCs/>
        </w:rPr>
        <w:t xml:space="preserve"> not to plan for any of </w:t>
      </w:r>
      <w:r w:rsidR="00FF5FCE">
        <w:rPr>
          <w:rFonts w:ascii="Times New Roman" w:hAnsi="Times New Roman" w:cs="Times New Roman"/>
          <w:bCs/>
        </w:rPr>
        <w:t>Oxford’s unmet housing need would mean the plan being considered ineffective</w:t>
      </w:r>
      <w:r w:rsidR="008E3911">
        <w:rPr>
          <w:rFonts w:ascii="Times New Roman" w:hAnsi="Times New Roman" w:cs="Times New Roman"/>
          <w:bCs/>
        </w:rPr>
        <w:t xml:space="preserve"> as it is would not be based </w:t>
      </w:r>
      <w:r w:rsidR="00E04906">
        <w:rPr>
          <w:rFonts w:ascii="Times New Roman" w:hAnsi="Times New Roman" w:cs="Times New Roman"/>
          <w:bCs/>
        </w:rPr>
        <w:t xml:space="preserve">on effective joint working. </w:t>
      </w:r>
      <w:r w:rsidR="00AD264B">
        <w:rPr>
          <w:rFonts w:ascii="Times New Roman" w:hAnsi="Times New Roman" w:cs="Times New Roman"/>
          <w:bCs/>
        </w:rPr>
        <w:t xml:space="preserve">It would also have failed to take into account </w:t>
      </w:r>
      <w:r w:rsidR="001B3C1B">
        <w:rPr>
          <w:rFonts w:ascii="Times New Roman" w:hAnsi="Times New Roman" w:cs="Times New Roman"/>
          <w:bCs/>
        </w:rPr>
        <w:t xml:space="preserve">of the unmet needs of </w:t>
      </w:r>
      <w:r w:rsidR="008E050B">
        <w:rPr>
          <w:rFonts w:ascii="Times New Roman" w:hAnsi="Times New Roman" w:cs="Times New Roman"/>
          <w:bCs/>
        </w:rPr>
        <w:t>neighbouring</w:t>
      </w:r>
      <w:r w:rsidR="001B3C1B">
        <w:rPr>
          <w:rFonts w:ascii="Times New Roman" w:hAnsi="Times New Roman" w:cs="Times New Roman"/>
          <w:bCs/>
        </w:rPr>
        <w:t xml:space="preserve"> area as set out in paragraph</w:t>
      </w:r>
      <w:r w:rsidR="00755F75">
        <w:rPr>
          <w:rFonts w:ascii="Times New Roman" w:hAnsi="Times New Roman" w:cs="Times New Roman"/>
          <w:bCs/>
        </w:rPr>
        <w:t>s 11 and</w:t>
      </w:r>
      <w:r w:rsidR="001B3C1B">
        <w:rPr>
          <w:rFonts w:ascii="Times New Roman" w:hAnsi="Times New Roman" w:cs="Times New Roman"/>
          <w:bCs/>
        </w:rPr>
        <w:t xml:space="preserve"> </w:t>
      </w:r>
      <w:r w:rsidR="00755F75">
        <w:rPr>
          <w:rFonts w:ascii="Times New Roman" w:hAnsi="Times New Roman" w:cs="Times New Roman"/>
          <w:bCs/>
        </w:rPr>
        <w:t xml:space="preserve">62 of the </w:t>
      </w:r>
      <w:r w:rsidR="002D0029">
        <w:rPr>
          <w:rFonts w:ascii="Times New Roman" w:hAnsi="Times New Roman" w:cs="Times New Roman"/>
          <w:bCs/>
        </w:rPr>
        <w:t>NPPF,</w:t>
      </w:r>
      <w:r w:rsidR="00755F75">
        <w:rPr>
          <w:rFonts w:ascii="Times New Roman" w:hAnsi="Times New Roman" w:cs="Times New Roman"/>
          <w:bCs/>
        </w:rPr>
        <w:t xml:space="preserve"> meaning the plan wou</w:t>
      </w:r>
      <w:r w:rsidR="008E050B">
        <w:rPr>
          <w:rFonts w:ascii="Times New Roman" w:hAnsi="Times New Roman" w:cs="Times New Roman"/>
          <w:bCs/>
        </w:rPr>
        <w:t>ld also be inconsistent with national policy.</w:t>
      </w:r>
    </w:p>
    <w:p w14:paraId="450B7BB0" w14:textId="2580DD89" w:rsidR="00455AEE" w:rsidRPr="004B6134" w:rsidRDefault="00455AEE" w:rsidP="001F566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To </w:t>
      </w:r>
      <w:r w:rsidR="007C7F08">
        <w:rPr>
          <w:rFonts w:ascii="Times New Roman" w:hAnsi="Times New Roman" w:cs="Times New Roman"/>
          <w:bCs/>
        </w:rPr>
        <w:t>conclude,</w:t>
      </w:r>
      <w:r>
        <w:rPr>
          <w:rFonts w:ascii="Times New Roman" w:hAnsi="Times New Roman" w:cs="Times New Roman"/>
          <w:bCs/>
        </w:rPr>
        <w:t xml:space="preserve"> in </w:t>
      </w:r>
      <w:r w:rsidR="007C7F08">
        <w:rPr>
          <w:rFonts w:ascii="Times New Roman" w:hAnsi="Times New Roman" w:cs="Times New Roman"/>
          <w:bCs/>
        </w:rPr>
        <w:t>taking this</w:t>
      </w:r>
      <w:r>
        <w:rPr>
          <w:rFonts w:ascii="Times New Roman" w:hAnsi="Times New Roman" w:cs="Times New Roman"/>
          <w:bCs/>
        </w:rPr>
        <w:t xml:space="preserve"> plan forward any </w:t>
      </w:r>
      <w:r w:rsidR="007C7F08">
        <w:rPr>
          <w:rFonts w:ascii="Times New Roman" w:hAnsi="Times New Roman" w:cs="Times New Roman"/>
          <w:bCs/>
        </w:rPr>
        <w:t>unmet</w:t>
      </w:r>
      <w:r>
        <w:rPr>
          <w:rFonts w:ascii="Times New Roman" w:hAnsi="Times New Roman" w:cs="Times New Roman"/>
          <w:bCs/>
        </w:rPr>
        <w:t xml:space="preserve"> ho</w:t>
      </w:r>
      <w:r w:rsidR="003D033B">
        <w:rPr>
          <w:rFonts w:ascii="Times New Roman" w:hAnsi="Times New Roman" w:cs="Times New Roman"/>
          <w:bCs/>
        </w:rPr>
        <w:t>u</w:t>
      </w:r>
      <w:r>
        <w:rPr>
          <w:rFonts w:ascii="Times New Roman" w:hAnsi="Times New Roman" w:cs="Times New Roman"/>
          <w:bCs/>
        </w:rPr>
        <w:t>sing need arising in Oxford</w:t>
      </w:r>
      <w:r w:rsidR="0009635E">
        <w:rPr>
          <w:rFonts w:ascii="Times New Roman" w:hAnsi="Times New Roman" w:cs="Times New Roman"/>
          <w:bCs/>
        </w:rPr>
        <w:t xml:space="preserve"> will need to be addressed in part through this local plan. </w:t>
      </w:r>
      <w:r w:rsidR="007C7F08">
        <w:rPr>
          <w:rFonts w:ascii="Times New Roman" w:hAnsi="Times New Roman" w:cs="Times New Roman"/>
          <w:bCs/>
        </w:rPr>
        <w:t xml:space="preserve"> In order to ensure those needs are met in full</w:t>
      </w:r>
      <w:r w:rsidR="0009635E">
        <w:rPr>
          <w:rFonts w:ascii="Times New Roman" w:hAnsi="Times New Roman" w:cs="Times New Roman"/>
          <w:bCs/>
        </w:rPr>
        <w:t xml:space="preserve"> they must be included within the ho</w:t>
      </w:r>
      <w:r w:rsidR="00934C37">
        <w:rPr>
          <w:rFonts w:ascii="Times New Roman" w:hAnsi="Times New Roman" w:cs="Times New Roman"/>
          <w:bCs/>
        </w:rPr>
        <w:t>u</w:t>
      </w:r>
      <w:r w:rsidR="0009635E">
        <w:rPr>
          <w:rFonts w:ascii="Times New Roman" w:hAnsi="Times New Roman" w:cs="Times New Roman"/>
          <w:bCs/>
        </w:rPr>
        <w:t>sing requirement with a</w:t>
      </w:r>
      <w:r w:rsidR="007C7F08">
        <w:rPr>
          <w:rFonts w:ascii="Times New Roman" w:hAnsi="Times New Roman" w:cs="Times New Roman"/>
          <w:bCs/>
        </w:rPr>
        <w:t xml:space="preserve"> </w:t>
      </w:r>
      <w:r w:rsidR="00224BA5">
        <w:rPr>
          <w:rFonts w:ascii="Times New Roman" w:hAnsi="Times New Roman" w:cs="Times New Roman"/>
          <w:bCs/>
        </w:rPr>
        <w:t>contingency</w:t>
      </w:r>
      <w:r w:rsidR="007C7F08">
        <w:rPr>
          <w:rFonts w:ascii="Times New Roman" w:hAnsi="Times New Roman" w:cs="Times New Roman"/>
          <w:bCs/>
        </w:rPr>
        <w:t xml:space="preserve"> in supply of at least 10%</w:t>
      </w:r>
      <w:r w:rsidR="00224BA5">
        <w:rPr>
          <w:rFonts w:ascii="Times New Roman" w:hAnsi="Times New Roman" w:cs="Times New Roman"/>
          <w:bCs/>
        </w:rPr>
        <w:t>.</w:t>
      </w:r>
    </w:p>
    <w:p w14:paraId="6AF87F00" w14:textId="0788FDBF" w:rsidR="000A2B9A" w:rsidRPr="000A2B9A" w:rsidRDefault="000A2B9A" w:rsidP="000A2B9A">
      <w:pPr>
        <w:widowControl/>
        <w:suppressAutoHyphens w:val="0"/>
        <w:autoSpaceDE/>
        <w:spacing w:after="240" w:line="360" w:lineRule="auto"/>
        <w:jc w:val="both"/>
        <w:rPr>
          <w:rFonts w:ascii="Times New Roman" w:hAnsi="Times New Roman" w:cs="Times New Roman"/>
          <w:bCs/>
          <w:i/>
          <w:iCs/>
        </w:rPr>
      </w:pPr>
      <w:r w:rsidRPr="000A2B9A">
        <w:rPr>
          <w:rFonts w:ascii="Times New Roman" w:hAnsi="Times New Roman" w:cs="Times New Roman"/>
          <w:bCs/>
          <w:i/>
          <w:iCs/>
        </w:rPr>
        <w:t>Housing supply</w:t>
      </w:r>
    </w:p>
    <w:p w14:paraId="176B5704" w14:textId="77777777" w:rsidR="003206DA" w:rsidRDefault="00125AC4" w:rsidP="009C4595">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HBF does not comment on individual sites, other than to say the Plan should provide for a wide range of deliverable and developable sites across the area in order to provide competition and choice to ensure that housing </w:t>
      </w:r>
      <w:r>
        <w:rPr>
          <w:rFonts w:ascii="Times New Roman" w:hAnsi="Times New Roman" w:cs="Times New Roman"/>
          <w:bCs/>
        </w:rPr>
        <w:lastRenderedPageBreak/>
        <w:t xml:space="preserve">needs are met in full. The soundness of strategic and non-strategic site allocations, whether brownfield or greenfield, will be tested in due course at the Local Plan Examination.  </w:t>
      </w:r>
      <w:r w:rsidR="009C4595">
        <w:rPr>
          <w:rFonts w:ascii="Times New Roman" w:hAnsi="Times New Roman" w:cs="Times New Roman"/>
          <w:bCs/>
        </w:rPr>
        <w:t>However,</w:t>
      </w:r>
      <w:r w:rsidR="007E3DD6" w:rsidRPr="009C4595">
        <w:rPr>
          <w:rFonts w:ascii="Times New Roman" w:hAnsi="Times New Roman" w:cs="Times New Roman"/>
          <w:bCs/>
        </w:rPr>
        <w:t xml:space="preserve"> HBF are supportive of the inclusion of </w:t>
      </w:r>
      <w:r w:rsidR="009C4595">
        <w:rPr>
          <w:rFonts w:ascii="Times New Roman" w:hAnsi="Times New Roman" w:cs="Times New Roman"/>
          <w:bCs/>
        </w:rPr>
        <w:t>contingency</w:t>
      </w:r>
      <w:r w:rsidR="007E3DD6" w:rsidRPr="009C4595">
        <w:rPr>
          <w:rFonts w:ascii="Times New Roman" w:hAnsi="Times New Roman" w:cs="Times New Roman"/>
          <w:bCs/>
        </w:rPr>
        <w:t xml:space="preserve"> in overall supply to ensure tha</w:t>
      </w:r>
      <w:r w:rsidR="00640037" w:rsidRPr="009C4595">
        <w:rPr>
          <w:rFonts w:ascii="Times New Roman" w:hAnsi="Times New Roman" w:cs="Times New Roman"/>
          <w:bCs/>
        </w:rPr>
        <w:t>t</w:t>
      </w:r>
      <w:r w:rsidR="007E3DD6" w:rsidRPr="009C4595">
        <w:rPr>
          <w:rFonts w:ascii="Times New Roman" w:hAnsi="Times New Roman" w:cs="Times New Roman"/>
          <w:bCs/>
        </w:rPr>
        <w:t xml:space="preserve"> </w:t>
      </w:r>
      <w:r w:rsidR="00640037" w:rsidRPr="009C4595">
        <w:rPr>
          <w:rFonts w:ascii="Times New Roman" w:hAnsi="Times New Roman" w:cs="Times New Roman"/>
          <w:bCs/>
        </w:rPr>
        <w:t>housing</w:t>
      </w:r>
      <w:r w:rsidR="007E3DD6" w:rsidRPr="009C4595">
        <w:rPr>
          <w:rFonts w:ascii="Times New Roman" w:hAnsi="Times New Roman" w:cs="Times New Roman"/>
          <w:bCs/>
        </w:rPr>
        <w:t xml:space="preserve"> needs are met in full.</w:t>
      </w:r>
      <w:r w:rsidR="00640037" w:rsidRPr="009C4595">
        <w:rPr>
          <w:rFonts w:ascii="Times New Roman" w:hAnsi="Times New Roman" w:cs="Times New Roman"/>
          <w:bCs/>
        </w:rPr>
        <w:t xml:space="preserve"> </w:t>
      </w:r>
      <w:r w:rsidR="002D3175" w:rsidRPr="009C4595">
        <w:rPr>
          <w:rFonts w:ascii="Times New Roman" w:hAnsi="Times New Roman" w:cs="Times New Roman"/>
          <w:bCs/>
        </w:rPr>
        <w:t xml:space="preserve">There is a </w:t>
      </w:r>
      <w:r w:rsidR="006778E5" w:rsidRPr="009C4595">
        <w:rPr>
          <w:rFonts w:ascii="Times New Roman" w:hAnsi="Times New Roman" w:cs="Times New Roman"/>
          <w:bCs/>
        </w:rPr>
        <w:t>significant</w:t>
      </w:r>
      <w:r w:rsidR="002D3175" w:rsidRPr="009C4595">
        <w:rPr>
          <w:rFonts w:ascii="Times New Roman" w:hAnsi="Times New Roman" w:cs="Times New Roman"/>
          <w:bCs/>
        </w:rPr>
        <w:t xml:space="preserve"> degree of uncertainty when </w:t>
      </w:r>
      <w:r w:rsidR="001E3C70" w:rsidRPr="009C4595">
        <w:rPr>
          <w:rFonts w:ascii="Times New Roman" w:hAnsi="Times New Roman" w:cs="Times New Roman"/>
          <w:bCs/>
        </w:rPr>
        <w:t xml:space="preserve">estimating when development will start and the number of homes that can be delivered each year. </w:t>
      </w:r>
      <w:r w:rsidR="003A62F6" w:rsidRPr="009C4595">
        <w:rPr>
          <w:rFonts w:ascii="Times New Roman" w:hAnsi="Times New Roman" w:cs="Times New Roman"/>
          <w:bCs/>
        </w:rPr>
        <w:t>Most ass</w:t>
      </w:r>
      <w:r w:rsidR="00E261DF" w:rsidRPr="009C4595">
        <w:rPr>
          <w:rFonts w:ascii="Times New Roman" w:hAnsi="Times New Roman" w:cs="Times New Roman"/>
          <w:bCs/>
        </w:rPr>
        <w:t xml:space="preserve">essments, from both the developer and local planning authority, are more often than not </w:t>
      </w:r>
      <w:r w:rsidR="00801B91" w:rsidRPr="009C4595">
        <w:rPr>
          <w:rFonts w:ascii="Times New Roman" w:hAnsi="Times New Roman" w:cs="Times New Roman"/>
          <w:bCs/>
        </w:rPr>
        <w:t xml:space="preserve">optimistic and achievable </w:t>
      </w:r>
      <w:r w:rsidR="00D56E96" w:rsidRPr="009C4595">
        <w:rPr>
          <w:rFonts w:ascii="Times New Roman" w:hAnsi="Times New Roman" w:cs="Times New Roman"/>
          <w:bCs/>
        </w:rPr>
        <w:t xml:space="preserve">only when circumstances are optimum. It therefore makes sense to have </w:t>
      </w:r>
      <w:r w:rsidR="006778E5" w:rsidRPr="009C4595">
        <w:rPr>
          <w:rFonts w:ascii="Times New Roman" w:hAnsi="Times New Roman" w:cs="Times New Roman"/>
          <w:bCs/>
        </w:rPr>
        <w:t>flexibility</w:t>
      </w:r>
      <w:r w:rsidR="00D56E96" w:rsidRPr="009C4595">
        <w:rPr>
          <w:rFonts w:ascii="Times New Roman" w:hAnsi="Times New Roman" w:cs="Times New Roman"/>
          <w:bCs/>
        </w:rPr>
        <w:t xml:space="preserve"> and contingency within </w:t>
      </w:r>
      <w:r w:rsidR="006778E5" w:rsidRPr="009C4595">
        <w:rPr>
          <w:rFonts w:ascii="Times New Roman" w:hAnsi="Times New Roman" w:cs="Times New Roman"/>
          <w:bCs/>
        </w:rPr>
        <w:t>the projected supply of new homes</w:t>
      </w:r>
      <w:r w:rsidR="003206DA">
        <w:rPr>
          <w:rFonts w:ascii="Times New Roman" w:hAnsi="Times New Roman" w:cs="Times New Roman"/>
          <w:bCs/>
        </w:rPr>
        <w:t xml:space="preserve">. But consideration will need t be given as to whether 10% is sufficient </w:t>
      </w:r>
      <w:r w:rsidR="006778E5" w:rsidRPr="009C4595">
        <w:rPr>
          <w:rFonts w:ascii="Times New Roman" w:hAnsi="Times New Roman" w:cs="Times New Roman"/>
          <w:bCs/>
        </w:rPr>
        <w:t>to give</w:t>
      </w:r>
      <w:r w:rsidR="00C17C4D" w:rsidRPr="009C4595">
        <w:rPr>
          <w:rFonts w:ascii="Times New Roman" w:hAnsi="Times New Roman" w:cs="Times New Roman"/>
          <w:bCs/>
        </w:rPr>
        <w:t xml:space="preserve"> </w:t>
      </w:r>
      <w:r w:rsidR="003206DA">
        <w:rPr>
          <w:rFonts w:ascii="Times New Roman" w:hAnsi="Times New Roman" w:cs="Times New Roman"/>
          <w:bCs/>
        </w:rPr>
        <w:t xml:space="preserve">the necessary </w:t>
      </w:r>
      <w:r w:rsidR="00C17C4D" w:rsidRPr="009C4595">
        <w:rPr>
          <w:rFonts w:ascii="Times New Roman" w:hAnsi="Times New Roman" w:cs="Times New Roman"/>
          <w:bCs/>
        </w:rPr>
        <w:t xml:space="preserve">reassurance that </w:t>
      </w:r>
      <w:r w:rsidR="006778E5" w:rsidRPr="009C4595">
        <w:rPr>
          <w:rFonts w:ascii="Times New Roman" w:hAnsi="Times New Roman" w:cs="Times New Roman"/>
          <w:bCs/>
        </w:rPr>
        <w:t>the</w:t>
      </w:r>
      <w:r w:rsidR="00C17C4D" w:rsidRPr="009C4595">
        <w:rPr>
          <w:rFonts w:ascii="Times New Roman" w:hAnsi="Times New Roman" w:cs="Times New Roman"/>
          <w:bCs/>
        </w:rPr>
        <w:t xml:space="preserve"> plan will </w:t>
      </w:r>
      <w:r w:rsidR="006778E5" w:rsidRPr="009C4595">
        <w:rPr>
          <w:rFonts w:ascii="Times New Roman" w:hAnsi="Times New Roman" w:cs="Times New Roman"/>
          <w:bCs/>
        </w:rPr>
        <w:t>deliver</w:t>
      </w:r>
      <w:r w:rsidR="00C17C4D" w:rsidRPr="009C4595">
        <w:rPr>
          <w:rFonts w:ascii="Times New Roman" w:hAnsi="Times New Roman" w:cs="Times New Roman"/>
          <w:bCs/>
        </w:rPr>
        <w:t xml:space="preserve"> </w:t>
      </w:r>
      <w:r w:rsidR="006778E5" w:rsidRPr="009C4595">
        <w:rPr>
          <w:rFonts w:ascii="Times New Roman" w:hAnsi="Times New Roman" w:cs="Times New Roman"/>
          <w:bCs/>
        </w:rPr>
        <w:t>the</w:t>
      </w:r>
      <w:r w:rsidR="00C17C4D" w:rsidRPr="009C4595">
        <w:rPr>
          <w:rFonts w:ascii="Times New Roman" w:hAnsi="Times New Roman" w:cs="Times New Roman"/>
          <w:bCs/>
        </w:rPr>
        <w:t xml:space="preserve"> required number of </w:t>
      </w:r>
      <w:r w:rsidR="006778E5" w:rsidRPr="009C4595">
        <w:rPr>
          <w:rFonts w:ascii="Times New Roman" w:hAnsi="Times New Roman" w:cs="Times New Roman"/>
          <w:bCs/>
        </w:rPr>
        <w:t>homes</w:t>
      </w:r>
      <w:r w:rsidR="003206DA">
        <w:rPr>
          <w:rFonts w:ascii="Times New Roman" w:hAnsi="Times New Roman" w:cs="Times New Roman"/>
          <w:bCs/>
        </w:rPr>
        <w:t xml:space="preserve"> over the plan period</w:t>
      </w:r>
    </w:p>
    <w:p w14:paraId="2BBA9AE9" w14:textId="1058D124" w:rsidR="00EE2E2E" w:rsidRPr="001A5AEB" w:rsidRDefault="003206DA" w:rsidP="003206DA">
      <w:pPr>
        <w:widowControl/>
        <w:suppressAutoHyphens w:val="0"/>
        <w:autoSpaceDE/>
        <w:spacing w:after="240" w:line="360" w:lineRule="auto"/>
        <w:jc w:val="both"/>
        <w:rPr>
          <w:rFonts w:ascii="Times New Roman" w:hAnsi="Times New Roman" w:cs="Times New Roman"/>
          <w:bCs/>
          <w:i/>
          <w:iCs/>
        </w:rPr>
      </w:pPr>
      <w:r w:rsidRPr="001A5AEB">
        <w:rPr>
          <w:rFonts w:ascii="Times New Roman" w:hAnsi="Times New Roman" w:cs="Times New Roman"/>
          <w:bCs/>
          <w:i/>
          <w:iCs/>
        </w:rPr>
        <w:t>Housing supply on small sites</w:t>
      </w:r>
      <w:r w:rsidR="001A5AEB" w:rsidRPr="001A5AEB">
        <w:rPr>
          <w:rFonts w:ascii="Times New Roman" w:hAnsi="Times New Roman" w:cs="Times New Roman"/>
          <w:bCs/>
          <w:i/>
          <w:iCs/>
        </w:rPr>
        <w:t xml:space="preserve"> </w:t>
      </w:r>
      <w:r w:rsidR="007C0E3A">
        <w:rPr>
          <w:rFonts w:ascii="Times New Roman" w:hAnsi="Times New Roman" w:cs="Times New Roman"/>
          <w:bCs/>
          <w:i/>
          <w:iCs/>
        </w:rPr>
        <w:t>o</w:t>
      </w:r>
      <w:r w:rsidR="001A5AEB" w:rsidRPr="001A5AEB">
        <w:rPr>
          <w:rFonts w:ascii="Times New Roman" w:hAnsi="Times New Roman" w:cs="Times New Roman"/>
          <w:bCs/>
          <w:i/>
          <w:iCs/>
        </w:rPr>
        <w:t>f less than one hectare</w:t>
      </w:r>
      <w:r w:rsidR="00364683" w:rsidRPr="001A5AEB">
        <w:rPr>
          <w:rFonts w:ascii="Times New Roman" w:hAnsi="Times New Roman" w:cs="Times New Roman"/>
          <w:bCs/>
          <w:i/>
          <w:iCs/>
        </w:rPr>
        <w:t xml:space="preserve"> </w:t>
      </w:r>
    </w:p>
    <w:p w14:paraId="5F58AD3F" w14:textId="1FBB5135" w:rsidR="00124D1A" w:rsidRPr="00124D1A" w:rsidRDefault="007E3DD6" w:rsidP="00EA227E">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T</w:t>
      </w:r>
      <w:r w:rsidR="00F416E7">
        <w:rPr>
          <w:rFonts w:ascii="Times New Roman" w:hAnsi="Times New Roman" w:cs="Times New Roman"/>
          <w:bCs/>
        </w:rPr>
        <w:t>he</w:t>
      </w:r>
      <w:r w:rsidR="00EA227E">
        <w:rPr>
          <w:rFonts w:ascii="Times New Roman" w:hAnsi="Times New Roman" w:cs="Times New Roman"/>
          <w:bCs/>
        </w:rPr>
        <w:t xml:space="preserve"> </w:t>
      </w:r>
      <w:r w:rsidR="00F416E7">
        <w:rPr>
          <w:rFonts w:ascii="Times New Roman" w:hAnsi="Times New Roman" w:cs="Times New Roman"/>
          <w:bCs/>
        </w:rPr>
        <w:t xml:space="preserve">Council will also need </w:t>
      </w:r>
      <w:r w:rsidR="00253E99">
        <w:rPr>
          <w:rFonts w:ascii="Times New Roman" w:hAnsi="Times New Roman" w:cs="Times New Roman"/>
          <w:bCs/>
        </w:rPr>
        <w:t xml:space="preserve">to ensure that </w:t>
      </w:r>
      <w:r w:rsidR="00871343">
        <w:rPr>
          <w:rFonts w:ascii="Times New Roman" w:hAnsi="Times New Roman" w:cs="Times New Roman"/>
          <w:bCs/>
        </w:rPr>
        <w:t xml:space="preserve">10% </w:t>
      </w:r>
      <w:r w:rsidR="00253E99">
        <w:rPr>
          <w:rFonts w:ascii="Times New Roman" w:hAnsi="Times New Roman" w:cs="Times New Roman"/>
          <w:bCs/>
        </w:rPr>
        <w:t>of its housing requirement</w:t>
      </w:r>
      <w:r w:rsidR="009C0F13">
        <w:rPr>
          <w:rFonts w:ascii="Times New Roman" w:hAnsi="Times New Roman" w:cs="Times New Roman"/>
          <w:bCs/>
        </w:rPr>
        <w:t xml:space="preserve">, </w:t>
      </w:r>
      <w:r w:rsidR="00A30521">
        <w:rPr>
          <w:rFonts w:ascii="Times New Roman" w:hAnsi="Times New Roman" w:cs="Times New Roman"/>
          <w:bCs/>
        </w:rPr>
        <w:t xml:space="preserve">a </w:t>
      </w:r>
      <w:r w:rsidR="00EC612D">
        <w:rPr>
          <w:rFonts w:ascii="Times New Roman" w:hAnsi="Times New Roman" w:cs="Times New Roman"/>
          <w:bCs/>
        </w:rPr>
        <w:t>minimum</w:t>
      </w:r>
      <w:r w:rsidR="00A30521">
        <w:rPr>
          <w:rFonts w:ascii="Times New Roman" w:hAnsi="Times New Roman" w:cs="Times New Roman"/>
          <w:bCs/>
        </w:rPr>
        <w:t xml:space="preserve"> of 1,692 homes, </w:t>
      </w:r>
      <w:r w:rsidR="00253E99">
        <w:rPr>
          <w:rFonts w:ascii="Times New Roman" w:hAnsi="Times New Roman" w:cs="Times New Roman"/>
          <w:bCs/>
        </w:rPr>
        <w:t xml:space="preserve">is delivered </w:t>
      </w:r>
      <w:r w:rsidR="00871343">
        <w:rPr>
          <w:rFonts w:ascii="Times New Roman" w:hAnsi="Times New Roman" w:cs="Times New Roman"/>
          <w:bCs/>
        </w:rPr>
        <w:t>on small sites</w:t>
      </w:r>
      <w:r w:rsidR="007A799C">
        <w:rPr>
          <w:rFonts w:ascii="Times New Roman" w:hAnsi="Times New Roman" w:cs="Times New Roman"/>
          <w:bCs/>
        </w:rPr>
        <w:t xml:space="preserve"> of less than one hectare</w:t>
      </w:r>
      <w:r w:rsidR="00871343">
        <w:rPr>
          <w:rFonts w:ascii="Times New Roman" w:hAnsi="Times New Roman" w:cs="Times New Roman"/>
          <w:bCs/>
        </w:rPr>
        <w:t xml:space="preserve"> </w:t>
      </w:r>
      <w:r w:rsidR="00253E99">
        <w:rPr>
          <w:rFonts w:ascii="Times New Roman" w:hAnsi="Times New Roman" w:cs="Times New Roman"/>
          <w:bCs/>
        </w:rPr>
        <w:t>that have been identified in either the local plan or brownfield register</w:t>
      </w:r>
      <w:r w:rsidR="00C31E08">
        <w:rPr>
          <w:rFonts w:ascii="Times New Roman" w:hAnsi="Times New Roman" w:cs="Times New Roman"/>
          <w:bCs/>
        </w:rPr>
        <w:t>, as required by paragraph 7</w:t>
      </w:r>
      <w:r w:rsidR="00124D1A">
        <w:rPr>
          <w:rFonts w:ascii="Times New Roman" w:hAnsi="Times New Roman" w:cs="Times New Roman"/>
          <w:bCs/>
        </w:rPr>
        <w:t xml:space="preserve">3a </w:t>
      </w:r>
      <w:r w:rsidR="00C31E08">
        <w:rPr>
          <w:rFonts w:ascii="Times New Roman" w:hAnsi="Times New Roman" w:cs="Times New Roman"/>
          <w:bCs/>
        </w:rPr>
        <w:t>of the NPPF.</w:t>
      </w:r>
      <w:r w:rsidR="00124D1A">
        <w:t xml:space="preserve"> </w:t>
      </w:r>
      <w:r w:rsidR="00124D1A" w:rsidRPr="00124D1A">
        <w:rPr>
          <w:rFonts w:ascii="Times New Roman" w:hAnsi="Times New Roman" w:cs="Times New Roman"/>
          <w:bCs/>
        </w:rPr>
        <w:t xml:space="preserve">The Council must </w:t>
      </w:r>
      <w:r w:rsidR="00124D1A">
        <w:rPr>
          <w:rFonts w:ascii="Times New Roman" w:hAnsi="Times New Roman" w:cs="Times New Roman"/>
          <w:bCs/>
        </w:rPr>
        <w:t xml:space="preserve">also ensure that this delivery is on </w:t>
      </w:r>
      <w:r w:rsidR="00124D1A" w:rsidRPr="00124D1A">
        <w:rPr>
          <w:rFonts w:ascii="Times New Roman" w:hAnsi="Times New Roman" w:cs="Times New Roman"/>
          <w:bCs/>
        </w:rPr>
        <w:t>identif</w:t>
      </w:r>
      <w:r w:rsidR="00124D1A">
        <w:rPr>
          <w:rFonts w:ascii="Times New Roman" w:hAnsi="Times New Roman" w:cs="Times New Roman"/>
          <w:bCs/>
        </w:rPr>
        <w:t>ied</w:t>
      </w:r>
      <w:r w:rsidR="00124D1A" w:rsidRPr="00124D1A">
        <w:rPr>
          <w:rFonts w:ascii="Times New Roman" w:hAnsi="Times New Roman" w:cs="Times New Roman"/>
          <w:bCs/>
        </w:rPr>
        <w:t xml:space="preserve"> sites </w:t>
      </w:r>
      <w:r w:rsidR="00124D1A">
        <w:rPr>
          <w:rFonts w:ascii="Times New Roman" w:hAnsi="Times New Roman" w:cs="Times New Roman"/>
          <w:bCs/>
        </w:rPr>
        <w:t xml:space="preserve">and </w:t>
      </w:r>
      <w:r w:rsidR="002B748C">
        <w:rPr>
          <w:rFonts w:ascii="Times New Roman" w:hAnsi="Times New Roman" w:cs="Times New Roman"/>
          <w:bCs/>
        </w:rPr>
        <w:t>does not</w:t>
      </w:r>
      <w:r w:rsidR="00124D1A">
        <w:rPr>
          <w:rFonts w:ascii="Times New Roman" w:hAnsi="Times New Roman" w:cs="Times New Roman"/>
          <w:bCs/>
        </w:rPr>
        <w:t xml:space="preserve"> </w:t>
      </w:r>
      <w:r w:rsidR="002B748C">
        <w:rPr>
          <w:rFonts w:ascii="Times New Roman" w:hAnsi="Times New Roman" w:cs="Times New Roman"/>
          <w:bCs/>
        </w:rPr>
        <w:t xml:space="preserve">include </w:t>
      </w:r>
      <w:r w:rsidR="007A799C">
        <w:rPr>
          <w:rFonts w:ascii="Times New Roman" w:hAnsi="Times New Roman" w:cs="Times New Roman"/>
          <w:bCs/>
        </w:rPr>
        <w:t xml:space="preserve">delivery </w:t>
      </w:r>
      <w:r w:rsidR="00124D1A" w:rsidRPr="00124D1A">
        <w:rPr>
          <w:rFonts w:ascii="Times New Roman" w:hAnsi="Times New Roman" w:cs="Times New Roman"/>
          <w:bCs/>
        </w:rPr>
        <w:t>on windfall sites</w:t>
      </w:r>
      <w:r w:rsidR="002B748C">
        <w:rPr>
          <w:rFonts w:ascii="Times New Roman" w:hAnsi="Times New Roman" w:cs="Times New Roman"/>
          <w:bCs/>
        </w:rPr>
        <w:t xml:space="preserve"> within the 10% of homes on small sites</w:t>
      </w:r>
      <w:r w:rsidR="00124D1A" w:rsidRPr="00124D1A">
        <w:rPr>
          <w:rFonts w:ascii="Times New Roman" w:hAnsi="Times New Roman" w:cs="Times New Roman"/>
          <w:bCs/>
        </w:rPr>
        <w:t>. While the Council</w:t>
      </w:r>
      <w:r w:rsidR="002B748C">
        <w:rPr>
          <w:rFonts w:ascii="Times New Roman" w:hAnsi="Times New Roman" w:cs="Times New Roman"/>
          <w:bCs/>
        </w:rPr>
        <w:t xml:space="preserve"> will need to have a positive approach to</w:t>
      </w:r>
      <w:r w:rsidR="00124D1A" w:rsidRPr="00124D1A">
        <w:rPr>
          <w:rFonts w:ascii="Times New Roman" w:hAnsi="Times New Roman" w:cs="Times New Roman"/>
          <w:bCs/>
        </w:rPr>
        <w:t xml:space="preserve"> small </w:t>
      </w:r>
      <w:r w:rsidR="002B748C">
        <w:rPr>
          <w:rFonts w:ascii="Times New Roman" w:hAnsi="Times New Roman" w:cs="Times New Roman"/>
          <w:bCs/>
        </w:rPr>
        <w:t xml:space="preserve">windfall </w:t>
      </w:r>
      <w:r w:rsidR="00124D1A" w:rsidRPr="00124D1A">
        <w:rPr>
          <w:rFonts w:ascii="Times New Roman" w:hAnsi="Times New Roman" w:cs="Times New Roman"/>
          <w:bCs/>
        </w:rPr>
        <w:t xml:space="preserve">sites </w:t>
      </w:r>
      <w:r w:rsidR="002B748C">
        <w:rPr>
          <w:rFonts w:ascii="Times New Roman" w:hAnsi="Times New Roman" w:cs="Times New Roman"/>
          <w:bCs/>
        </w:rPr>
        <w:t>this</w:t>
      </w:r>
      <w:r w:rsidR="00124D1A" w:rsidRPr="00124D1A">
        <w:rPr>
          <w:rFonts w:ascii="Times New Roman" w:hAnsi="Times New Roman" w:cs="Times New Roman"/>
          <w:bCs/>
        </w:rPr>
        <w:t xml:space="preserve"> relates to paragraph 73d </w:t>
      </w:r>
      <w:r w:rsidR="002B748C">
        <w:rPr>
          <w:rFonts w:ascii="Times New Roman" w:hAnsi="Times New Roman" w:cs="Times New Roman"/>
          <w:bCs/>
        </w:rPr>
        <w:t>of the NPPF</w:t>
      </w:r>
      <w:r w:rsidR="00685183">
        <w:rPr>
          <w:rFonts w:ascii="Times New Roman" w:hAnsi="Times New Roman" w:cs="Times New Roman"/>
          <w:bCs/>
        </w:rPr>
        <w:t xml:space="preserve"> and not</w:t>
      </w:r>
      <w:r w:rsidR="00124D1A" w:rsidRPr="00124D1A">
        <w:rPr>
          <w:rFonts w:ascii="Times New Roman" w:hAnsi="Times New Roman" w:cs="Times New Roman"/>
          <w:bCs/>
        </w:rPr>
        <w:t xml:space="preserve"> 73</w:t>
      </w:r>
      <w:r w:rsidR="00EA227E" w:rsidRPr="00124D1A">
        <w:rPr>
          <w:rFonts w:ascii="Times New Roman" w:hAnsi="Times New Roman" w:cs="Times New Roman"/>
          <w:bCs/>
        </w:rPr>
        <w:t>a, which</w:t>
      </w:r>
      <w:r w:rsidR="00685183">
        <w:rPr>
          <w:rFonts w:ascii="Times New Roman" w:hAnsi="Times New Roman" w:cs="Times New Roman"/>
          <w:bCs/>
        </w:rPr>
        <w:t xml:space="preserve"> specifically</w:t>
      </w:r>
      <w:r w:rsidR="00124D1A" w:rsidRPr="00124D1A">
        <w:rPr>
          <w:rFonts w:ascii="Times New Roman" w:hAnsi="Times New Roman" w:cs="Times New Roman"/>
          <w:bCs/>
        </w:rPr>
        <w:t xml:space="preserve"> requires the identification of small sites. This </w:t>
      </w:r>
      <w:r w:rsidR="00EA227E">
        <w:rPr>
          <w:rFonts w:ascii="Times New Roman" w:hAnsi="Times New Roman" w:cs="Times New Roman"/>
          <w:bCs/>
        </w:rPr>
        <w:t xml:space="preserve">distinction </w:t>
      </w:r>
      <w:r w:rsidR="00124D1A" w:rsidRPr="00124D1A">
        <w:rPr>
          <w:rFonts w:ascii="Times New Roman" w:hAnsi="Times New Roman" w:cs="Times New Roman"/>
          <w:bCs/>
        </w:rPr>
        <w:t xml:space="preserve">is further clarified in the Glossary of the NPPF which defines </w:t>
      </w:r>
      <w:r w:rsidR="00685183">
        <w:rPr>
          <w:rFonts w:ascii="Times New Roman" w:hAnsi="Times New Roman" w:cs="Times New Roman"/>
          <w:bCs/>
        </w:rPr>
        <w:t xml:space="preserve">windfall </w:t>
      </w:r>
      <w:r w:rsidR="00124D1A" w:rsidRPr="00124D1A">
        <w:rPr>
          <w:rFonts w:ascii="Times New Roman" w:hAnsi="Times New Roman" w:cs="Times New Roman"/>
          <w:bCs/>
        </w:rPr>
        <w:t xml:space="preserve">sites as being “sites not specifically identified in the development plan”. </w:t>
      </w:r>
    </w:p>
    <w:p w14:paraId="67FB3A94" w14:textId="77777777" w:rsidR="00124D1A" w:rsidRPr="00124D1A" w:rsidRDefault="00124D1A" w:rsidP="00EA227E">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124D1A">
        <w:rPr>
          <w:rFonts w:ascii="Times New Roman" w:hAnsi="Times New Roman" w:cs="Times New Roman"/>
          <w:bCs/>
        </w:rPr>
        <w:t>It is important to recognise that the allocation of small sites is a priority and stems from the need to support small house builders by ensuring that they benefit from having their sites identified for development either through the local plan or brownfield register. The effect of an allocation is to take some of the risk out of that development and provide greater certainty that those sites come forward. This in turn will allow the SME sector to grow, deliver homes that will increase the diversity of the new homes that are available as well as bring those homes forward earlier in the plan period.</w:t>
      </w:r>
    </w:p>
    <w:p w14:paraId="2C0320CD" w14:textId="77777777" w:rsidR="00124D1A" w:rsidRPr="00124D1A" w:rsidRDefault="00124D1A" w:rsidP="00EA227E">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124D1A">
        <w:rPr>
          <w:rFonts w:ascii="Times New Roman" w:hAnsi="Times New Roman" w:cs="Times New Roman"/>
          <w:bCs/>
        </w:rPr>
        <w:t>The Council should also recognise that allocating small sites and supporting SME house builders not only ensures a stronger supply in the short term but also improves the diversity of choice within local housing markets, support local and regional supply chains and are often pivotal in bring forward innovation and supporting jobs growth locally, with 1 in 5 of the SME work force being comprised of apprentices. A failure to allocate small sites will contribute to the continued decline in small and medium sized house builders. Recent research by the HBF has found that there are 85% fewer small house builders today than there were 20 years ago and that of a survey of SME house builders 93% said that planning was a major barrier to SME growth. Whilst this decline is due to a range of factors, more allocations of small sites would ease the burden on many SME developers and provide more certainty that their scheme will be permitted, allowing them to secure the necessary finance that is often unavailable to SMEs until permission is granted.</w:t>
      </w:r>
    </w:p>
    <w:p w14:paraId="54B0FA53" w14:textId="4F35E3AF" w:rsidR="00D201F9" w:rsidRDefault="00124D1A" w:rsidP="00AD14DE">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124D1A">
        <w:rPr>
          <w:rFonts w:ascii="Times New Roman" w:hAnsi="Times New Roman" w:cs="Times New Roman"/>
          <w:bCs/>
        </w:rPr>
        <w:lastRenderedPageBreak/>
        <w:t>Therefore, in order for the plan to be consistent with national policy the Council should not just seek to maximise delivery from the small sites through development management but to actively promote these through allocations in the local plan.</w:t>
      </w:r>
    </w:p>
    <w:p w14:paraId="7C03A1E2" w14:textId="547D85E3" w:rsidR="00F0430A" w:rsidRPr="008E7AD1" w:rsidRDefault="00F0430A" w:rsidP="008E7AD1">
      <w:pPr>
        <w:widowControl/>
        <w:suppressAutoHyphens w:val="0"/>
        <w:autoSpaceDE/>
        <w:spacing w:after="240" w:line="360" w:lineRule="auto"/>
        <w:jc w:val="both"/>
        <w:rPr>
          <w:rFonts w:ascii="Arial" w:hAnsi="Arial" w:cs="Arial"/>
          <w:b/>
        </w:rPr>
      </w:pPr>
      <w:r w:rsidRPr="008E7AD1">
        <w:rPr>
          <w:rFonts w:ascii="Arial" w:hAnsi="Arial" w:cs="Arial"/>
          <w:b/>
        </w:rPr>
        <w:t>Future Engagement</w:t>
      </w:r>
    </w:p>
    <w:p w14:paraId="32666532" w14:textId="77777777" w:rsidR="00F0430A" w:rsidRDefault="00F0430A" w:rsidP="00F0430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I trust that the Council will find these comments useful as it continues to progress its Local Plan. I would be happy to discuss these issues in greater detail or assist in facilitating discussions with the wider housebuilding industry.</w:t>
      </w:r>
    </w:p>
    <w:p w14:paraId="11C30352" w14:textId="400B690A" w:rsidR="0028345D" w:rsidRPr="00D646EC" w:rsidRDefault="00F0430A" w:rsidP="00C411E9">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The HBF would like to be kept informed of all forthcoming consultations upon the Local Plan and associated documents. Please use the contact details provided below for future correspondence.</w:t>
      </w:r>
    </w:p>
    <w:p w14:paraId="01632919" w14:textId="77777777" w:rsidR="0028345D" w:rsidRPr="004612EA" w:rsidRDefault="0028345D" w:rsidP="00C411E9">
      <w:pPr>
        <w:spacing w:line="360" w:lineRule="auto"/>
        <w:jc w:val="both"/>
        <w:rPr>
          <w:rFonts w:ascii="Times New Roman" w:hAnsi="Times New Roman" w:cs="Times New Roman"/>
        </w:rPr>
      </w:pPr>
      <w:r w:rsidRPr="004612EA">
        <w:rPr>
          <w:rFonts w:ascii="Times New Roman" w:hAnsi="Times New Roman" w:cs="Times New Roman"/>
        </w:rPr>
        <w:t>Yours sincerely,</w:t>
      </w:r>
    </w:p>
    <w:p w14:paraId="542C626C" w14:textId="03D677E5" w:rsidR="0028345D" w:rsidRPr="004612EA" w:rsidRDefault="00C411E9" w:rsidP="00C411E9">
      <w:pPr>
        <w:spacing w:line="360" w:lineRule="auto"/>
        <w:jc w:val="both"/>
        <w:rPr>
          <w:rFonts w:ascii="Times New Roman" w:hAnsi="Times New Roman" w:cs="Times New Roman"/>
        </w:rPr>
      </w:pPr>
      <w:r>
        <w:rPr>
          <w:noProof/>
        </w:rPr>
        <w:drawing>
          <wp:inline distT="0" distB="0" distL="0" distR="0" wp14:anchorId="55C24A28" wp14:editId="5B644039">
            <wp:extent cx="1823085" cy="688975"/>
            <wp:effectExtent l="0" t="0" r="5715" b="0"/>
            <wp:docPr id="4"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signature on a white background&#10;&#10;AI-generated content may be incorrec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3085" cy="688975"/>
                    </a:xfrm>
                    <a:prstGeom prst="rect">
                      <a:avLst/>
                    </a:prstGeom>
                    <a:noFill/>
                  </pic:spPr>
                </pic:pic>
              </a:graphicData>
            </a:graphic>
          </wp:inline>
        </w:drawing>
      </w:r>
    </w:p>
    <w:p w14:paraId="45C8A7DF" w14:textId="60D844CC" w:rsidR="0028345D" w:rsidRPr="004612EA" w:rsidRDefault="000D7947" w:rsidP="00C411E9">
      <w:pPr>
        <w:spacing w:line="360" w:lineRule="auto"/>
        <w:rPr>
          <w:rFonts w:ascii="Times New Roman" w:hAnsi="Times New Roman" w:cs="Times New Roman"/>
          <w:b/>
        </w:rPr>
      </w:pPr>
      <w:r w:rsidRPr="004612EA">
        <w:rPr>
          <w:rFonts w:ascii="Times New Roman" w:hAnsi="Times New Roman" w:cs="Times New Roman"/>
          <w:b/>
        </w:rPr>
        <w:t>Mark Behrendt</w:t>
      </w:r>
    </w:p>
    <w:p w14:paraId="3DDCE4C3" w14:textId="566E8E4B" w:rsidR="0028345D" w:rsidRPr="004612EA" w:rsidRDefault="000D7947" w:rsidP="00C411E9">
      <w:pPr>
        <w:spacing w:line="360" w:lineRule="auto"/>
        <w:rPr>
          <w:rFonts w:ascii="Times New Roman" w:hAnsi="Times New Roman" w:cs="Times New Roman"/>
          <w:b/>
        </w:rPr>
      </w:pPr>
      <w:r w:rsidRPr="004612EA">
        <w:rPr>
          <w:rFonts w:ascii="Times New Roman" w:hAnsi="Times New Roman" w:cs="Times New Roman"/>
          <w:b/>
        </w:rPr>
        <w:t xml:space="preserve">Regional </w:t>
      </w:r>
      <w:r w:rsidR="0028345D" w:rsidRPr="004612EA">
        <w:rPr>
          <w:rFonts w:ascii="Times New Roman" w:hAnsi="Times New Roman" w:cs="Times New Roman"/>
          <w:b/>
        </w:rPr>
        <w:t xml:space="preserve">Planning Manager – </w:t>
      </w:r>
      <w:r w:rsidRPr="004612EA">
        <w:rPr>
          <w:rFonts w:ascii="Times New Roman" w:hAnsi="Times New Roman" w:cs="Times New Roman"/>
          <w:b/>
        </w:rPr>
        <w:t>SE and E</w:t>
      </w:r>
    </w:p>
    <w:p w14:paraId="5E40E301" w14:textId="42DC2727" w:rsidR="0028345D" w:rsidRPr="004612EA" w:rsidRDefault="0028345D" w:rsidP="00C411E9">
      <w:pPr>
        <w:spacing w:line="360" w:lineRule="auto"/>
        <w:rPr>
          <w:rFonts w:ascii="Times New Roman" w:hAnsi="Times New Roman" w:cs="Times New Roman"/>
        </w:rPr>
      </w:pPr>
      <w:r w:rsidRPr="004612EA">
        <w:rPr>
          <w:rFonts w:ascii="Times New Roman" w:hAnsi="Times New Roman" w:cs="Times New Roman"/>
        </w:rPr>
        <w:t xml:space="preserve">Email: </w:t>
      </w:r>
      <w:r w:rsidR="000D7947" w:rsidRPr="004612EA">
        <w:rPr>
          <w:rFonts w:ascii="Times New Roman" w:hAnsi="Times New Roman" w:cs="Times New Roman"/>
        </w:rPr>
        <w:t>mark.behrendt@hbf.co.uk</w:t>
      </w:r>
    </w:p>
    <w:p w14:paraId="7A519937" w14:textId="3E7913DB" w:rsidR="0028345D" w:rsidRPr="004612EA" w:rsidRDefault="0028345D" w:rsidP="00C411E9">
      <w:pPr>
        <w:spacing w:line="360" w:lineRule="auto"/>
        <w:rPr>
          <w:rFonts w:ascii="Times New Roman" w:hAnsi="Times New Roman" w:cs="Times New Roman"/>
        </w:rPr>
      </w:pPr>
      <w:r w:rsidRPr="004612EA">
        <w:rPr>
          <w:rFonts w:ascii="Times New Roman" w:hAnsi="Times New Roman" w:cs="Times New Roman"/>
        </w:rPr>
        <w:t xml:space="preserve">Phone: </w:t>
      </w:r>
      <w:r w:rsidR="000D7947" w:rsidRPr="004612EA">
        <w:rPr>
          <w:rFonts w:ascii="Times New Roman" w:hAnsi="Times New Roman" w:cs="Times New Roman"/>
        </w:rPr>
        <w:t>07867415547</w:t>
      </w:r>
    </w:p>
    <w:p w14:paraId="271F3E5D" w14:textId="77777777" w:rsidR="00B93060" w:rsidRDefault="00B93060">
      <w:pPr>
        <w:sectPr w:rsidR="00B93060" w:rsidSect="009A7C8D">
          <w:footerReference w:type="default" r:id="rId12"/>
          <w:headerReference w:type="first" r:id="rId13"/>
          <w:footerReference w:type="first" r:id="rId14"/>
          <w:pgSz w:w="13090" w:h="18020"/>
          <w:pgMar w:top="1440" w:right="1440" w:bottom="1440" w:left="1440" w:header="0" w:footer="393" w:gutter="0"/>
          <w:pgNumType w:start="1"/>
          <w:cols w:space="720"/>
          <w:titlePg/>
          <w:docGrid w:linePitch="299"/>
        </w:sectPr>
      </w:pPr>
    </w:p>
    <w:p w14:paraId="271F3E5E" w14:textId="77777777" w:rsidR="003205C3" w:rsidRDefault="003205C3">
      <w:pPr>
        <w:pStyle w:val="BodyText"/>
        <w:spacing w:line="256" w:lineRule="auto"/>
        <w:ind w:left="140" w:right="1981"/>
        <w:rPr>
          <w:rFonts w:ascii="Times New Roman" w:hAnsi="Times New Roman" w:cs="Times New Roman"/>
        </w:rPr>
      </w:pPr>
    </w:p>
    <w:p w14:paraId="271F3E5F" w14:textId="77777777" w:rsidR="003205C3" w:rsidRDefault="003205C3">
      <w:pPr>
        <w:pStyle w:val="BodyText"/>
        <w:spacing w:line="256" w:lineRule="auto"/>
        <w:ind w:left="140" w:right="1981"/>
        <w:rPr>
          <w:rFonts w:ascii="Times New Roman" w:hAnsi="Times New Roman" w:cs="Times New Roman"/>
        </w:rPr>
      </w:pPr>
    </w:p>
    <w:sectPr w:rsidR="003205C3">
      <w:type w:val="continuous"/>
      <w:pgSz w:w="13090" w:h="18020"/>
      <w:pgMar w:top="1440" w:right="60" w:bottom="1440" w:left="60" w:header="0" w:footer="393" w:gutter="0"/>
      <w:pgNumType w:start="1"/>
      <w:cols w:num="2" w:space="720" w:equalWidth="0">
        <w:col w:w="4821" w:space="1153"/>
        <w:col w:w="699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89451" w14:textId="77777777" w:rsidR="00581780" w:rsidRDefault="00581780">
      <w:r>
        <w:separator/>
      </w:r>
    </w:p>
  </w:endnote>
  <w:endnote w:type="continuationSeparator" w:id="0">
    <w:p w14:paraId="4096D297" w14:textId="77777777" w:rsidR="00581780" w:rsidRDefault="00581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G Omega">
    <w:altName w:val="Malgun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3E2B" w14:textId="333ED030" w:rsidR="00B93060" w:rsidRDefault="00B93060">
    <w:pPr>
      <w:spacing w:before="18"/>
    </w:pPr>
    <w:bookmarkStart w:id="0" w:name="_Hlk193356826"/>
  </w:p>
  <w:tbl>
    <w:tblPr>
      <w:tblW w:w="11326" w:type="dxa"/>
      <w:tblCellMar>
        <w:left w:w="10" w:type="dxa"/>
        <w:right w:w="10" w:type="dxa"/>
      </w:tblCellMar>
      <w:tblLook w:val="0000" w:firstRow="0" w:lastRow="0" w:firstColumn="0" w:lastColumn="0" w:noHBand="0" w:noVBand="0"/>
    </w:tblPr>
    <w:tblGrid>
      <w:gridCol w:w="5663"/>
      <w:gridCol w:w="5663"/>
    </w:tblGrid>
    <w:tr w:rsidR="005C00F7" w14:paraId="271F3E33" w14:textId="77777777">
      <w:trPr>
        <w:trHeight w:val="1016"/>
      </w:trPr>
      <w:tc>
        <w:tcPr>
          <w:tcW w:w="5663" w:type="dxa"/>
          <w:tcMar>
            <w:top w:w="0" w:type="dxa"/>
            <w:left w:w="108" w:type="dxa"/>
            <w:bottom w:w="0" w:type="dxa"/>
            <w:right w:w="108" w:type="dxa"/>
          </w:tcMar>
        </w:tcPr>
        <w:p w14:paraId="454A33AB" w14:textId="3EFE928A" w:rsidR="00B93060" w:rsidRDefault="00B93060">
          <w:pPr>
            <w:spacing w:before="18"/>
          </w:pPr>
        </w:p>
        <w:p w14:paraId="271F3E2E" w14:textId="51E62B4C" w:rsidR="00E539DA" w:rsidRDefault="00E539DA">
          <w:pPr>
            <w:spacing w:before="18"/>
          </w:pPr>
        </w:p>
      </w:tc>
      <w:tc>
        <w:tcPr>
          <w:tcW w:w="5663" w:type="dxa"/>
          <w:tcMar>
            <w:top w:w="0" w:type="dxa"/>
            <w:left w:w="108" w:type="dxa"/>
            <w:bottom w:w="0" w:type="dxa"/>
            <w:right w:w="108" w:type="dxa"/>
          </w:tcMar>
        </w:tcPr>
        <w:p w14:paraId="271F3E32" w14:textId="2C511E27" w:rsidR="00B93060" w:rsidRDefault="00B93060">
          <w:pPr>
            <w:spacing w:before="18"/>
            <w:rPr>
              <w:rFonts w:ascii="Times New Roman" w:hAnsi="Times New Roman" w:cs="Times New Roman"/>
              <w:b/>
              <w:bCs/>
              <w:color w:val="231F20"/>
              <w:spacing w:val="-2"/>
              <w:sz w:val="18"/>
            </w:rPr>
          </w:pPr>
        </w:p>
      </w:tc>
    </w:tr>
    <w:bookmarkEnd w:id="0"/>
  </w:tbl>
  <w:p w14:paraId="271F3E34" w14:textId="77777777" w:rsidR="00B93060" w:rsidRDefault="00B93060">
    <w:pPr>
      <w:spacing w:before="18"/>
      <w:rPr>
        <w:rFonts w:ascii="Times New Roman" w:hAnsi="Times New Roman" w:cs="Times New Roman"/>
        <w:color w:val="231F20"/>
        <w:spacing w:val="-2"/>
        <w:sz w:val="18"/>
      </w:rPr>
    </w:pPr>
  </w:p>
  <w:p w14:paraId="271F3E35" w14:textId="77777777" w:rsidR="00B93060" w:rsidRDefault="00B93060">
    <w:pPr>
      <w:pStyle w:val="BodyText"/>
      <w:spacing w:line="12"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8A26" w14:textId="77777777" w:rsidR="009A7C8D" w:rsidRDefault="009A7C8D" w:rsidP="009A7C8D">
    <w:pPr>
      <w:spacing w:before="18"/>
    </w:pPr>
    <w:r>
      <w:rPr>
        <w:noProof/>
      </w:rPr>
      <mc:AlternateContent>
        <mc:Choice Requires="wps">
          <w:drawing>
            <wp:anchor distT="0" distB="0" distL="114300" distR="114300" simplePos="0" relativeHeight="251658241" behindDoc="0" locked="0" layoutInCell="1" allowOverlap="1" wp14:anchorId="2910AE42" wp14:editId="7FF9E427">
              <wp:simplePos x="0" y="0"/>
              <wp:positionH relativeFrom="margin">
                <wp:align>left</wp:align>
              </wp:positionH>
              <wp:positionV relativeFrom="paragraph">
                <wp:posOffset>110349</wp:posOffset>
              </wp:positionV>
              <wp:extent cx="6858000" cy="15243"/>
              <wp:effectExtent l="0" t="0" r="0" b="0"/>
              <wp:wrapTopAndBottom/>
              <wp:docPr id="629835544" name="Graphic 20"/>
              <wp:cNvGraphicFramePr/>
              <a:graphic xmlns:a="http://schemas.openxmlformats.org/drawingml/2006/main">
                <a:graphicData uri="http://schemas.microsoft.com/office/word/2010/wordprocessingShape">
                  <wps:wsp>
                    <wps:cNvSpPr/>
                    <wps:spPr>
                      <a:xfrm>
                        <a:off x="0" y="0"/>
                        <a:ext cx="6858000" cy="15243"/>
                      </a:xfrm>
                      <a:custGeom>
                        <a:avLst/>
                        <a:gdLst>
                          <a:gd name="f0" fmla="val w"/>
                          <a:gd name="f1" fmla="val h"/>
                          <a:gd name="f2" fmla="val 0"/>
                          <a:gd name="f3" fmla="val 6858000"/>
                          <a:gd name="f4" fmla="val 15240"/>
                          <a:gd name="f5" fmla="val 14731"/>
                          <a:gd name="f6" fmla="*/ f0 1 6858000"/>
                          <a:gd name="f7" fmla="*/ f1 1 15240"/>
                          <a:gd name="f8" fmla="+- f4 0 f2"/>
                          <a:gd name="f9" fmla="+- f3 0 f2"/>
                          <a:gd name="f10" fmla="*/ f9 1 6858000"/>
                          <a:gd name="f11" fmla="*/ f8 1 1524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6858000" h="15240">
                            <a:moveTo>
                              <a:pt x="f3" y="f2"/>
                            </a:moveTo>
                            <a:lnTo>
                              <a:pt x="f2" y="f2"/>
                            </a:lnTo>
                            <a:lnTo>
                              <a:pt x="f2" y="f5"/>
                            </a:lnTo>
                            <a:lnTo>
                              <a:pt x="f3" y="f5"/>
                            </a:lnTo>
                            <a:lnTo>
                              <a:pt x="f3" y="f2"/>
                            </a:lnTo>
                            <a:close/>
                          </a:path>
                        </a:pathLst>
                      </a:custGeom>
                      <a:solidFill>
                        <a:srgbClr val="231F20"/>
                      </a:solidFill>
                      <a:ln cap="flat">
                        <a:noFill/>
                        <a:prstDash val="solid"/>
                      </a:ln>
                    </wps:spPr>
                    <wps:bodyPr lIns="0" tIns="0" rIns="0" bIns="0"/>
                  </wps:wsp>
                </a:graphicData>
              </a:graphic>
            </wp:anchor>
          </w:drawing>
        </mc:Choice>
        <mc:Fallback>
          <w:pict>
            <v:shape w14:anchorId="3D353661" id="Graphic 20" o:spid="_x0000_s1026" style="position:absolute;margin-left:0;margin-top:8.7pt;width:540pt;height:1.2pt;z-index:251665408;visibility:visible;mso-wrap-style:square;mso-wrap-distance-left:9pt;mso-wrap-distance-top:0;mso-wrap-distance-right:9pt;mso-wrap-distance-bottom:0;mso-position-horizontal:left;mso-position-horizontal-relative:margin;mso-position-vertical:absolute;mso-position-vertical-relative:text;v-text-anchor:top" coordsize="68580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" path="m6858000,l,,,14731r6858000,l6858000,xe" fillcolor="#231f20" stroked="f">
              <v:path arrowok="t" o:connecttype="custom" o:connectlocs="3429000,0;6858000,7622;3429000,15243;0,7622" o:connectangles="270,0,90,180" textboxrect="0,0,6858000,15240"/>
              <w10:wrap type="topAndBottom" anchorx="margin"/>
            </v:shape>
          </w:pict>
        </mc:Fallback>
      </mc:AlternateContent>
    </w:r>
  </w:p>
  <w:tbl>
    <w:tblPr>
      <w:tblW w:w="11326" w:type="dxa"/>
      <w:tblCellMar>
        <w:left w:w="10" w:type="dxa"/>
        <w:right w:w="10" w:type="dxa"/>
      </w:tblCellMar>
      <w:tblLook w:val="0000" w:firstRow="0" w:lastRow="0" w:firstColumn="0" w:lastColumn="0" w:noHBand="0" w:noVBand="0"/>
    </w:tblPr>
    <w:tblGrid>
      <w:gridCol w:w="5663"/>
      <w:gridCol w:w="5663"/>
    </w:tblGrid>
    <w:tr w:rsidR="009A7C8D" w14:paraId="5EB38C0D" w14:textId="77777777" w:rsidTr="00D0237E">
      <w:trPr>
        <w:trHeight w:val="1016"/>
      </w:trPr>
      <w:tc>
        <w:tcPr>
          <w:tcW w:w="5663" w:type="dxa"/>
          <w:tcMar>
            <w:top w:w="0" w:type="dxa"/>
            <w:left w:w="108" w:type="dxa"/>
            <w:bottom w:w="0" w:type="dxa"/>
            <w:right w:w="108" w:type="dxa"/>
          </w:tcMar>
        </w:tcPr>
        <w:p w14:paraId="2B04AE18" w14:textId="77777777" w:rsidR="009A7C8D" w:rsidRDefault="009A7C8D" w:rsidP="009A7C8D">
          <w:pPr>
            <w:pStyle w:val="Title"/>
            <w:ind w:left="0"/>
          </w:pPr>
          <w:r>
            <w:rPr>
              <w:rFonts w:ascii="Times New Roman" w:hAnsi="Times New Roman" w:cs="Times New Roman"/>
              <w:color w:val="231F20"/>
              <w:w w:val="85"/>
              <w:sz w:val="20"/>
              <w:szCs w:val="20"/>
            </w:rPr>
            <w:t>Home</w:t>
          </w:r>
          <w:r>
            <w:rPr>
              <w:rFonts w:ascii="Times New Roman" w:hAnsi="Times New Roman" w:cs="Times New Roman"/>
              <w:color w:val="231F20"/>
              <w:spacing w:val="6"/>
              <w:sz w:val="20"/>
              <w:szCs w:val="20"/>
            </w:rPr>
            <w:t xml:space="preserve"> </w:t>
          </w:r>
          <w:r>
            <w:rPr>
              <w:rFonts w:ascii="Times New Roman" w:hAnsi="Times New Roman" w:cs="Times New Roman"/>
              <w:color w:val="231F20"/>
              <w:w w:val="85"/>
              <w:sz w:val="20"/>
              <w:szCs w:val="20"/>
            </w:rPr>
            <w:t>Builders</w:t>
          </w:r>
          <w:r>
            <w:rPr>
              <w:rFonts w:ascii="Times New Roman" w:hAnsi="Times New Roman" w:cs="Times New Roman"/>
              <w:color w:val="231F20"/>
              <w:spacing w:val="7"/>
              <w:sz w:val="20"/>
              <w:szCs w:val="20"/>
            </w:rPr>
            <w:t xml:space="preserve"> </w:t>
          </w:r>
          <w:r>
            <w:rPr>
              <w:rFonts w:ascii="Times New Roman" w:hAnsi="Times New Roman" w:cs="Times New Roman"/>
              <w:color w:val="231F20"/>
              <w:spacing w:val="-2"/>
              <w:w w:val="85"/>
              <w:sz w:val="20"/>
              <w:szCs w:val="20"/>
            </w:rPr>
            <w:t>Federation</w:t>
          </w:r>
        </w:p>
        <w:p w14:paraId="6D97A3D6" w14:textId="77777777" w:rsidR="009A7C8D" w:rsidRDefault="009A7C8D" w:rsidP="009A7C8D">
          <w:r>
            <w:rPr>
              <w:rFonts w:ascii="Times New Roman" w:hAnsi="Times New Roman" w:cs="Times New Roman"/>
              <w:color w:val="231F20"/>
              <w:spacing w:val="-6"/>
              <w:sz w:val="18"/>
              <w:szCs w:val="18"/>
            </w:rPr>
            <w:t>HBF</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House,</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27</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Broadwall,</w:t>
          </w:r>
          <w:r>
            <w:rPr>
              <w:rFonts w:ascii="Times New Roman" w:hAnsi="Times New Roman" w:cs="Times New Roman"/>
              <w:color w:val="231F20"/>
              <w:spacing w:val="1"/>
              <w:sz w:val="18"/>
              <w:szCs w:val="18"/>
            </w:rPr>
            <w:t xml:space="preserve"> </w:t>
          </w:r>
          <w:r>
            <w:rPr>
              <w:rFonts w:ascii="Times New Roman" w:hAnsi="Times New Roman" w:cs="Times New Roman"/>
              <w:color w:val="231F20"/>
              <w:spacing w:val="-6"/>
              <w:sz w:val="18"/>
              <w:szCs w:val="18"/>
            </w:rPr>
            <w:t>London</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SE1</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9PL</w:t>
          </w:r>
        </w:p>
        <w:p w14:paraId="6D752FC4" w14:textId="77777777" w:rsidR="009A7C8D" w:rsidRDefault="009A7C8D" w:rsidP="009A7C8D">
          <w:pPr>
            <w:spacing w:before="18"/>
          </w:pPr>
          <w:r>
            <w:rPr>
              <w:rFonts w:ascii="Times New Roman" w:hAnsi="Times New Roman" w:cs="Times New Roman"/>
              <w:color w:val="231F20"/>
              <w:spacing w:val="-2"/>
              <w:sz w:val="18"/>
            </w:rPr>
            <w:t>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0207</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960</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1600</w:t>
          </w:r>
          <w:r>
            <w:rPr>
              <w:rFonts w:ascii="Times New Roman" w:hAnsi="Times New Roman" w:cs="Times New Roman"/>
              <w:color w:val="231F20"/>
              <w:spacing w:val="-5"/>
              <w:sz w:val="18"/>
            </w:rPr>
            <w:t xml:space="preserve"> </w:t>
          </w:r>
          <w:r>
            <w:rPr>
              <w:rFonts w:ascii="Times New Roman" w:hAnsi="Times New Roman" w:cs="Times New Roman"/>
              <w:color w:val="231F20"/>
              <w:spacing w:val="-2"/>
              <w:w w:val="90"/>
              <w:sz w:val="18"/>
            </w:rPr>
            <w: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E:</w:t>
          </w:r>
          <w:r>
            <w:rPr>
              <w:rFonts w:ascii="Times New Roman" w:hAnsi="Times New Roman" w:cs="Times New Roman"/>
              <w:color w:val="231F20"/>
              <w:spacing w:val="-5"/>
              <w:sz w:val="18"/>
            </w:rPr>
            <w:t xml:space="preserve"> </w:t>
          </w:r>
          <w:hyperlink r:id="rId1" w:history="1">
            <w:r>
              <w:rPr>
                <w:rFonts w:ascii="Times New Roman" w:hAnsi="Times New Roman" w:cs="Times New Roman"/>
                <w:color w:val="231F20"/>
                <w:spacing w:val="-2"/>
                <w:sz w:val="18"/>
              </w:rPr>
              <w:t>info@hbf.co.uk</w:t>
            </w:r>
          </w:hyperlink>
          <w:r>
            <w:rPr>
              <w:rFonts w:ascii="Times New Roman" w:hAnsi="Times New Roman" w:cs="Times New Roman"/>
              <w:color w:val="231F20"/>
              <w:spacing w:val="-5"/>
              <w:sz w:val="18"/>
            </w:rPr>
            <w:t xml:space="preserve"> </w:t>
          </w:r>
          <w:r>
            <w:rPr>
              <w:rFonts w:ascii="Times New Roman" w:hAnsi="Times New Roman" w:cs="Times New Roman"/>
              <w:color w:val="231F20"/>
              <w:spacing w:val="-2"/>
              <w:w w:val="90"/>
              <w:sz w:val="18"/>
            </w:rPr>
            <w: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hbf.co.uk</w:t>
          </w:r>
        </w:p>
      </w:tc>
      <w:tc>
        <w:tcPr>
          <w:tcW w:w="5663" w:type="dxa"/>
          <w:tcMar>
            <w:top w:w="0" w:type="dxa"/>
            <w:left w:w="108" w:type="dxa"/>
            <w:bottom w:w="0" w:type="dxa"/>
            <w:right w:w="108" w:type="dxa"/>
          </w:tcMar>
        </w:tcPr>
        <w:p w14:paraId="43B6691D" w14:textId="77777777" w:rsidR="009A7C8D" w:rsidRDefault="009A7C8D" w:rsidP="009A7C8D">
          <w:pPr>
            <w:pStyle w:val="BodyText"/>
            <w:spacing w:line="256" w:lineRule="auto"/>
            <w:ind w:right="1981"/>
            <w:rPr>
              <w:rFonts w:ascii="Times New Roman" w:hAnsi="Times New Roman" w:cs="Times New Roman"/>
              <w:b/>
              <w:bCs/>
              <w:color w:val="231F20"/>
              <w:spacing w:val="-2"/>
            </w:rPr>
          </w:pPr>
        </w:p>
        <w:p w14:paraId="47EB6190" w14:textId="77777777" w:rsidR="009A7C8D" w:rsidRDefault="009A7C8D" w:rsidP="009A7C8D">
          <w:pPr>
            <w:pStyle w:val="BodyText"/>
            <w:spacing w:line="256" w:lineRule="auto"/>
            <w:ind w:right="1981"/>
            <w:rPr>
              <w:rFonts w:ascii="Times New Roman" w:hAnsi="Times New Roman" w:cs="Times New Roman"/>
              <w:b/>
              <w:bCs/>
              <w:color w:val="231F20"/>
              <w:spacing w:val="-2"/>
            </w:rPr>
          </w:pPr>
        </w:p>
        <w:p w14:paraId="2C0ABDF6" w14:textId="77777777" w:rsidR="009A7C8D" w:rsidRDefault="009A7C8D" w:rsidP="009A7C8D">
          <w:pPr>
            <w:pStyle w:val="BodyText"/>
            <w:spacing w:line="256" w:lineRule="auto"/>
            <w:ind w:right="1981"/>
          </w:pPr>
          <w:r>
            <w:rPr>
              <w:rFonts w:ascii="Times New Roman" w:hAnsi="Times New Roman" w:cs="Times New Roman"/>
              <w:color w:val="231F20"/>
              <w:spacing w:val="-2"/>
            </w:rPr>
            <w:t>Registered</w:t>
          </w:r>
          <w:r>
            <w:rPr>
              <w:rFonts w:ascii="Times New Roman" w:hAnsi="Times New Roman" w:cs="Times New Roman"/>
              <w:color w:val="231F20"/>
              <w:spacing w:val="-6"/>
            </w:rPr>
            <w:t xml:space="preserve"> </w:t>
          </w:r>
          <w:r>
            <w:rPr>
              <w:rFonts w:ascii="Times New Roman" w:hAnsi="Times New Roman" w:cs="Times New Roman"/>
              <w:color w:val="231F20"/>
              <w:spacing w:val="-2"/>
            </w:rPr>
            <w:t>in</w:t>
          </w:r>
          <w:r>
            <w:rPr>
              <w:rFonts w:ascii="Times New Roman" w:hAnsi="Times New Roman" w:cs="Times New Roman"/>
              <w:color w:val="231F20"/>
              <w:spacing w:val="-5"/>
            </w:rPr>
            <w:t xml:space="preserve"> </w:t>
          </w:r>
          <w:r>
            <w:rPr>
              <w:rFonts w:ascii="Times New Roman" w:hAnsi="Times New Roman" w:cs="Times New Roman"/>
              <w:color w:val="231F20"/>
              <w:spacing w:val="-2"/>
            </w:rPr>
            <w:t>England</w:t>
          </w:r>
          <w:r>
            <w:rPr>
              <w:rFonts w:ascii="Times New Roman" w:hAnsi="Times New Roman" w:cs="Times New Roman"/>
              <w:color w:val="231F20"/>
              <w:spacing w:val="-6"/>
            </w:rPr>
            <w:t xml:space="preserve"> </w:t>
          </w:r>
          <w:r>
            <w:rPr>
              <w:rFonts w:ascii="Times New Roman" w:hAnsi="Times New Roman" w:cs="Times New Roman"/>
              <w:color w:val="231F20"/>
              <w:spacing w:val="-2"/>
            </w:rPr>
            <w:t>and</w:t>
          </w:r>
          <w:r>
            <w:rPr>
              <w:rFonts w:ascii="Times New Roman" w:hAnsi="Times New Roman" w:cs="Times New Roman"/>
              <w:color w:val="231F20"/>
              <w:spacing w:val="-5"/>
            </w:rPr>
            <w:t xml:space="preserve"> </w:t>
          </w:r>
          <w:r>
            <w:rPr>
              <w:rFonts w:ascii="Times New Roman" w:hAnsi="Times New Roman" w:cs="Times New Roman"/>
              <w:color w:val="231F20"/>
              <w:spacing w:val="-2"/>
            </w:rPr>
            <w:t>Wales.</w:t>
          </w:r>
          <w:r>
            <w:rPr>
              <w:rFonts w:ascii="Times New Roman" w:hAnsi="Times New Roman" w:cs="Times New Roman"/>
              <w:color w:val="231F20"/>
              <w:spacing w:val="-6"/>
            </w:rPr>
            <w:t xml:space="preserve"> </w:t>
          </w:r>
          <w:r>
            <w:rPr>
              <w:rFonts w:ascii="Times New Roman" w:hAnsi="Times New Roman" w:cs="Times New Roman"/>
              <w:color w:val="231F20"/>
              <w:spacing w:val="-2"/>
            </w:rPr>
            <w:t>Registered</w:t>
          </w:r>
          <w:r>
            <w:rPr>
              <w:rFonts w:ascii="Times New Roman" w:hAnsi="Times New Roman" w:cs="Times New Roman"/>
              <w:color w:val="231F20"/>
              <w:spacing w:val="-5"/>
            </w:rPr>
            <w:t xml:space="preserve"> </w:t>
          </w:r>
          <w:r>
            <w:rPr>
              <w:rFonts w:ascii="Times New Roman" w:hAnsi="Times New Roman" w:cs="Times New Roman"/>
              <w:color w:val="231F20"/>
              <w:spacing w:val="-2"/>
            </w:rPr>
            <w:t>office:</w:t>
          </w:r>
          <w:r>
            <w:rPr>
              <w:rFonts w:ascii="Times New Roman" w:hAnsi="Times New Roman" w:cs="Times New Roman"/>
              <w:color w:val="231F20"/>
              <w:spacing w:val="-6"/>
            </w:rPr>
            <w:t xml:space="preserve"> </w:t>
          </w:r>
          <w:r>
            <w:rPr>
              <w:rFonts w:ascii="Times New Roman" w:hAnsi="Times New Roman" w:cs="Times New Roman"/>
              <w:color w:val="231F20"/>
              <w:spacing w:val="-2"/>
            </w:rPr>
            <w:t>HBF</w:t>
          </w:r>
          <w:r>
            <w:rPr>
              <w:rFonts w:ascii="Times New Roman" w:hAnsi="Times New Roman" w:cs="Times New Roman"/>
              <w:color w:val="231F20"/>
              <w:spacing w:val="-5"/>
            </w:rPr>
            <w:t xml:space="preserve"> </w:t>
          </w:r>
          <w:r>
            <w:rPr>
              <w:rFonts w:ascii="Times New Roman" w:hAnsi="Times New Roman" w:cs="Times New Roman"/>
              <w:color w:val="231F20"/>
              <w:spacing w:val="-2"/>
            </w:rPr>
            <w:t>House,</w:t>
          </w:r>
          <w:r>
            <w:rPr>
              <w:rFonts w:ascii="Times New Roman" w:hAnsi="Times New Roman" w:cs="Times New Roman"/>
              <w:color w:val="231F20"/>
              <w:spacing w:val="-6"/>
            </w:rPr>
            <w:t xml:space="preserve"> </w:t>
          </w:r>
          <w:r>
            <w:rPr>
              <w:rFonts w:ascii="Times New Roman" w:hAnsi="Times New Roman" w:cs="Times New Roman"/>
              <w:color w:val="231F20"/>
              <w:spacing w:val="-2"/>
            </w:rPr>
            <w:t>27</w:t>
          </w:r>
          <w:r>
            <w:rPr>
              <w:rFonts w:ascii="Times New Roman" w:hAnsi="Times New Roman" w:cs="Times New Roman"/>
              <w:color w:val="231F20"/>
              <w:spacing w:val="-5"/>
            </w:rPr>
            <w:t xml:space="preserve"> </w:t>
          </w:r>
          <w:r>
            <w:rPr>
              <w:rFonts w:ascii="Times New Roman" w:hAnsi="Times New Roman" w:cs="Times New Roman"/>
              <w:color w:val="231F20"/>
              <w:spacing w:val="-2"/>
            </w:rPr>
            <w:t>Broadwall,</w:t>
          </w:r>
          <w:r>
            <w:rPr>
              <w:rFonts w:ascii="Times New Roman" w:hAnsi="Times New Roman" w:cs="Times New Roman"/>
              <w:color w:val="231F20"/>
              <w:spacing w:val="-6"/>
            </w:rPr>
            <w:t xml:space="preserve"> </w:t>
          </w:r>
          <w:r>
            <w:rPr>
              <w:rFonts w:ascii="Times New Roman" w:hAnsi="Times New Roman" w:cs="Times New Roman"/>
              <w:color w:val="231F20"/>
              <w:spacing w:val="-2"/>
            </w:rPr>
            <w:t>London</w:t>
          </w:r>
          <w:r>
            <w:rPr>
              <w:rFonts w:ascii="Times New Roman" w:hAnsi="Times New Roman" w:cs="Times New Roman"/>
              <w:color w:val="231F20"/>
              <w:spacing w:val="-5"/>
            </w:rPr>
            <w:t xml:space="preserve"> </w:t>
          </w:r>
          <w:r>
            <w:rPr>
              <w:rFonts w:ascii="Times New Roman" w:hAnsi="Times New Roman" w:cs="Times New Roman"/>
              <w:color w:val="231F20"/>
              <w:spacing w:val="-2"/>
            </w:rPr>
            <w:t>SE1</w:t>
          </w:r>
          <w:r>
            <w:rPr>
              <w:rFonts w:ascii="Times New Roman" w:hAnsi="Times New Roman" w:cs="Times New Roman"/>
              <w:color w:val="231F20"/>
              <w:spacing w:val="-6"/>
            </w:rPr>
            <w:t xml:space="preserve"> </w:t>
          </w:r>
          <w:r>
            <w:rPr>
              <w:rFonts w:ascii="Times New Roman" w:hAnsi="Times New Roman" w:cs="Times New Roman"/>
              <w:color w:val="231F20"/>
              <w:spacing w:val="-2"/>
            </w:rPr>
            <w:t>9PL</w:t>
          </w:r>
          <w:r>
            <w:rPr>
              <w:rFonts w:ascii="Times New Roman" w:hAnsi="Times New Roman" w:cs="Times New Roman"/>
              <w:color w:val="231F20"/>
              <w:spacing w:val="40"/>
            </w:rPr>
            <w:t xml:space="preserve"> </w:t>
          </w:r>
          <w:r>
            <w:rPr>
              <w:rFonts w:ascii="Times New Roman" w:hAnsi="Times New Roman" w:cs="Times New Roman"/>
              <w:color w:val="231F20"/>
              <w:position w:val="2"/>
            </w:rPr>
            <w:t>Company</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Reg</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No.</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0276</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4757</w:t>
          </w:r>
          <w:r>
            <w:rPr>
              <w:rFonts w:ascii="Times New Roman" w:hAnsi="Times New Roman" w:cs="Times New Roman"/>
              <w:color w:val="231F20"/>
              <w:spacing w:val="-6"/>
              <w:position w:val="2"/>
            </w:rPr>
            <w:t xml:space="preserve"> </w:t>
          </w:r>
          <w:r>
            <w:rPr>
              <w:rFonts w:ascii="Times New Roman" w:hAnsi="Times New Roman" w:cs="Times New Roman"/>
              <w:color w:val="231F20"/>
              <w:w w:val="85"/>
              <w:position w:val="2"/>
            </w:rPr>
            <w:t>|</w:t>
          </w:r>
          <w:r>
            <w:rPr>
              <w:rFonts w:ascii="Times New Roman" w:hAnsi="Times New Roman" w:cs="Times New Roman"/>
              <w:color w:val="231F20"/>
              <w:spacing w:val="-1"/>
              <w:w w:val="85"/>
              <w:position w:val="2"/>
            </w:rPr>
            <w:t xml:space="preserve"> </w:t>
          </w:r>
          <w:r>
            <w:rPr>
              <w:rFonts w:ascii="Times New Roman" w:hAnsi="Times New Roman" w:cs="Times New Roman"/>
              <w:color w:val="231F20"/>
              <w:position w:val="2"/>
            </w:rPr>
            <w:t>Vat</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No.</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882</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6294</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86</w:t>
          </w:r>
          <w:r>
            <w:rPr>
              <w:rFonts w:ascii="Times New Roman" w:hAnsi="Times New Roman" w:cs="Times New Roman"/>
              <w:color w:val="231F20"/>
              <w:spacing w:val="-6"/>
              <w:position w:val="2"/>
            </w:rPr>
            <w:t xml:space="preserve"> </w:t>
          </w:r>
          <w:r>
            <w:rPr>
              <w:rFonts w:ascii="Times New Roman" w:hAnsi="Times New Roman" w:cs="Times New Roman"/>
              <w:color w:val="231F20"/>
              <w:w w:val="85"/>
              <w:position w:val="2"/>
            </w:rPr>
            <w:t>|</w:t>
          </w:r>
          <w:r>
            <w:rPr>
              <w:rFonts w:ascii="Times New Roman" w:hAnsi="Times New Roman" w:cs="Times New Roman"/>
              <w:color w:val="231F20"/>
              <w:spacing w:val="-1"/>
              <w:w w:val="85"/>
              <w:position w:val="2"/>
            </w:rPr>
            <w:t xml:space="preserve"> </w:t>
          </w:r>
          <w:r>
            <w:rPr>
              <w:rFonts w:ascii="Times New Roman" w:hAnsi="Times New Roman" w:cs="Times New Roman"/>
              <w:color w:val="231F20"/>
              <w:position w:val="2"/>
            </w:rPr>
            <w:t>Printed</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on</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recycled</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paper</w:t>
          </w:r>
          <w:r>
            <w:rPr>
              <w:rFonts w:ascii="Times New Roman" w:hAnsi="Times New Roman" w:cs="Times New Roman"/>
              <w:color w:val="231F20"/>
              <w:spacing w:val="-6"/>
              <w:position w:val="2"/>
            </w:rPr>
            <w:t xml:space="preserve"> </w:t>
          </w:r>
          <w:r>
            <w:rPr>
              <w:rFonts w:ascii="Times New Roman" w:hAnsi="Times New Roman" w:cs="Times New Roman"/>
              <w:b/>
              <w:bCs/>
              <w:noProof/>
              <w:color w:val="231F20"/>
              <w:spacing w:val="-3"/>
            </w:rPr>
            <w:drawing>
              <wp:inline distT="0" distB="0" distL="0" distR="0" wp14:anchorId="30B2A5A1" wp14:editId="5088D5E6">
                <wp:extent cx="67400" cy="64236"/>
                <wp:effectExtent l="0" t="0" r="8800" b="0"/>
                <wp:docPr id="1821559260" name="Imag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7400" cy="64236"/>
                        </a:xfrm>
                        <a:prstGeom prst="rect">
                          <a:avLst/>
                        </a:prstGeom>
                        <a:noFill/>
                        <a:ln>
                          <a:noFill/>
                          <a:prstDash/>
                        </a:ln>
                      </pic:spPr>
                    </pic:pic>
                  </a:graphicData>
                </a:graphic>
              </wp:inline>
            </w:drawing>
          </w:r>
        </w:p>
        <w:p w14:paraId="33264861" w14:textId="77777777" w:rsidR="009A7C8D" w:rsidRDefault="009A7C8D" w:rsidP="009A7C8D">
          <w:pPr>
            <w:spacing w:before="18"/>
            <w:rPr>
              <w:rFonts w:ascii="Times New Roman" w:hAnsi="Times New Roman" w:cs="Times New Roman"/>
              <w:b/>
              <w:bCs/>
              <w:color w:val="231F20"/>
              <w:spacing w:val="-2"/>
              <w:sz w:val="18"/>
            </w:rPr>
          </w:pPr>
        </w:p>
      </w:tc>
    </w:tr>
  </w:tbl>
  <w:p w14:paraId="4B9F6196" w14:textId="77777777" w:rsidR="00A80AB2" w:rsidRDefault="00A8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66FF7" w14:textId="77777777" w:rsidR="00581780" w:rsidRDefault="00581780">
      <w:r>
        <w:rPr>
          <w:color w:val="000000"/>
        </w:rPr>
        <w:separator/>
      </w:r>
    </w:p>
  </w:footnote>
  <w:footnote w:type="continuationSeparator" w:id="0">
    <w:p w14:paraId="4EBE692D" w14:textId="77777777" w:rsidR="00581780" w:rsidRDefault="00581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7CFD" w14:textId="7128A88E" w:rsidR="00A80AB2" w:rsidRDefault="009A7C8D">
    <w:pPr>
      <w:pStyle w:val="Header"/>
    </w:pPr>
    <w:r>
      <w:rPr>
        <w:noProof/>
      </w:rPr>
      <w:drawing>
        <wp:anchor distT="0" distB="0" distL="114300" distR="114300" simplePos="0" relativeHeight="251658240" behindDoc="0" locked="0" layoutInCell="1" allowOverlap="1" wp14:anchorId="3FD7467F" wp14:editId="506C53E4">
          <wp:simplePos x="0" y="0"/>
          <wp:positionH relativeFrom="column">
            <wp:posOffset>4572000</wp:posOffset>
          </wp:positionH>
          <wp:positionV relativeFrom="paragraph">
            <wp:posOffset>561975</wp:posOffset>
          </wp:positionV>
          <wp:extent cx="2019873" cy="516142"/>
          <wp:effectExtent l="0" t="0" r="0" b="0"/>
          <wp:wrapNone/>
          <wp:docPr id="1674277883" name="Picture 2"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19873" cy="516142"/>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B924F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8E7E0BC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4A0849C3"/>
    <w:multiLevelType w:val="hybridMultilevel"/>
    <w:tmpl w:val="175E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F00AF3"/>
    <w:multiLevelType w:val="hybridMultilevel"/>
    <w:tmpl w:val="005C284C"/>
    <w:lvl w:ilvl="0" w:tplc="7D5472C2">
      <w:start w:val="1"/>
      <w:numFmt w:val="decimal"/>
      <w:lvlText w:val="%1."/>
      <w:lvlJc w:val="left"/>
      <w:pPr>
        <w:ind w:left="720" w:hanging="360"/>
      </w:pPr>
      <w:rPr>
        <w:b w:val="0"/>
        <w:bCs/>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E87FCD"/>
    <w:multiLevelType w:val="hybridMultilevel"/>
    <w:tmpl w:val="0C849BB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83758027">
    <w:abstractNumId w:val="3"/>
  </w:num>
  <w:num w:numId="2" w16cid:durableId="12358166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06457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4969943">
    <w:abstractNumId w:val="0"/>
  </w:num>
  <w:num w:numId="5" w16cid:durableId="363479496">
    <w:abstractNumId w:val="2"/>
  </w:num>
  <w:num w:numId="6" w16cid:durableId="1295408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5C3"/>
    <w:rsid w:val="00001F13"/>
    <w:rsid w:val="00002BC9"/>
    <w:rsid w:val="00015C05"/>
    <w:rsid w:val="0001624A"/>
    <w:rsid w:val="0002520B"/>
    <w:rsid w:val="00036515"/>
    <w:rsid w:val="00044843"/>
    <w:rsid w:val="000466F7"/>
    <w:rsid w:val="000513C3"/>
    <w:rsid w:val="00061FE8"/>
    <w:rsid w:val="00067F7D"/>
    <w:rsid w:val="00070733"/>
    <w:rsid w:val="000735A1"/>
    <w:rsid w:val="00084E6E"/>
    <w:rsid w:val="000860E1"/>
    <w:rsid w:val="0008676B"/>
    <w:rsid w:val="000871D3"/>
    <w:rsid w:val="00092EAC"/>
    <w:rsid w:val="000931C8"/>
    <w:rsid w:val="00093514"/>
    <w:rsid w:val="000939FE"/>
    <w:rsid w:val="00093EC4"/>
    <w:rsid w:val="000943F9"/>
    <w:rsid w:val="000952DA"/>
    <w:rsid w:val="0009635E"/>
    <w:rsid w:val="00096E4E"/>
    <w:rsid w:val="00097032"/>
    <w:rsid w:val="00097571"/>
    <w:rsid w:val="000A0901"/>
    <w:rsid w:val="000A22A6"/>
    <w:rsid w:val="000A2B9A"/>
    <w:rsid w:val="000D68D6"/>
    <w:rsid w:val="000D78C0"/>
    <w:rsid w:val="000D7947"/>
    <w:rsid w:val="000D7ACE"/>
    <w:rsid w:val="000F1D43"/>
    <w:rsid w:val="00100123"/>
    <w:rsid w:val="00101996"/>
    <w:rsid w:val="00102BBA"/>
    <w:rsid w:val="00104644"/>
    <w:rsid w:val="001107ED"/>
    <w:rsid w:val="00111C9A"/>
    <w:rsid w:val="001132DA"/>
    <w:rsid w:val="0011389E"/>
    <w:rsid w:val="00124240"/>
    <w:rsid w:val="00124D1A"/>
    <w:rsid w:val="00125AC4"/>
    <w:rsid w:val="00125B09"/>
    <w:rsid w:val="001316EF"/>
    <w:rsid w:val="0013173A"/>
    <w:rsid w:val="0013699E"/>
    <w:rsid w:val="00140BB9"/>
    <w:rsid w:val="0014330D"/>
    <w:rsid w:val="00150FD3"/>
    <w:rsid w:val="001522B9"/>
    <w:rsid w:val="001529B6"/>
    <w:rsid w:val="001548E0"/>
    <w:rsid w:val="00157532"/>
    <w:rsid w:val="00164B61"/>
    <w:rsid w:val="00165788"/>
    <w:rsid w:val="00173800"/>
    <w:rsid w:val="0017486D"/>
    <w:rsid w:val="00183B68"/>
    <w:rsid w:val="001852E4"/>
    <w:rsid w:val="00185387"/>
    <w:rsid w:val="00191080"/>
    <w:rsid w:val="00191708"/>
    <w:rsid w:val="001961A6"/>
    <w:rsid w:val="001A17C7"/>
    <w:rsid w:val="001A2F5A"/>
    <w:rsid w:val="001A5219"/>
    <w:rsid w:val="001A5AEB"/>
    <w:rsid w:val="001B3C1B"/>
    <w:rsid w:val="001B5D40"/>
    <w:rsid w:val="001C2AF0"/>
    <w:rsid w:val="001C2DB2"/>
    <w:rsid w:val="001C707A"/>
    <w:rsid w:val="001D0751"/>
    <w:rsid w:val="001D40A4"/>
    <w:rsid w:val="001D41E2"/>
    <w:rsid w:val="001E0F5A"/>
    <w:rsid w:val="001E16B7"/>
    <w:rsid w:val="001E244B"/>
    <w:rsid w:val="001E3C70"/>
    <w:rsid w:val="001E6D14"/>
    <w:rsid w:val="001F3620"/>
    <w:rsid w:val="001F6025"/>
    <w:rsid w:val="001F6D37"/>
    <w:rsid w:val="00206E17"/>
    <w:rsid w:val="00212A2D"/>
    <w:rsid w:val="00214E86"/>
    <w:rsid w:val="00215C07"/>
    <w:rsid w:val="00215CFD"/>
    <w:rsid w:val="00224BA5"/>
    <w:rsid w:val="00225D0B"/>
    <w:rsid w:val="0022697B"/>
    <w:rsid w:val="00233228"/>
    <w:rsid w:val="002367C5"/>
    <w:rsid w:val="00240B5D"/>
    <w:rsid w:val="0024133C"/>
    <w:rsid w:val="0024276C"/>
    <w:rsid w:val="00243BE2"/>
    <w:rsid w:val="002510FA"/>
    <w:rsid w:val="00252738"/>
    <w:rsid w:val="00253E99"/>
    <w:rsid w:val="002548A4"/>
    <w:rsid w:val="0026195D"/>
    <w:rsid w:val="00262A21"/>
    <w:rsid w:val="00262EC1"/>
    <w:rsid w:val="00263C3D"/>
    <w:rsid w:val="00264D9D"/>
    <w:rsid w:val="002662DD"/>
    <w:rsid w:val="00270CD1"/>
    <w:rsid w:val="00271B2A"/>
    <w:rsid w:val="002733FA"/>
    <w:rsid w:val="002755D0"/>
    <w:rsid w:val="002825AF"/>
    <w:rsid w:val="0028345D"/>
    <w:rsid w:val="00283C23"/>
    <w:rsid w:val="00291248"/>
    <w:rsid w:val="00295CC2"/>
    <w:rsid w:val="002A0174"/>
    <w:rsid w:val="002A18AF"/>
    <w:rsid w:val="002A3400"/>
    <w:rsid w:val="002A343A"/>
    <w:rsid w:val="002A3CD7"/>
    <w:rsid w:val="002A67BD"/>
    <w:rsid w:val="002B1A2B"/>
    <w:rsid w:val="002B2A77"/>
    <w:rsid w:val="002B66E6"/>
    <w:rsid w:val="002B748C"/>
    <w:rsid w:val="002B75D5"/>
    <w:rsid w:val="002D0029"/>
    <w:rsid w:val="002D2604"/>
    <w:rsid w:val="002D3175"/>
    <w:rsid w:val="002D3865"/>
    <w:rsid w:val="002D4BD5"/>
    <w:rsid w:val="002E4409"/>
    <w:rsid w:val="002F4BBE"/>
    <w:rsid w:val="003003F3"/>
    <w:rsid w:val="0030062E"/>
    <w:rsid w:val="00301A5C"/>
    <w:rsid w:val="00306839"/>
    <w:rsid w:val="0032050C"/>
    <w:rsid w:val="003205C3"/>
    <w:rsid w:val="003206DA"/>
    <w:rsid w:val="00320D5E"/>
    <w:rsid w:val="0032688E"/>
    <w:rsid w:val="00335FD4"/>
    <w:rsid w:val="003408D8"/>
    <w:rsid w:val="00344FF0"/>
    <w:rsid w:val="00350281"/>
    <w:rsid w:val="0035327E"/>
    <w:rsid w:val="003550F8"/>
    <w:rsid w:val="00356B18"/>
    <w:rsid w:val="0036102D"/>
    <w:rsid w:val="003637C2"/>
    <w:rsid w:val="00364683"/>
    <w:rsid w:val="003705D3"/>
    <w:rsid w:val="00371BC4"/>
    <w:rsid w:val="00374034"/>
    <w:rsid w:val="00374BC3"/>
    <w:rsid w:val="00375C19"/>
    <w:rsid w:val="003765AA"/>
    <w:rsid w:val="00376B6D"/>
    <w:rsid w:val="003772C4"/>
    <w:rsid w:val="00380DE1"/>
    <w:rsid w:val="00381C3F"/>
    <w:rsid w:val="0038573F"/>
    <w:rsid w:val="00393D94"/>
    <w:rsid w:val="00395676"/>
    <w:rsid w:val="0039723E"/>
    <w:rsid w:val="003A62F6"/>
    <w:rsid w:val="003B0452"/>
    <w:rsid w:val="003B2B38"/>
    <w:rsid w:val="003B7B26"/>
    <w:rsid w:val="003C55FC"/>
    <w:rsid w:val="003C65DD"/>
    <w:rsid w:val="003D033B"/>
    <w:rsid w:val="003D3234"/>
    <w:rsid w:val="003D39FD"/>
    <w:rsid w:val="003E272D"/>
    <w:rsid w:val="003F200A"/>
    <w:rsid w:val="003F45B4"/>
    <w:rsid w:val="0040618B"/>
    <w:rsid w:val="00412FE9"/>
    <w:rsid w:val="0041673F"/>
    <w:rsid w:val="00416C5D"/>
    <w:rsid w:val="00416FEA"/>
    <w:rsid w:val="00421393"/>
    <w:rsid w:val="00426728"/>
    <w:rsid w:val="0042715D"/>
    <w:rsid w:val="00440022"/>
    <w:rsid w:val="00440068"/>
    <w:rsid w:val="00440A7C"/>
    <w:rsid w:val="00442383"/>
    <w:rsid w:val="00442C19"/>
    <w:rsid w:val="004437A0"/>
    <w:rsid w:val="00443C1F"/>
    <w:rsid w:val="004452DC"/>
    <w:rsid w:val="00445674"/>
    <w:rsid w:val="00445795"/>
    <w:rsid w:val="00446B33"/>
    <w:rsid w:val="00447E17"/>
    <w:rsid w:val="00451CAF"/>
    <w:rsid w:val="00453CEA"/>
    <w:rsid w:val="00455AEE"/>
    <w:rsid w:val="004612EA"/>
    <w:rsid w:val="00463D86"/>
    <w:rsid w:val="00470C16"/>
    <w:rsid w:val="004862D6"/>
    <w:rsid w:val="00493BF7"/>
    <w:rsid w:val="004B3B7B"/>
    <w:rsid w:val="004B6134"/>
    <w:rsid w:val="004C5026"/>
    <w:rsid w:val="004C6B6A"/>
    <w:rsid w:val="004D2CD4"/>
    <w:rsid w:val="004D4D1F"/>
    <w:rsid w:val="004E4A0C"/>
    <w:rsid w:val="004F4839"/>
    <w:rsid w:val="004F5F2B"/>
    <w:rsid w:val="005066C0"/>
    <w:rsid w:val="00506791"/>
    <w:rsid w:val="00510965"/>
    <w:rsid w:val="00514E38"/>
    <w:rsid w:val="0051526E"/>
    <w:rsid w:val="005228C0"/>
    <w:rsid w:val="005275B3"/>
    <w:rsid w:val="0053083C"/>
    <w:rsid w:val="00541781"/>
    <w:rsid w:val="00542711"/>
    <w:rsid w:val="00543DDD"/>
    <w:rsid w:val="00555FAC"/>
    <w:rsid w:val="005617B6"/>
    <w:rsid w:val="00564578"/>
    <w:rsid w:val="00565A7C"/>
    <w:rsid w:val="00570493"/>
    <w:rsid w:val="00574EEF"/>
    <w:rsid w:val="005766F8"/>
    <w:rsid w:val="00580561"/>
    <w:rsid w:val="00581780"/>
    <w:rsid w:val="005862DC"/>
    <w:rsid w:val="005869DF"/>
    <w:rsid w:val="00586AEF"/>
    <w:rsid w:val="00591CF5"/>
    <w:rsid w:val="00592656"/>
    <w:rsid w:val="00594584"/>
    <w:rsid w:val="005A06E8"/>
    <w:rsid w:val="005A2049"/>
    <w:rsid w:val="005A2427"/>
    <w:rsid w:val="005A55B0"/>
    <w:rsid w:val="005A6D36"/>
    <w:rsid w:val="005B4D60"/>
    <w:rsid w:val="005C20BF"/>
    <w:rsid w:val="005C35E4"/>
    <w:rsid w:val="005C52EF"/>
    <w:rsid w:val="005C5A52"/>
    <w:rsid w:val="005D4F43"/>
    <w:rsid w:val="005D714A"/>
    <w:rsid w:val="005E4EA2"/>
    <w:rsid w:val="005F1481"/>
    <w:rsid w:val="005F1B1C"/>
    <w:rsid w:val="005F6217"/>
    <w:rsid w:val="0060480D"/>
    <w:rsid w:val="00604E84"/>
    <w:rsid w:val="00606BC1"/>
    <w:rsid w:val="00606CF5"/>
    <w:rsid w:val="0061138F"/>
    <w:rsid w:val="00616813"/>
    <w:rsid w:val="00617F69"/>
    <w:rsid w:val="006222F3"/>
    <w:rsid w:val="00640037"/>
    <w:rsid w:val="006437D4"/>
    <w:rsid w:val="0065400E"/>
    <w:rsid w:val="006545A2"/>
    <w:rsid w:val="00655DDC"/>
    <w:rsid w:val="00670DE4"/>
    <w:rsid w:val="0067496D"/>
    <w:rsid w:val="006778E5"/>
    <w:rsid w:val="0068442F"/>
    <w:rsid w:val="00685183"/>
    <w:rsid w:val="00695BDB"/>
    <w:rsid w:val="006A13DE"/>
    <w:rsid w:val="006C5B3B"/>
    <w:rsid w:val="006D005E"/>
    <w:rsid w:val="006D32B5"/>
    <w:rsid w:val="006D4D2A"/>
    <w:rsid w:val="006D5C8A"/>
    <w:rsid w:val="006D6F70"/>
    <w:rsid w:val="006E0184"/>
    <w:rsid w:val="006E0A63"/>
    <w:rsid w:val="006E289E"/>
    <w:rsid w:val="006E3804"/>
    <w:rsid w:val="006E464A"/>
    <w:rsid w:val="006E78C7"/>
    <w:rsid w:val="006F06CB"/>
    <w:rsid w:val="006F1B6E"/>
    <w:rsid w:val="006F673C"/>
    <w:rsid w:val="006F728D"/>
    <w:rsid w:val="007004ED"/>
    <w:rsid w:val="00700F80"/>
    <w:rsid w:val="00716F84"/>
    <w:rsid w:val="007173F0"/>
    <w:rsid w:val="00720154"/>
    <w:rsid w:val="00722C6E"/>
    <w:rsid w:val="00726A39"/>
    <w:rsid w:val="00727759"/>
    <w:rsid w:val="00733AF9"/>
    <w:rsid w:val="007418AA"/>
    <w:rsid w:val="00755F75"/>
    <w:rsid w:val="00760158"/>
    <w:rsid w:val="00773D2F"/>
    <w:rsid w:val="00776B8C"/>
    <w:rsid w:val="00780603"/>
    <w:rsid w:val="00783A02"/>
    <w:rsid w:val="00790D14"/>
    <w:rsid w:val="00791222"/>
    <w:rsid w:val="007A0E0F"/>
    <w:rsid w:val="007A20DB"/>
    <w:rsid w:val="007A35AD"/>
    <w:rsid w:val="007A799C"/>
    <w:rsid w:val="007B46CA"/>
    <w:rsid w:val="007B7567"/>
    <w:rsid w:val="007C077B"/>
    <w:rsid w:val="007C0E3A"/>
    <w:rsid w:val="007C2AAD"/>
    <w:rsid w:val="007C313A"/>
    <w:rsid w:val="007C3796"/>
    <w:rsid w:val="007C4636"/>
    <w:rsid w:val="007C7F08"/>
    <w:rsid w:val="007E3DD6"/>
    <w:rsid w:val="007E5188"/>
    <w:rsid w:val="007E70B2"/>
    <w:rsid w:val="007F3F23"/>
    <w:rsid w:val="007F5438"/>
    <w:rsid w:val="007F5F87"/>
    <w:rsid w:val="007F72A8"/>
    <w:rsid w:val="00800066"/>
    <w:rsid w:val="00801B91"/>
    <w:rsid w:val="0080347E"/>
    <w:rsid w:val="00815A33"/>
    <w:rsid w:val="00826DBE"/>
    <w:rsid w:val="00836D1E"/>
    <w:rsid w:val="00837A76"/>
    <w:rsid w:val="00842738"/>
    <w:rsid w:val="00844069"/>
    <w:rsid w:val="00844DA2"/>
    <w:rsid w:val="008464BA"/>
    <w:rsid w:val="00851432"/>
    <w:rsid w:val="00862594"/>
    <w:rsid w:val="00862ACD"/>
    <w:rsid w:val="00871343"/>
    <w:rsid w:val="008713C4"/>
    <w:rsid w:val="0087228A"/>
    <w:rsid w:val="00872E09"/>
    <w:rsid w:val="008751A1"/>
    <w:rsid w:val="00875664"/>
    <w:rsid w:val="00877E34"/>
    <w:rsid w:val="0088231C"/>
    <w:rsid w:val="00890238"/>
    <w:rsid w:val="00892E35"/>
    <w:rsid w:val="008A2D9F"/>
    <w:rsid w:val="008A4413"/>
    <w:rsid w:val="008B449E"/>
    <w:rsid w:val="008B6A02"/>
    <w:rsid w:val="008C0CCB"/>
    <w:rsid w:val="008C2887"/>
    <w:rsid w:val="008D2ABC"/>
    <w:rsid w:val="008E011E"/>
    <w:rsid w:val="008E050B"/>
    <w:rsid w:val="008E3911"/>
    <w:rsid w:val="008E4483"/>
    <w:rsid w:val="008E700C"/>
    <w:rsid w:val="008E7AD1"/>
    <w:rsid w:val="008F137C"/>
    <w:rsid w:val="008F1CEF"/>
    <w:rsid w:val="008F311C"/>
    <w:rsid w:val="008F5EB1"/>
    <w:rsid w:val="00904F0A"/>
    <w:rsid w:val="009053AA"/>
    <w:rsid w:val="009102F0"/>
    <w:rsid w:val="00915382"/>
    <w:rsid w:val="009157C3"/>
    <w:rsid w:val="0092017A"/>
    <w:rsid w:val="009237EA"/>
    <w:rsid w:val="00934C37"/>
    <w:rsid w:val="009368DD"/>
    <w:rsid w:val="00937E97"/>
    <w:rsid w:val="00937F0E"/>
    <w:rsid w:val="00945305"/>
    <w:rsid w:val="00951CF8"/>
    <w:rsid w:val="00962275"/>
    <w:rsid w:val="00962BAF"/>
    <w:rsid w:val="009644D3"/>
    <w:rsid w:val="00966B7F"/>
    <w:rsid w:val="00982693"/>
    <w:rsid w:val="00986E26"/>
    <w:rsid w:val="00994C87"/>
    <w:rsid w:val="009955E8"/>
    <w:rsid w:val="00995A89"/>
    <w:rsid w:val="0099783C"/>
    <w:rsid w:val="009A34D7"/>
    <w:rsid w:val="009A6F6C"/>
    <w:rsid w:val="009A7C8D"/>
    <w:rsid w:val="009B5206"/>
    <w:rsid w:val="009B52B4"/>
    <w:rsid w:val="009C0F13"/>
    <w:rsid w:val="009C4595"/>
    <w:rsid w:val="009D23E7"/>
    <w:rsid w:val="009D6071"/>
    <w:rsid w:val="009D7090"/>
    <w:rsid w:val="009E14AD"/>
    <w:rsid w:val="009E2E5D"/>
    <w:rsid w:val="009E4889"/>
    <w:rsid w:val="009E5AE8"/>
    <w:rsid w:val="009F120C"/>
    <w:rsid w:val="009F2719"/>
    <w:rsid w:val="009F27B2"/>
    <w:rsid w:val="009F2E52"/>
    <w:rsid w:val="009F692A"/>
    <w:rsid w:val="009F7266"/>
    <w:rsid w:val="009F79B7"/>
    <w:rsid w:val="00A07C87"/>
    <w:rsid w:val="00A123F8"/>
    <w:rsid w:val="00A13FD0"/>
    <w:rsid w:val="00A157B3"/>
    <w:rsid w:val="00A170B1"/>
    <w:rsid w:val="00A177E8"/>
    <w:rsid w:val="00A255B9"/>
    <w:rsid w:val="00A2616C"/>
    <w:rsid w:val="00A267AF"/>
    <w:rsid w:val="00A30521"/>
    <w:rsid w:val="00A32014"/>
    <w:rsid w:val="00A32C9D"/>
    <w:rsid w:val="00A36116"/>
    <w:rsid w:val="00A42764"/>
    <w:rsid w:val="00A46196"/>
    <w:rsid w:val="00A47B30"/>
    <w:rsid w:val="00A53879"/>
    <w:rsid w:val="00A54104"/>
    <w:rsid w:val="00A55983"/>
    <w:rsid w:val="00A72247"/>
    <w:rsid w:val="00A74A5F"/>
    <w:rsid w:val="00A74AAB"/>
    <w:rsid w:val="00A77B3B"/>
    <w:rsid w:val="00A80AB2"/>
    <w:rsid w:val="00A84ADF"/>
    <w:rsid w:val="00A870BB"/>
    <w:rsid w:val="00A90C17"/>
    <w:rsid w:val="00A96932"/>
    <w:rsid w:val="00AA30DC"/>
    <w:rsid w:val="00AB1581"/>
    <w:rsid w:val="00AB2166"/>
    <w:rsid w:val="00AB57B9"/>
    <w:rsid w:val="00AC0849"/>
    <w:rsid w:val="00AC158B"/>
    <w:rsid w:val="00AC6A5A"/>
    <w:rsid w:val="00AC7F42"/>
    <w:rsid w:val="00AD14DE"/>
    <w:rsid w:val="00AD258B"/>
    <w:rsid w:val="00AD264B"/>
    <w:rsid w:val="00AF25BF"/>
    <w:rsid w:val="00AF39B5"/>
    <w:rsid w:val="00AF491A"/>
    <w:rsid w:val="00AF4E69"/>
    <w:rsid w:val="00AF63C6"/>
    <w:rsid w:val="00B12C7F"/>
    <w:rsid w:val="00B16C3D"/>
    <w:rsid w:val="00B20E43"/>
    <w:rsid w:val="00B2336F"/>
    <w:rsid w:val="00B2626E"/>
    <w:rsid w:val="00B37FEF"/>
    <w:rsid w:val="00B41360"/>
    <w:rsid w:val="00B5361F"/>
    <w:rsid w:val="00B577C5"/>
    <w:rsid w:val="00B57B41"/>
    <w:rsid w:val="00B627BF"/>
    <w:rsid w:val="00B629C2"/>
    <w:rsid w:val="00B6550D"/>
    <w:rsid w:val="00B6592E"/>
    <w:rsid w:val="00B671B0"/>
    <w:rsid w:val="00B736BC"/>
    <w:rsid w:val="00B737EB"/>
    <w:rsid w:val="00B927CB"/>
    <w:rsid w:val="00B93060"/>
    <w:rsid w:val="00B9326F"/>
    <w:rsid w:val="00B977E6"/>
    <w:rsid w:val="00BA1699"/>
    <w:rsid w:val="00BA5C99"/>
    <w:rsid w:val="00BA6E5F"/>
    <w:rsid w:val="00BB1F14"/>
    <w:rsid w:val="00BC7328"/>
    <w:rsid w:val="00BD7414"/>
    <w:rsid w:val="00BD7B19"/>
    <w:rsid w:val="00BE305C"/>
    <w:rsid w:val="00BF0D89"/>
    <w:rsid w:val="00BF203F"/>
    <w:rsid w:val="00BF72E5"/>
    <w:rsid w:val="00BF7531"/>
    <w:rsid w:val="00C029B6"/>
    <w:rsid w:val="00C03B08"/>
    <w:rsid w:val="00C0583C"/>
    <w:rsid w:val="00C06F26"/>
    <w:rsid w:val="00C11130"/>
    <w:rsid w:val="00C11495"/>
    <w:rsid w:val="00C13363"/>
    <w:rsid w:val="00C17C4D"/>
    <w:rsid w:val="00C204D2"/>
    <w:rsid w:val="00C21CC0"/>
    <w:rsid w:val="00C262DB"/>
    <w:rsid w:val="00C26455"/>
    <w:rsid w:val="00C26822"/>
    <w:rsid w:val="00C304DC"/>
    <w:rsid w:val="00C31E08"/>
    <w:rsid w:val="00C40041"/>
    <w:rsid w:val="00C411E9"/>
    <w:rsid w:val="00C44008"/>
    <w:rsid w:val="00C527F6"/>
    <w:rsid w:val="00C642B3"/>
    <w:rsid w:val="00C70A44"/>
    <w:rsid w:val="00C76096"/>
    <w:rsid w:val="00C82469"/>
    <w:rsid w:val="00CA538B"/>
    <w:rsid w:val="00CA6916"/>
    <w:rsid w:val="00CB0239"/>
    <w:rsid w:val="00CC0C63"/>
    <w:rsid w:val="00CC6FEF"/>
    <w:rsid w:val="00CC7014"/>
    <w:rsid w:val="00CC7843"/>
    <w:rsid w:val="00CD1E9D"/>
    <w:rsid w:val="00CD6D55"/>
    <w:rsid w:val="00CE6266"/>
    <w:rsid w:val="00CE6488"/>
    <w:rsid w:val="00D1184E"/>
    <w:rsid w:val="00D1203E"/>
    <w:rsid w:val="00D16DC2"/>
    <w:rsid w:val="00D201F9"/>
    <w:rsid w:val="00D26CF0"/>
    <w:rsid w:val="00D3677D"/>
    <w:rsid w:val="00D37E68"/>
    <w:rsid w:val="00D41C13"/>
    <w:rsid w:val="00D43547"/>
    <w:rsid w:val="00D5162F"/>
    <w:rsid w:val="00D54B77"/>
    <w:rsid w:val="00D5637E"/>
    <w:rsid w:val="00D56E96"/>
    <w:rsid w:val="00D6466D"/>
    <w:rsid w:val="00D646EC"/>
    <w:rsid w:val="00D67768"/>
    <w:rsid w:val="00D72788"/>
    <w:rsid w:val="00DA02C6"/>
    <w:rsid w:val="00DA0E1C"/>
    <w:rsid w:val="00DA3ECB"/>
    <w:rsid w:val="00DA7B86"/>
    <w:rsid w:val="00DB13EE"/>
    <w:rsid w:val="00DB2A59"/>
    <w:rsid w:val="00DB6A28"/>
    <w:rsid w:val="00DC2DC4"/>
    <w:rsid w:val="00DC4664"/>
    <w:rsid w:val="00DD2257"/>
    <w:rsid w:val="00DD7405"/>
    <w:rsid w:val="00DE00C5"/>
    <w:rsid w:val="00DE1019"/>
    <w:rsid w:val="00DE18E1"/>
    <w:rsid w:val="00DE2153"/>
    <w:rsid w:val="00DF365E"/>
    <w:rsid w:val="00DF4CD8"/>
    <w:rsid w:val="00DF774C"/>
    <w:rsid w:val="00E04906"/>
    <w:rsid w:val="00E04D49"/>
    <w:rsid w:val="00E10AAD"/>
    <w:rsid w:val="00E10E40"/>
    <w:rsid w:val="00E13438"/>
    <w:rsid w:val="00E136A8"/>
    <w:rsid w:val="00E2222C"/>
    <w:rsid w:val="00E261DF"/>
    <w:rsid w:val="00E27CA7"/>
    <w:rsid w:val="00E30490"/>
    <w:rsid w:val="00E32C9B"/>
    <w:rsid w:val="00E34C3A"/>
    <w:rsid w:val="00E47D2D"/>
    <w:rsid w:val="00E51106"/>
    <w:rsid w:val="00E539DA"/>
    <w:rsid w:val="00E5743B"/>
    <w:rsid w:val="00E62350"/>
    <w:rsid w:val="00E62FF0"/>
    <w:rsid w:val="00E631E5"/>
    <w:rsid w:val="00E64C62"/>
    <w:rsid w:val="00E67F27"/>
    <w:rsid w:val="00E725CC"/>
    <w:rsid w:val="00E74D9C"/>
    <w:rsid w:val="00E76BE0"/>
    <w:rsid w:val="00E80B4A"/>
    <w:rsid w:val="00E81827"/>
    <w:rsid w:val="00E968DA"/>
    <w:rsid w:val="00EA227E"/>
    <w:rsid w:val="00EA4F05"/>
    <w:rsid w:val="00EB1EB0"/>
    <w:rsid w:val="00EB2F38"/>
    <w:rsid w:val="00EB33CC"/>
    <w:rsid w:val="00EB6DBD"/>
    <w:rsid w:val="00EC57F3"/>
    <w:rsid w:val="00EC612D"/>
    <w:rsid w:val="00EC7939"/>
    <w:rsid w:val="00EC7EAC"/>
    <w:rsid w:val="00ED2172"/>
    <w:rsid w:val="00EE2E2E"/>
    <w:rsid w:val="00EE3FF6"/>
    <w:rsid w:val="00EF27BB"/>
    <w:rsid w:val="00EF310F"/>
    <w:rsid w:val="00F0430A"/>
    <w:rsid w:val="00F04D82"/>
    <w:rsid w:val="00F0761E"/>
    <w:rsid w:val="00F11251"/>
    <w:rsid w:val="00F14908"/>
    <w:rsid w:val="00F17436"/>
    <w:rsid w:val="00F416E7"/>
    <w:rsid w:val="00F502AE"/>
    <w:rsid w:val="00F522E8"/>
    <w:rsid w:val="00F542C0"/>
    <w:rsid w:val="00F60064"/>
    <w:rsid w:val="00F61EA8"/>
    <w:rsid w:val="00F66B68"/>
    <w:rsid w:val="00F70354"/>
    <w:rsid w:val="00F72E32"/>
    <w:rsid w:val="00F769EA"/>
    <w:rsid w:val="00F804D6"/>
    <w:rsid w:val="00F80921"/>
    <w:rsid w:val="00F91567"/>
    <w:rsid w:val="00F9753C"/>
    <w:rsid w:val="00F978C1"/>
    <w:rsid w:val="00FA6279"/>
    <w:rsid w:val="00FB0BF7"/>
    <w:rsid w:val="00FB2F24"/>
    <w:rsid w:val="00FB770B"/>
    <w:rsid w:val="00FC1221"/>
    <w:rsid w:val="00FC1FB5"/>
    <w:rsid w:val="00FC369C"/>
    <w:rsid w:val="00FC44D7"/>
    <w:rsid w:val="00FC57D3"/>
    <w:rsid w:val="00FD2C1C"/>
    <w:rsid w:val="00FD6208"/>
    <w:rsid w:val="00FE6BE2"/>
    <w:rsid w:val="00FE6EAE"/>
    <w:rsid w:val="00FF2B6C"/>
    <w:rsid w:val="00FF30B8"/>
    <w:rsid w:val="00FF4EBD"/>
    <w:rsid w:val="00FF5FCE"/>
    <w:rsid w:val="00FF7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3E21"/>
  <w15:docId w15:val="{3B05D03D-9AA3-45FE-A6C3-FB144C0D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C8D"/>
    <w:pPr>
      <w:suppressAutoHyphens/>
    </w:pPr>
    <w:rPr>
      <w:rFonts w:ascii="Palatino Linotype" w:eastAsia="Palatino Linotype" w:hAnsi="Palatino Linotype" w:cs="Palatino Linotype"/>
    </w:rPr>
  </w:style>
  <w:style w:type="paragraph" w:styleId="Heading3">
    <w:name w:val="heading 3"/>
    <w:basedOn w:val="Normal"/>
    <w:next w:val="Normal"/>
    <w:link w:val="Heading3Char"/>
    <w:qFormat/>
    <w:rsid w:val="0028345D"/>
    <w:pPr>
      <w:keepNext/>
      <w:widowControl/>
      <w:suppressAutoHyphens w:val="0"/>
      <w:autoSpaceDE/>
      <w:autoSpaceDN/>
      <w:outlineLvl w:val="2"/>
    </w:pPr>
    <w:rPr>
      <w:rFonts w:ascii="CG Omega" w:eastAsia="Times New Roman" w:hAnsi="CG Omega"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2"/>
      <w:szCs w:val="12"/>
    </w:rPr>
  </w:style>
  <w:style w:type="paragraph" w:styleId="Title">
    <w:name w:val="Title"/>
    <w:basedOn w:val="Normal"/>
    <w:uiPriority w:val="10"/>
    <w:qFormat/>
    <w:pPr>
      <w:spacing w:before="68"/>
      <w:ind w:left="1130"/>
    </w:pPr>
    <w:rPr>
      <w:rFonts w:ascii="Tahoma" w:eastAsia="Tahoma" w:hAnsi="Tahoma" w:cs="Tahoma"/>
      <w:b/>
      <w:bCs/>
      <w:sz w:val="18"/>
      <w:szCs w:val="18"/>
    </w:rPr>
  </w:style>
  <w:style w:type="paragraph" w:styleId="ListParagraph">
    <w:name w:val="List Paragraph"/>
    <w:basedOn w:val="Normal"/>
    <w:uiPriority w:val="34"/>
    <w:qFormat/>
  </w:style>
  <w:style w:type="paragraph" w:customStyle="1" w:styleId="TableParagraph">
    <w:name w:val="Table Paragraph"/>
    <w:basedOn w:val="Normal"/>
    <w:rPr>
      <w:rFonts w:ascii="Times New Roman" w:eastAsia="Times New Roman" w:hAnsi="Times New Roman" w:cs="Times New Roman"/>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Palatino Linotype" w:eastAsia="Palatino Linotype" w:hAnsi="Palatino Linotype" w:cs="Palatino Linotype"/>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Palatino Linotype" w:eastAsia="Palatino Linotype" w:hAnsi="Palatino Linotype" w:cs="Palatino Linotype"/>
    </w:rPr>
  </w:style>
  <w:style w:type="character" w:customStyle="1" w:styleId="BodyTextChar">
    <w:name w:val="Body Text Char"/>
    <w:basedOn w:val="DefaultParagraphFont"/>
    <w:rPr>
      <w:rFonts w:ascii="Palatino Linotype" w:eastAsia="Palatino Linotype" w:hAnsi="Palatino Linotype" w:cs="Palatino Linotype"/>
      <w:sz w:val="12"/>
      <w:szCs w:val="12"/>
    </w:rPr>
  </w:style>
  <w:style w:type="character" w:customStyle="1" w:styleId="TitleChar">
    <w:name w:val="Title Char"/>
    <w:basedOn w:val="DefaultParagraphFont"/>
    <w:uiPriority w:val="10"/>
    <w:rPr>
      <w:rFonts w:ascii="Tahoma" w:eastAsia="Tahoma" w:hAnsi="Tahoma" w:cs="Tahoma"/>
      <w:b/>
      <w:bCs/>
      <w:sz w:val="18"/>
      <w:szCs w:val="18"/>
    </w:rPr>
  </w:style>
  <w:style w:type="character" w:customStyle="1" w:styleId="Heading3Char">
    <w:name w:val="Heading 3 Char"/>
    <w:basedOn w:val="DefaultParagraphFont"/>
    <w:link w:val="Heading3"/>
    <w:rsid w:val="0028345D"/>
    <w:rPr>
      <w:rFonts w:ascii="CG Omega" w:eastAsia="Times New Roman" w:hAnsi="CG Omega" w:cs="Times New Roman"/>
      <w:b/>
      <w:sz w:val="24"/>
      <w:szCs w:val="20"/>
      <w:lang w:val="en-GB"/>
    </w:rPr>
  </w:style>
  <w:style w:type="character" w:styleId="Hyperlink">
    <w:name w:val="Hyperlink"/>
    <w:basedOn w:val="DefaultParagraphFont"/>
    <w:uiPriority w:val="99"/>
    <w:unhideWhenUsed/>
    <w:rsid w:val="0028345D"/>
    <w:rPr>
      <w:color w:val="467886" w:themeColor="hyperlink"/>
      <w:u w:val="single"/>
    </w:rPr>
  </w:style>
  <w:style w:type="paragraph" w:styleId="ListBullet">
    <w:name w:val="List Bullet"/>
    <w:basedOn w:val="Normal"/>
    <w:uiPriority w:val="99"/>
    <w:unhideWhenUsed/>
    <w:rsid w:val="005A55B0"/>
    <w:pPr>
      <w:numPr>
        <w:numId w:val="6"/>
      </w:numPr>
      <w:contextualSpacing/>
    </w:pPr>
  </w:style>
  <w:style w:type="paragraph" w:styleId="FootnoteText">
    <w:name w:val="footnote text"/>
    <w:basedOn w:val="Normal"/>
    <w:link w:val="FootnoteTextChar"/>
    <w:uiPriority w:val="99"/>
    <w:semiHidden/>
    <w:unhideWhenUsed/>
    <w:rsid w:val="00F978C1"/>
    <w:rPr>
      <w:sz w:val="20"/>
      <w:szCs w:val="20"/>
    </w:rPr>
  </w:style>
  <w:style w:type="character" w:customStyle="1" w:styleId="FootnoteTextChar">
    <w:name w:val="Footnote Text Char"/>
    <w:basedOn w:val="DefaultParagraphFont"/>
    <w:link w:val="FootnoteText"/>
    <w:uiPriority w:val="99"/>
    <w:semiHidden/>
    <w:rsid w:val="00F978C1"/>
    <w:rPr>
      <w:rFonts w:ascii="Palatino Linotype" w:eastAsia="Palatino Linotype" w:hAnsi="Palatino Linotype" w:cs="Palatino Linotype"/>
      <w:sz w:val="20"/>
      <w:szCs w:val="20"/>
    </w:rPr>
  </w:style>
  <w:style w:type="character" w:styleId="FootnoteReference">
    <w:name w:val="footnote reference"/>
    <w:basedOn w:val="DefaultParagraphFont"/>
    <w:uiPriority w:val="99"/>
    <w:semiHidden/>
    <w:unhideWhenUsed/>
    <w:rsid w:val="00F978C1"/>
    <w:rPr>
      <w:vertAlign w:val="superscript"/>
    </w:rPr>
  </w:style>
  <w:style w:type="character" w:styleId="UnresolvedMention">
    <w:name w:val="Unresolved Mention"/>
    <w:basedOn w:val="DefaultParagraphFont"/>
    <w:uiPriority w:val="99"/>
    <w:semiHidden/>
    <w:unhideWhenUsed/>
    <w:rsid w:val="00F97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257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info@hbf.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2e5495-6889-451e-8447-25219879d4f2">
      <Terms xmlns="http://schemas.microsoft.com/office/infopath/2007/PartnerControls"/>
    </lcf76f155ced4ddcb4097134ff3c332f>
    <TaxCatchAll xmlns="98c4065d-ab90-4030-91ac-239e56608f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CEACC4E1CDCF488D376413A381FD22" ma:contentTypeVersion="19" ma:contentTypeDescription="Create a new document." ma:contentTypeScope="" ma:versionID="eaa070a7ccaa9c3973c608e2e51349ff">
  <xsd:schema xmlns:xsd="http://www.w3.org/2001/XMLSchema" xmlns:xs="http://www.w3.org/2001/XMLSchema" xmlns:p="http://schemas.microsoft.com/office/2006/metadata/properties" xmlns:ns2="382e5495-6889-451e-8447-25219879d4f2" xmlns:ns3="98c4065d-ab90-4030-91ac-239e56608fbb" targetNamespace="http://schemas.microsoft.com/office/2006/metadata/properties" ma:root="true" ma:fieldsID="8f2a6c3626e9a5f922790ed30f5754dd" ns2:_="" ns3:_="">
    <xsd:import namespace="382e5495-6889-451e-8447-25219879d4f2"/>
    <xsd:import namespace="98c4065d-ab90-4030-91ac-239e56608fb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e5495-6889-451e-8447-25219879d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48f749-fadf-4388-88e9-b8f5d78bb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4065d-ab90-4030-91ac-239e56608f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d3b124-f129-47eb-af8a-2eceb59fbcab}" ma:internalName="TaxCatchAll" ma:showField="CatchAllData" ma:web="98c4065d-ab90-4030-91ac-239e56608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6CD54-8697-499A-A9B3-EEE529F89003}">
  <ds:schemaRefs>
    <ds:schemaRef ds:uri="http://schemas.microsoft.com/sharepoint/v3/contenttype/forms"/>
  </ds:schemaRefs>
</ds:datastoreItem>
</file>

<file path=customXml/itemProps2.xml><?xml version="1.0" encoding="utf-8"?>
<ds:datastoreItem xmlns:ds="http://schemas.openxmlformats.org/officeDocument/2006/customXml" ds:itemID="{63DDE89C-30E4-432C-B0A0-4C03CB9082B7}">
  <ds:schemaRefs>
    <ds:schemaRef ds:uri="http://schemas.openxmlformats.org/officeDocument/2006/bibliography"/>
  </ds:schemaRefs>
</ds:datastoreItem>
</file>

<file path=customXml/itemProps3.xml><?xml version="1.0" encoding="utf-8"?>
<ds:datastoreItem xmlns:ds="http://schemas.openxmlformats.org/officeDocument/2006/customXml" ds:itemID="{50443463-5719-4AD6-972E-563CDF6B8828}">
  <ds:schemaRefs>
    <ds:schemaRef ds:uri="http://schemas.microsoft.com/office/2006/metadata/properties"/>
    <ds:schemaRef ds:uri="http://schemas.microsoft.com/office/infopath/2007/PartnerControls"/>
    <ds:schemaRef ds:uri="382e5495-6889-451e-8447-25219879d4f2"/>
    <ds:schemaRef ds:uri="98c4065d-ab90-4030-91ac-239e56608fbb"/>
  </ds:schemaRefs>
</ds:datastoreItem>
</file>

<file path=customXml/itemProps4.xml><?xml version="1.0" encoding="utf-8"?>
<ds:datastoreItem xmlns:ds="http://schemas.openxmlformats.org/officeDocument/2006/customXml" ds:itemID="{BF3E8DBB-DD2C-4849-8CDF-311E0AEBC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e5495-6889-451e-8447-25219879d4f2"/>
    <ds:schemaRef ds:uri="98c4065d-ab90-4030-91ac-239e56608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Pages>
  <Words>2208</Words>
  <Characters>10975</Characters>
  <Application>Microsoft Office Word</Application>
  <DocSecurity>0</DocSecurity>
  <Lines>156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 Calder</dc:creator>
  <cp:lastModifiedBy>Mark Behrendt</cp:lastModifiedBy>
  <cp:revision>145</cp:revision>
  <dcterms:created xsi:type="dcterms:W3CDTF">2025-12-16T10:37:00Z</dcterms:created>
  <dcterms:modified xsi:type="dcterms:W3CDTF">2025-12-16T15:50:00Z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Adobe InDesign 20.1 (Windows)</vt:lpwstr>
  </property>
  <property fmtid="{D5CDD505-2E9C-101B-9397-08002B2CF9AE}" pid="4" name="LastSaved">
    <vt:filetime>2025-02-14T00:00:00Z</vt:filetime>
  </property>
  <property fmtid="{D5CDD505-2E9C-101B-9397-08002B2CF9AE}" pid="5" name="Producer">
    <vt:lpwstr>Adobe PDF Library 17.0</vt:lpwstr>
  </property>
  <property fmtid="{D5CDD505-2E9C-101B-9397-08002B2CF9AE}" pid="6" name="ContentTypeId">
    <vt:lpwstr>0x0101005ACEACC4E1CDCF488D376413A381FD22</vt:lpwstr>
  </property>
  <property fmtid="{D5CDD505-2E9C-101B-9397-08002B2CF9AE}" pid="7" name="MediaServiceImageTags">
    <vt:lpwstr/>
  </property>
</Properties>
</file>