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17756" w14:textId="434FAEBC" w:rsidR="0028345D" w:rsidRPr="00C411E9" w:rsidRDefault="0028345D" w:rsidP="0028345D">
      <w:pPr>
        <w:spacing w:line="276" w:lineRule="auto"/>
        <w:rPr>
          <w:rFonts w:ascii="Times New Roman" w:hAnsi="Times New Roman" w:cs="Times New Roman"/>
        </w:rPr>
      </w:pPr>
      <w:r w:rsidRPr="00C411E9">
        <w:rPr>
          <w:rFonts w:ascii="Times New Roman" w:hAnsi="Times New Roman" w:cs="Times New Roman"/>
          <w:highlight w:val="yellow"/>
        </w:rPr>
        <w:t>Address</w:t>
      </w:r>
    </w:p>
    <w:p w14:paraId="4CCF833C" w14:textId="77777777" w:rsidR="0028345D" w:rsidRPr="00C411E9" w:rsidRDefault="0028345D" w:rsidP="0028345D">
      <w:pPr>
        <w:spacing w:line="276" w:lineRule="auto"/>
        <w:jc w:val="right"/>
        <w:rPr>
          <w:rFonts w:ascii="Times New Roman" w:hAnsi="Times New Roman" w:cs="Times New Roman"/>
        </w:rPr>
      </w:pPr>
    </w:p>
    <w:p w14:paraId="716344B2" w14:textId="77777777" w:rsidR="0028345D" w:rsidRPr="00C411E9" w:rsidRDefault="0028345D" w:rsidP="0028345D">
      <w:pPr>
        <w:spacing w:line="276" w:lineRule="auto"/>
        <w:jc w:val="right"/>
        <w:rPr>
          <w:rFonts w:ascii="Times New Roman" w:hAnsi="Times New Roman" w:cs="Times New Roman"/>
        </w:rPr>
      </w:pPr>
    </w:p>
    <w:p w14:paraId="5E7AD8ED" w14:textId="4FEA7A51" w:rsidR="0028345D" w:rsidRPr="00C411E9" w:rsidRDefault="0028345D" w:rsidP="0028345D">
      <w:pPr>
        <w:spacing w:line="276" w:lineRule="auto"/>
        <w:jc w:val="right"/>
        <w:rPr>
          <w:rFonts w:ascii="Times New Roman" w:hAnsi="Times New Roman" w:cs="Times New Roman"/>
        </w:rPr>
      </w:pPr>
      <w:r w:rsidRPr="00C411E9">
        <w:rPr>
          <w:rFonts w:ascii="Times New Roman" w:hAnsi="Times New Roman" w:cs="Times New Roman"/>
        </w:rPr>
        <w:t>SENT BY EMAIL</w:t>
      </w:r>
    </w:p>
    <w:p w14:paraId="29E0D710" w14:textId="77777777" w:rsidR="0028345D" w:rsidRPr="00C411E9" w:rsidRDefault="0028345D" w:rsidP="0028345D">
      <w:pPr>
        <w:spacing w:line="276" w:lineRule="auto"/>
        <w:jc w:val="right"/>
        <w:rPr>
          <w:rFonts w:ascii="Times New Roman" w:hAnsi="Times New Roman" w:cs="Times New Roman"/>
        </w:rPr>
      </w:pPr>
      <w:r w:rsidRPr="00C411E9">
        <w:rPr>
          <w:rFonts w:ascii="Times New Roman" w:hAnsi="Times New Roman" w:cs="Times New Roman"/>
          <w:highlight w:val="yellow"/>
        </w:rPr>
        <w:t>Email</w:t>
      </w:r>
    </w:p>
    <w:p w14:paraId="31A747EC" w14:textId="43B473A4" w:rsidR="0028345D" w:rsidRPr="00C411E9" w:rsidRDefault="0028345D" w:rsidP="0028345D">
      <w:pPr>
        <w:spacing w:line="276" w:lineRule="auto"/>
        <w:ind w:left="720" w:firstLine="720"/>
        <w:jc w:val="right"/>
        <w:rPr>
          <w:rFonts w:ascii="Times New Roman" w:hAnsi="Times New Roman" w:cs="Times New Roman"/>
        </w:rPr>
      </w:pPr>
      <w:r w:rsidRPr="00C411E9">
        <w:rPr>
          <w:rFonts w:ascii="Times New Roman" w:hAnsi="Times New Roman" w:cs="Times New Roman"/>
        </w:rPr>
        <w:t xml:space="preserve"> </w:t>
      </w:r>
      <w:r w:rsidR="00C411E9">
        <w:rPr>
          <w:rFonts w:ascii="Times New Roman" w:hAnsi="Times New Roman" w:cs="Times New Roman"/>
        </w:rPr>
        <w:t>Date</w:t>
      </w:r>
    </w:p>
    <w:p w14:paraId="797EEAAB" w14:textId="77777777" w:rsidR="0028345D" w:rsidRPr="00C411E9" w:rsidRDefault="0028345D" w:rsidP="0028345D">
      <w:pPr>
        <w:spacing w:line="276" w:lineRule="auto"/>
        <w:rPr>
          <w:rFonts w:ascii="Times New Roman" w:hAnsi="Times New Roman" w:cs="Times New Roman"/>
        </w:rPr>
      </w:pPr>
    </w:p>
    <w:p w14:paraId="14FD9C55" w14:textId="77777777" w:rsidR="0028345D" w:rsidRPr="001977B8" w:rsidRDefault="0028345D" w:rsidP="0028345D">
      <w:pPr>
        <w:spacing w:line="276" w:lineRule="auto"/>
        <w:rPr>
          <w:rFonts w:ascii="Arial" w:hAnsi="Arial" w:cs="Arial"/>
        </w:rPr>
      </w:pPr>
    </w:p>
    <w:p w14:paraId="31120CFD" w14:textId="77777777" w:rsidR="00F0430A" w:rsidRDefault="00F0430A" w:rsidP="00F0430A">
      <w:pPr>
        <w:spacing w:after="240" w:line="276" w:lineRule="auto"/>
        <w:rPr>
          <w:rFonts w:ascii="Times New Roman" w:hAnsi="Times New Roman" w:cs="Times New Roman"/>
        </w:rPr>
      </w:pPr>
      <w:r>
        <w:rPr>
          <w:rFonts w:ascii="Times New Roman" w:hAnsi="Times New Roman" w:cs="Times New Roman"/>
        </w:rPr>
        <w:t>Dear Sir/ Madam</w:t>
      </w:r>
    </w:p>
    <w:p w14:paraId="1C89053A" w14:textId="45BAABA5" w:rsidR="00F0430A" w:rsidRDefault="00CC016E" w:rsidP="00F0430A">
      <w:pPr>
        <w:pStyle w:val="Heading3"/>
        <w:spacing w:after="240" w:line="276" w:lineRule="auto"/>
        <w:rPr>
          <w:rFonts w:ascii="Arial" w:hAnsi="Arial" w:cs="Arial"/>
          <w:sz w:val="22"/>
          <w:szCs w:val="22"/>
        </w:rPr>
      </w:pPr>
      <w:r>
        <w:rPr>
          <w:rFonts w:ascii="Arial" w:hAnsi="Arial" w:cs="Arial"/>
          <w:sz w:val="22"/>
          <w:szCs w:val="22"/>
        </w:rPr>
        <w:t>BRECKLAND</w:t>
      </w:r>
      <w:r w:rsidR="00F0430A">
        <w:rPr>
          <w:rFonts w:ascii="Arial" w:hAnsi="Arial" w:cs="Arial"/>
          <w:sz w:val="22"/>
          <w:szCs w:val="22"/>
        </w:rPr>
        <w:t xml:space="preserve"> LOCAL PLAN</w:t>
      </w:r>
    </w:p>
    <w:p w14:paraId="4F9A4834" w14:textId="76210478" w:rsidR="00F0430A" w:rsidRDefault="00F0430A" w:rsidP="00F0430A">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Pr>
          <w:rFonts w:ascii="Times New Roman" w:hAnsi="Times New Roman" w:cs="Times New Roman"/>
          <w:bCs/>
        </w:rPr>
        <w:t xml:space="preserve">Thank you for consulting with the Home Builders Federation (HBF) on the </w:t>
      </w:r>
      <w:r w:rsidR="00CA6D6A">
        <w:rPr>
          <w:rFonts w:ascii="Times New Roman" w:hAnsi="Times New Roman" w:cs="Times New Roman"/>
          <w:bCs/>
        </w:rPr>
        <w:t>Breckland</w:t>
      </w:r>
      <w:r>
        <w:rPr>
          <w:rFonts w:ascii="Times New Roman" w:hAnsi="Times New Roman" w:cs="Times New Roman"/>
          <w:bCs/>
        </w:rPr>
        <w:t xml:space="preserve"> Local Plan.</w:t>
      </w:r>
    </w:p>
    <w:p w14:paraId="6CD0CD54" w14:textId="77777777" w:rsidR="00F0430A" w:rsidRDefault="00F0430A" w:rsidP="00F0430A">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Pr>
          <w:rFonts w:ascii="Times New Roman" w:hAnsi="Times New Roman" w:cs="Times New Roman"/>
          <w:bCs/>
        </w:rPr>
        <w:t xml:space="preserve">HBF is the principal representative body of the house-building industry in England and Wales. Our representations reflect the views of our membership, which include multi-national PLC’s, regional developers and small, local builders. In any one year, our members account for over 80% of all new “for sale” market housing built in England and Wales as well as a large proportion of newly built affordable housing. </w:t>
      </w:r>
    </w:p>
    <w:p w14:paraId="01DCBAAC" w14:textId="69E16926" w:rsidR="00EA72F4" w:rsidRPr="00F81431" w:rsidRDefault="00C13A3E" w:rsidP="00F0430A">
      <w:pPr>
        <w:spacing w:after="240" w:line="360" w:lineRule="auto"/>
        <w:rPr>
          <w:rFonts w:ascii="Times New Roman" w:hAnsi="Times New Roman" w:cs="Times New Roman"/>
          <w:b/>
        </w:rPr>
      </w:pPr>
      <w:r w:rsidRPr="00F81431">
        <w:rPr>
          <w:rFonts w:ascii="Times New Roman" w:hAnsi="Times New Roman" w:cs="Times New Roman"/>
          <w:b/>
        </w:rPr>
        <w:t>Plan period</w:t>
      </w:r>
    </w:p>
    <w:p w14:paraId="188B1302" w14:textId="7F73E62F" w:rsidR="00C13A3E" w:rsidRDefault="00901CDE" w:rsidP="009D0F64">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Pr>
          <w:rFonts w:ascii="Times New Roman" w:hAnsi="Times New Roman" w:cs="Times New Roman"/>
          <w:bCs/>
        </w:rPr>
        <w:t xml:space="preserve">The Council’s </w:t>
      </w:r>
      <w:r w:rsidR="00C13972">
        <w:rPr>
          <w:rFonts w:ascii="Times New Roman" w:hAnsi="Times New Roman" w:cs="Times New Roman"/>
          <w:bCs/>
        </w:rPr>
        <w:t>i</w:t>
      </w:r>
      <w:r w:rsidR="009D743C">
        <w:rPr>
          <w:rFonts w:ascii="Times New Roman" w:hAnsi="Times New Roman" w:cs="Times New Roman"/>
          <w:bCs/>
        </w:rPr>
        <w:t>ntention is</w:t>
      </w:r>
      <w:r w:rsidR="00C13A3E">
        <w:rPr>
          <w:rFonts w:ascii="Times New Roman" w:hAnsi="Times New Roman" w:cs="Times New Roman"/>
          <w:bCs/>
        </w:rPr>
        <w:t xml:space="preserve"> to submit by Dec</w:t>
      </w:r>
      <w:r w:rsidR="00C13972">
        <w:rPr>
          <w:rFonts w:ascii="Times New Roman" w:hAnsi="Times New Roman" w:cs="Times New Roman"/>
          <w:bCs/>
        </w:rPr>
        <w:t>ember</w:t>
      </w:r>
      <w:r w:rsidR="00C13A3E">
        <w:rPr>
          <w:rFonts w:ascii="Times New Roman" w:hAnsi="Times New Roman" w:cs="Times New Roman"/>
          <w:bCs/>
        </w:rPr>
        <w:t xml:space="preserve"> 2026. </w:t>
      </w:r>
      <w:r w:rsidR="00C13972">
        <w:rPr>
          <w:rFonts w:ascii="Times New Roman" w:hAnsi="Times New Roman" w:cs="Times New Roman"/>
          <w:bCs/>
        </w:rPr>
        <w:t>Based on the our experience th</w:t>
      </w:r>
      <w:r w:rsidR="00E95C5E">
        <w:rPr>
          <w:rFonts w:ascii="Times New Roman" w:hAnsi="Times New Roman" w:cs="Times New Roman"/>
          <w:bCs/>
        </w:rPr>
        <w:t xml:space="preserve">e examination will take at least 12 months to </w:t>
      </w:r>
      <w:r w:rsidR="009D743C">
        <w:rPr>
          <w:rFonts w:ascii="Times New Roman" w:hAnsi="Times New Roman" w:cs="Times New Roman"/>
          <w:bCs/>
        </w:rPr>
        <w:t>complete</w:t>
      </w:r>
      <w:r w:rsidR="00E95C5E">
        <w:rPr>
          <w:rFonts w:ascii="Times New Roman" w:hAnsi="Times New Roman" w:cs="Times New Roman"/>
          <w:bCs/>
        </w:rPr>
        <w:t xml:space="preserve"> with adoption in early 2028</w:t>
      </w:r>
      <w:r w:rsidR="009D743C">
        <w:rPr>
          <w:rFonts w:ascii="Times New Roman" w:hAnsi="Times New Roman" w:cs="Times New Roman"/>
          <w:bCs/>
        </w:rPr>
        <w:t xml:space="preserve">. As such the plan period </w:t>
      </w:r>
      <w:r w:rsidR="00A84CAE">
        <w:rPr>
          <w:rFonts w:ascii="Times New Roman" w:hAnsi="Times New Roman" w:cs="Times New Roman"/>
          <w:bCs/>
        </w:rPr>
        <w:t>needs</w:t>
      </w:r>
      <w:r w:rsidR="009D743C">
        <w:rPr>
          <w:rFonts w:ascii="Times New Roman" w:hAnsi="Times New Roman" w:cs="Times New Roman"/>
          <w:bCs/>
        </w:rPr>
        <w:t xml:space="preserve"> to be </w:t>
      </w:r>
      <w:r w:rsidR="00A84CAE">
        <w:rPr>
          <w:rFonts w:ascii="Times New Roman" w:hAnsi="Times New Roman" w:cs="Times New Roman"/>
          <w:bCs/>
        </w:rPr>
        <w:t>extended</w:t>
      </w:r>
      <w:r w:rsidR="009D743C">
        <w:rPr>
          <w:rFonts w:ascii="Times New Roman" w:hAnsi="Times New Roman" w:cs="Times New Roman"/>
          <w:bCs/>
        </w:rPr>
        <w:t xml:space="preserve"> by a year to be consistent with </w:t>
      </w:r>
      <w:r w:rsidR="00A84CAE">
        <w:rPr>
          <w:rFonts w:ascii="Times New Roman" w:hAnsi="Times New Roman" w:cs="Times New Roman"/>
          <w:bCs/>
        </w:rPr>
        <w:t>paragraph</w:t>
      </w:r>
      <w:r w:rsidR="009D743C">
        <w:rPr>
          <w:rFonts w:ascii="Times New Roman" w:hAnsi="Times New Roman" w:cs="Times New Roman"/>
          <w:bCs/>
        </w:rPr>
        <w:t xml:space="preserve"> 22 of the NPPF</w:t>
      </w:r>
      <w:r w:rsidR="00A84CAE">
        <w:rPr>
          <w:rFonts w:ascii="Times New Roman" w:hAnsi="Times New Roman" w:cs="Times New Roman"/>
          <w:bCs/>
        </w:rPr>
        <w:t>.</w:t>
      </w:r>
    </w:p>
    <w:p w14:paraId="20828C85" w14:textId="17A5D85E" w:rsidR="00A84CAE" w:rsidRPr="00F81431" w:rsidRDefault="005B0081" w:rsidP="00F0430A">
      <w:pPr>
        <w:spacing w:after="240" w:line="360" w:lineRule="auto"/>
        <w:rPr>
          <w:rFonts w:ascii="Times New Roman" w:hAnsi="Times New Roman" w:cs="Times New Roman"/>
          <w:b/>
        </w:rPr>
      </w:pPr>
      <w:r w:rsidRPr="00F81431">
        <w:rPr>
          <w:rFonts w:ascii="Times New Roman" w:hAnsi="Times New Roman" w:cs="Times New Roman"/>
          <w:b/>
        </w:rPr>
        <w:t>HOU</w:t>
      </w:r>
      <w:r w:rsidR="00F81431" w:rsidRPr="00F81431">
        <w:rPr>
          <w:rFonts w:ascii="Times New Roman" w:hAnsi="Times New Roman" w:cs="Times New Roman"/>
          <w:b/>
        </w:rPr>
        <w:t xml:space="preserve"> 01: Breckland’s Housing Requirement</w:t>
      </w:r>
    </w:p>
    <w:p w14:paraId="72375273" w14:textId="6356FF5A" w:rsidR="00F81431" w:rsidRPr="00315C47" w:rsidRDefault="00F81431" w:rsidP="00315C47">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Pr>
          <w:rFonts w:ascii="Times New Roman" w:hAnsi="Times New Roman" w:cs="Times New Roman"/>
          <w:bCs/>
        </w:rPr>
        <w:t xml:space="preserve">HBF </w:t>
      </w:r>
      <w:r w:rsidR="00D15808">
        <w:rPr>
          <w:rFonts w:ascii="Times New Roman" w:hAnsi="Times New Roman" w:cs="Times New Roman"/>
          <w:bCs/>
        </w:rPr>
        <w:t xml:space="preserve">would agree </w:t>
      </w:r>
      <w:r w:rsidR="00BC58A7">
        <w:rPr>
          <w:rFonts w:ascii="Times New Roman" w:hAnsi="Times New Roman" w:cs="Times New Roman"/>
          <w:bCs/>
        </w:rPr>
        <w:t>that</w:t>
      </w:r>
      <w:r w:rsidR="00D15808">
        <w:rPr>
          <w:rFonts w:ascii="Times New Roman" w:hAnsi="Times New Roman" w:cs="Times New Roman"/>
          <w:bCs/>
        </w:rPr>
        <w:t xml:space="preserve"> the minimum number </w:t>
      </w:r>
      <w:r w:rsidR="00BC58A7">
        <w:rPr>
          <w:rFonts w:ascii="Times New Roman" w:hAnsi="Times New Roman" w:cs="Times New Roman"/>
          <w:bCs/>
        </w:rPr>
        <w:t>of</w:t>
      </w:r>
      <w:r w:rsidR="00D15808">
        <w:rPr>
          <w:rFonts w:ascii="Times New Roman" w:hAnsi="Times New Roman" w:cs="Times New Roman"/>
          <w:bCs/>
        </w:rPr>
        <w:t xml:space="preserve"> homes the </w:t>
      </w:r>
      <w:r w:rsidR="00BC58A7">
        <w:rPr>
          <w:rFonts w:ascii="Times New Roman" w:hAnsi="Times New Roman" w:cs="Times New Roman"/>
          <w:bCs/>
        </w:rPr>
        <w:t>council</w:t>
      </w:r>
      <w:r w:rsidR="00D15808">
        <w:rPr>
          <w:rFonts w:ascii="Times New Roman" w:hAnsi="Times New Roman" w:cs="Times New Roman"/>
          <w:bCs/>
        </w:rPr>
        <w:t xml:space="preserve"> are required to plan for using the standard </w:t>
      </w:r>
      <w:r w:rsidR="00BC58A7">
        <w:rPr>
          <w:rFonts w:ascii="Times New Roman" w:hAnsi="Times New Roman" w:cs="Times New Roman"/>
          <w:bCs/>
        </w:rPr>
        <w:t>method</w:t>
      </w:r>
      <w:r w:rsidR="00D15808">
        <w:rPr>
          <w:rFonts w:ascii="Times New Roman" w:hAnsi="Times New Roman" w:cs="Times New Roman"/>
          <w:bCs/>
        </w:rPr>
        <w:t xml:space="preserve"> is 920 dwellings per annum. </w:t>
      </w:r>
      <w:r w:rsidR="00936AA2">
        <w:rPr>
          <w:rFonts w:ascii="Times New Roman" w:hAnsi="Times New Roman" w:cs="Times New Roman"/>
          <w:bCs/>
        </w:rPr>
        <w:t>T</w:t>
      </w:r>
      <w:r w:rsidR="0053684B">
        <w:rPr>
          <w:rFonts w:ascii="Times New Roman" w:hAnsi="Times New Roman" w:cs="Times New Roman"/>
          <w:bCs/>
        </w:rPr>
        <w:t>h</w:t>
      </w:r>
      <w:r w:rsidR="00936AA2">
        <w:rPr>
          <w:rFonts w:ascii="Times New Roman" w:hAnsi="Times New Roman" w:cs="Times New Roman"/>
          <w:bCs/>
        </w:rPr>
        <w:t xml:space="preserve">is result in a </w:t>
      </w:r>
      <w:r w:rsidR="0053684B">
        <w:rPr>
          <w:rFonts w:ascii="Times New Roman" w:hAnsi="Times New Roman" w:cs="Times New Roman"/>
          <w:bCs/>
        </w:rPr>
        <w:t>total</w:t>
      </w:r>
      <w:r w:rsidR="00936AA2">
        <w:rPr>
          <w:rFonts w:ascii="Times New Roman" w:hAnsi="Times New Roman" w:cs="Times New Roman"/>
          <w:bCs/>
        </w:rPr>
        <w:t xml:space="preserve"> housing need over the proposed plan period of 16,560 new homes. </w:t>
      </w:r>
      <w:r w:rsidR="00056F06">
        <w:rPr>
          <w:rFonts w:ascii="Times New Roman" w:hAnsi="Times New Roman" w:cs="Times New Roman"/>
          <w:bCs/>
        </w:rPr>
        <w:t xml:space="preserve">In </w:t>
      </w:r>
      <w:r w:rsidR="00773373">
        <w:rPr>
          <w:rFonts w:ascii="Times New Roman" w:hAnsi="Times New Roman" w:cs="Times New Roman"/>
          <w:bCs/>
        </w:rPr>
        <w:t>addition,</w:t>
      </w:r>
      <w:r w:rsidR="00056F06">
        <w:rPr>
          <w:rFonts w:ascii="Times New Roman" w:hAnsi="Times New Roman" w:cs="Times New Roman"/>
          <w:bCs/>
        </w:rPr>
        <w:t xml:space="preserve"> the Council have </w:t>
      </w:r>
      <w:r w:rsidR="006920C5">
        <w:rPr>
          <w:rFonts w:ascii="Times New Roman" w:hAnsi="Times New Roman" w:cs="Times New Roman"/>
          <w:bCs/>
        </w:rPr>
        <w:t>included</w:t>
      </w:r>
      <w:r w:rsidR="00056F06">
        <w:rPr>
          <w:rFonts w:ascii="Times New Roman" w:hAnsi="Times New Roman" w:cs="Times New Roman"/>
          <w:bCs/>
        </w:rPr>
        <w:t xml:space="preserve"> a 5% buffer tom this requirement in order </w:t>
      </w:r>
      <w:r w:rsidR="006920C5">
        <w:rPr>
          <w:rFonts w:ascii="Times New Roman" w:hAnsi="Times New Roman" w:cs="Times New Roman"/>
          <w:bCs/>
        </w:rPr>
        <w:t xml:space="preserve">to ensure that the average minimum of 920 dpa is achieved. While HBF </w:t>
      </w:r>
      <w:r w:rsidR="00E4483A">
        <w:rPr>
          <w:rFonts w:ascii="Times New Roman" w:hAnsi="Times New Roman" w:cs="Times New Roman"/>
          <w:bCs/>
        </w:rPr>
        <w:t>considers it</w:t>
      </w:r>
      <w:r w:rsidR="00404A19">
        <w:rPr>
          <w:rFonts w:ascii="Times New Roman" w:hAnsi="Times New Roman" w:cs="Times New Roman"/>
          <w:bCs/>
        </w:rPr>
        <w:t xml:space="preserve"> is necessary for the Council to </w:t>
      </w:r>
      <w:r w:rsidR="00DD1BA1">
        <w:rPr>
          <w:rFonts w:ascii="Times New Roman" w:hAnsi="Times New Roman" w:cs="Times New Roman"/>
          <w:bCs/>
        </w:rPr>
        <w:t xml:space="preserve">provide </w:t>
      </w:r>
      <w:r w:rsidR="00773373">
        <w:rPr>
          <w:rFonts w:ascii="Times New Roman" w:hAnsi="Times New Roman" w:cs="Times New Roman"/>
          <w:bCs/>
        </w:rPr>
        <w:t>flexibility</w:t>
      </w:r>
      <w:r w:rsidR="00404A19">
        <w:rPr>
          <w:rFonts w:ascii="Times New Roman" w:hAnsi="Times New Roman" w:cs="Times New Roman"/>
          <w:bCs/>
        </w:rPr>
        <w:t xml:space="preserve"> in </w:t>
      </w:r>
      <w:r w:rsidR="00872CAE">
        <w:rPr>
          <w:rFonts w:ascii="Times New Roman" w:hAnsi="Times New Roman" w:cs="Times New Roman"/>
          <w:bCs/>
        </w:rPr>
        <w:t>it</w:t>
      </w:r>
      <w:r w:rsidR="00404A19">
        <w:rPr>
          <w:rFonts w:ascii="Times New Roman" w:hAnsi="Times New Roman" w:cs="Times New Roman"/>
          <w:bCs/>
        </w:rPr>
        <w:t xml:space="preserve">s </w:t>
      </w:r>
      <w:r w:rsidR="00773373">
        <w:rPr>
          <w:rFonts w:ascii="Times New Roman" w:hAnsi="Times New Roman" w:cs="Times New Roman"/>
          <w:bCs/>
        </w:rPr>
        <w:t>housing</w:t>
      </w:r>
      <w:r w:rsidR="00404A19">
        <w:rPr>
          <w:rFonts w:ascii="Times New Roman" w:hAnsi="Times New Roman" w:cs="Times New Roman"/>
          <w:bCs/>
        </w:rPr>
        <w:t xml:space="preserve"> supply </w:t>
      </w:r>
      <w:r w:rsidR="00DD1BA1">
        <w:rPr>
          <w:rFonts w:ascii="Times New Roman" w:hAnsi="Times New Roman" w:cs="Times New Roman"/>
          <w:bCs/>
        </w:rPr>
        <w:t xml:space="preserve">in order </w:t>
      </w:r>
      <w:r w:rsidR="00773373">
        <w:rPr>
          <w:rFonts w:ascii="Times New Roman" w:hAnsi="Times New Roman" w:cs="Times New Roman"/>
          <w:bCs/>
        </w:rPr>
        <w:t xml:space="preserve">to </w:t>
      </w:r>
      <w:r w:rsidR="00DD1BA1">
        <w:rPr>
          <w:rFonts w:ascii="Times New Roman" w:hAnsi="Times New Roman" w:cs="Times New Roman"/>
          <w:bCs/>
        </w:rPr>
        <w:t>guarantee</w:t>
      </w:r>
      <w:r w:rsidR="00773373">
        <w:rPr>
          <w:rFonts w:ascii="Times New Roman" w:hAnsi="Times New Roman" w:cs="Times New Roman"/>
          <w:bCs/>
        </w:rPr>
        <w:t xml:space="preserve"> </w:t>
      </w:r>
      <w:r w:rsidR="00DD1BA1">
        <w:rPr>
          <w:rFonts w:ascii="Times New Roman" w:hAnsi="Times New Roman" w:cs="Times New Roman"/>
          <w:bCs/>
        </w:rPr>
        <w:t xml:space="preserve">housing </w:t>
      </w:r>
      <w:r w:rsidR="00773373">
        <w:rPr>
          <w:rFonts w:ascii="Times New Roman" w:hAnsi="Times New Roman" w:cs="Times New Roman"/>
          <w:bCs/>
        </w:rPr>
        <w:t>needs are met in full</w:t>
      </w:r>
      <w:r w:rsidR="00DD1BA1">
        <w:rPr>
          <w:rFonts w:ascii="Times New Roman" w:hAnsi="Times New Roman" w:cs="Times New Roman"/>
          <w:bCs/>
        </w:rPr>
        <w:t>,</w:t>
      </w:r>
      <w:r w:rsidR="00773373">
        <w:rPr>
          <w:rFonts w:ascii="Times New Roman" w:hAnsi="Times New Roman" w:cs="Times New Roman"/>
          <w:bCs/>
        </w:rPr>
        <w:t xml:space="preserve"> it is not clear why the Council has added 5% to the overall housing requirement</w:t>
      </w:r>
      <w:r w:rsidR="00501181">
        <w:rPr>
          <w:rFonts w:ascii="Times New Roman" w:hAnsi="Times New Roman" w:cs="Times New Roman"/>
          <w:bCs/>
        </w:rPr>
        <w:t xml:space="preserve"> and how this then relates to </w:t>
      </w:r>
      <w:r w:rsidR="0065264E">
        <w:rPr>
          <w:rFonts w:ascii="Times New Roman" w:hAnsi="Times New Roman" w:cs="Times New Roman"/>
          <w:bCs/>
        </w:rPr>
        <w:t>paragraph 78 of the NPPF and</w:t>
      </w:r>
      <w:r w:rsidR="00501181">
        <w:rPr>
          <w:rFonts w:ascii="Times New Roman" w:hAnsi="Times New Roman" w:cs="Times New Roman"/>
          <w:bCs/>
        </w:rPr>
        <w:t xml:space="preserve"> the requirement for there t</w:t>
      </w:r>
      <w:r w:rsidR="00236168">
        <w:rPr>
          <w:rFonts w:ascii="Times New Roman" w:hAnsi="Times New Roman" w:cs="Times New Roman"/>
          <w:bCs/>
        </w:rPr>
        <w:t>o</w:t>
      </w:r>
      <w:r w:rsidR="00501181">
        <w:rPr>
          <w:rFonts w:ascii="Times New Roman" w:hAnsi="Times New Roman" w:cs="Times New Roman"/>
          <w:bCs/>
        </w:rPr>
        <w:t xml:space="preserve"> be a five per cent buffer in </w:t>
      </w:r>
      <w:r w:rsidR="0065264E">
        <w:rPr>
          <w:rFonts w:ascii="Times New Roman" w:hAnsi="Times New Roman" w:cs="Times New Roman"/>
          <w:bCs/>
        </w:rPr>
        <w:t xml:space="preserve">the five year </w:t>
      </w:r>
      <w:r w:rsidR="00236168">
        <w:rPr>
          <w:rFonts w:ascii="Times New Roman" w:hAnsi="Times New Roman" w:cs="Times New Roman"/>
          <w:bCs/>
        </w:rPr>
        <w:t xml:space="preserve">land supply to ensure choice in the market. </w:t>
      </w:r>
      <w:r w:rsidR="00BE36B7">
        <w:rPr>
          <w:rFonts w:ascii="Times New Roman" w:hAnsi="Times New Roman" w:cs="Times New Roman"/>
          <w:bCs/>
        </w:rPr>
        <w:t xml:space="preserve">This five percent is only </w:t>
      </w:r>
      <w:r w:rsidR="009872D8">
        <w:rPr>
          <w:rFonts w:ascii="Times New Roman" w:hAnsi="Times New Roman" w:cs="Times New Roman"/>
          <w:bCs/>
        </w:rPr>
        <w:t>applied</w:t>
      </w:r>
      <w:r w:rsidR="00BE36B7">
        <w:rPr>
          <w:rFonts w:ascii="Times New Roman" w:hAnsi="Times New Roman" w:cs="Times New Roman"/>
          <w:bCs/>
        </w:rPr>
        <w:t xml:space="preserve"> when assessing the five year land supply and </w:t>
      </w:r>
      <w:r w:rsidR="009872D8">
        <w:rPr>
          <w:rFonts w:ascii="Times New Roman" w:hAnsi="Times New Roman" w:cs="Times New Roman"/>
          <w:bCs/>
        </w:rPr>
        <w:t>can increase</w:t>
      </w:r>
      <w:r w:rsidR="00BE36B7">
        <w:rPr>
          <w:rFonts w:ascii="Times New Roman" w:hAnsi="Times New Roman" w:cs="Times New Roman"/>
          <w:bCs/>
        </w:rPr>
        <w:t xml:space="preserve"> to 20% in cases where the</w:t>
      </w:r>
      <w:r w:rsidR="009872D8">
        <w:rPr>
          <w:rFonts w:ascii="Times New Roman" w:hAnsi="Times New Roman" w:cs="Times New Roman"/>
          <w:bCs/>
        </w:rPr>
        <w:t>re has be</w:t>
      </w:r>
      <w:r w:rsidR="008313D1">
        <w:rPr>
          <w:rFonts w:ascii="Times New Roman" w:hAnsi="Times New Roman" w:cs="Times New Roman"/>
          <w:bCs/>
        </w:rPr>
        <w:t>en</w:t>
      </w:r>
      <w:r w:rsidR="009872D8">
        <w:rPr>
          <w:rFonts w:ascii="Times New Roman" w:hAnsi="Times New Roman" w:cs="Times New Roman"/>
          <w:bCs/>
        </w:rPr>
        <w:t xml:space="preserve"> a significant under delivery of housing over the previous three years. </w:t>
      </w:r>
      <w:r w:rsidR="002E5271">
        <w:rPr>
          <w:rFonts w:ascii="Times New Roman" w:hAnsi="Times New Roman" w:cs="Times New Roman"/>
          <w:bCs/>
        </w:rPr>
        <w:t>Council</w:t>
      </w:r>
      <w:r w:rsidR="002D146E">
        <w:rPr>
          <w:rFonts w:ascii="Times New Roman" w:hAnsi="Times New Roman" w:cs="Times New Roman"/>
          <w:bCs/>
        </w:rPr>
        <w:t xml:space="preserve"> must </w:t>
      </w:r>
      <w:r w:rsidR="009872D8">
        <w:rPr>
          <w:rFonts w:ascii="Times New Roman" w:hAnsi="Times New Roman" w:cs="Times New Roman"/>
          <w:bCs/>
        </w:rPr>
        <w:t xml:space="preserve">therefore </w:t>
      </w:r>
      <w:r w:rsidR="002D146E">
        <w:rPr>
          <w:rFonts w:ascii="Times New Roman" w:hAnsi="Times New Roman" w:cs="Times New Roman"/>
          <w:bCs/>
        </w:rPr>
        <w:t xml:space="preserve">be clear as to its intentions </w:t>
      </w:r>
      <w:r w:rsidR="009872D8">
        <w:rPr>
          <w:rFonts w:ascii="Times New Roman" w:hAnsi="Times New Roman" w:cs="Times New Roman"/>
          <w:bCs/>
        </w:rPr>
        <w:t xml:space="preserve">with regard </w:t>
      </w:r>
      <w:r w:rsidR="009D0F64">
        <w:rPr>
          <w:rFonts w:ascii="Times New Roman" w:hAnsi="Times New Roman" w:cs="Times New Roman"/>
          <w:bCs/>
        </w:rPr>
        <w:t>to</w:t>
      </w:r>
      <w:r w:rsidR="009872D8">
        <w:rPr>
          <w:rFonts w:ascii="Times New Roman" w:hAnsi="Times New Roman" w:cs="Times New Roman"/>
          <w:bCs/>
        </w:rPr>
        <w:t xml:space="preserve"> the 5% buffer </w:t>
      </w:r>
      <w:r w:rsidR="00317563">
        <w:rPr>
          <w:rFonts w:ascii="Times New Roman" w:hAnsi="Times New Roman" w:cs="Times New Roman"/>
          <w:bCs/>
        </w:rPr>
        <w:t xml:space="preserve">and </w:t>
      </w:r>
      <w:r w:rsidR="008313D1">
        <w:rPr>
          <w:rFonts w:ascii="Times New Roman" w:hAnsi="Times New Roman" w:cs="Times New Roman"/>
          <w:bCs/>
        </w:rPr>
        <w:t xml:space="preserve">whether </w:t>
      </w:r>
      <w:r w:rsidR="00CE1F7C">
        <w:rPr>
          <w:rFonts w:ascii="Times New Roman" w:hAnsi="Times New Roman" w:cs="Times New Roman"/>
          <w:bCs/>
        </w:rPr>
        <w:t xml:space="preserve">this is additional </w:t>
      </w:r>
      <w:r w:rsidR="003C6EA9">
        <w:rPr>
          <w:rFonts w:ascii="Times New Roman" w:hAnsi="Times New Roman" w:cs="Times New Roman"/>
          <w:bCs/>
        </w:rPr>
        <w:t xml:space="preserve">and </w:t>
      </w:r>
      <w:r w:rsidR="00200B04">
        <w:rPr>
          <w:rFonts w:ascii="Times New Roman" w:hAnsi="Times New Roman" w:cs="Times New Roman"/>
          <w:bCs/>
        </w:rPr>
        <w:t>forms</w:t>
      </w:r>
      <w:r w:rsidR="008313D1">
        <w:rPr>
          <w:rFonts w:ascii="Times New Roman" w:hAnsi="Times New Roman" w:cs="Times New Roman"/>
          <w:bCs/>
        </w:rPr>
        <w:t xml:space="preserve"> part of the housing requirement</w:t>
      </w:r>
      <w:r w:rsidR="003C6EA9">
        <w:rPr>
          <w:rFonts w:ascii="Times New Roman" w:hAnsi="Times New Roman" w:cs="Times New Roman"/>
          <w:bCs/>
        </w:rPr>
        <w:t xml:space="preserve"> or </w:t>
      </w:r>
      <w:r w:rsidR="00894C4E">
        <w:rPr>
          <w:rFonts w:ascii="Times New Roman" w:hAnsi="Times New Roman" w:cs="Times New Roman"/>
          <w:bCs/>
        </w:rPr>
        <w:t xml:space="preserve">relates to paragraph 78 of the NPPF. </w:t>
      </w:r>
      <w:r w:rsidR="008313D1">
        <w:rPr>
          <w:rFonts w:ascii="Times New Roman" w:hAnsi="Times New Roman" w:cs="Times New Roman"/>
          <w:bCs/>
        </w:rPr>
        <w:t xml:space="preserve"> </w:t>
      </w:r>
      <w:r w:rsidR="00894C4E">
        <w:rPr>
          <w:rFonts w:ascii="Times New Roman" w:hAnsi="Times New Roman" w:cs="Times New Roman"/>
          <w:bCs/>
        </w:rPr>
        <w:t xml:space="preserve">Clarity is essential to </w:t>
      </w:r>
      <w:r w:rsidR="0016719F">
        <w:rPr>
          <w:rFonts w:ascii="Times New Roman" w:hAnsi="Times New Roman" w:cs="Times New Roman"/>
          <w:bCs/>
        </w:rPr>
        <w:t>ensure</w:t>
      </w:r>
      <w:r w:rsidR="002D146E">
        <w:rPr>
          <w:rFonts w:ascii="Times New Roman" w:hAnsi="Times New Roman" w:cs="Times New Roman"/>
          <w:bCs/>
        </w:rPr>
        <w:t xml:space="preserve"> </w:t>
      </w:r>
      <w:r w:rsidR="003A712D">
        <w:rPr>
          <w:rFonts w:ascii="Times New Roman" w:hAnsi="Times New Roman" w:cs="Times New Roman"/>
          <w:bCs/>
        </w:rPr>
        <w:t>there is no con</w:t>
      </w:r>
      <w:r w:rsidR="00315C47">
        <w:rPr>
          <w:rFonts w:ascii="Times New Roman" w:hAnsi="Times New Roman" w:cs="Times New Roman"/>
          <w:bCs/>
        </w:rPr>
        <w:t>fusion as to how decision makers apply</w:t>
      </w:r>
      <w:r w:rsidR="00317563" w:rsidRPr="00315C47">
        <w:rPr>
          <w:rFonts w:ascii="Times New Roman" w:hAnsi="Times New Roman" w:cs="Times New Roman"/>
          <w:bCs/>
        </w:rPr>
        <w:t xml:space="preserve"> </w:t>
      </w:r>
      <w:r w:rsidR="0016719F">
        <w:rPr>
          <w:rFonts w:ascii="Times New Roman" w:hAnsi="Times New Roman" w:cs="Times New Roman"/>
          <w:bCs/>
        </w:rPr>
        <w:t>the relevant buffers</w:t>
      </w:r>
      <w:r w:rsidR="006C30F1" w:rsidRPr="00315C47">
        <w:rPr>
          <w:rFonts w:ascii="Times New Roman" w:hAnsi="Times New Roman" w:cs="Times New Roman"/>
          <w:bCs/>
        </w:rPr>
        <w:t xml:space="preserve"> </w:t>
      </w:r>
      <w:r w:rsidR="009D0F64" w:rsidRPr="00315C47">
        <w:rPr>
          <w:rFonts w:ascii="Times New Roman" w:hAnsi="Times New Roman" w:cs="Times New Roman"/>
          <w:bCs/>
        </w:rPr>
        <w:t xml:space="preserve">when considering </w:t>
      </w:r>
      <w:r w:rsidR="0016719F">
        <w:rPr>
          <w:rFonts w:ascii="Times New Roman" w:hAnsi="Times New Roman" w:cs="Times New Roman"/>
          <w:bCs/>
        </w:rPr>
        <w:t xml:space="preserve">five year </w:t>
      </w:r>
      <w:r w:rsidR="009D0F64" w:rsidRPr="00315C47">
        <w:rPr>
          <w:rFonts w:ascii="Times New Roman" w:hAnsi="Times New Roman" w:cs="Times New Roman"/>
          <w:bCs/>
        </w:rPr>
        <w:t>housing land supply in future.</w:t>
      </w:r>
    </w:p>
    <w:p w14:paraId="13D1021C" w14:textId="1F927B81" w:rsidR="00200B04" w:rsidRPr="00A0276B" w:rsidRDefault="00A0276B" w:rsidP="00F0430A">
      <w:pPr>
        <w:spacing w:after="240" w:line="360" w:lineRule="auto"/>
        <w:rPr>
          <w:rFonts w:ascii="Times New Roman" w:hAnsi="Times New Roman" w:cs="Times New Roman"/>
          <w:b/>
        </w:rPr>
      </w:pPr>
      <w:r w:rsidRPr="00A0276B">
        <w:rPr>
          <w:rFonts w:ascii="Times New Roman" w:hAnsi="Times New Roman" w:cs="Times New Roman"/>
          <w:b/>
        </w:rPr>
        <w:t>HOU 02 Distribution of Development</w:t>
      </w:r>
    </w:p>
    <w:p w14:paraId="7580F0B8" w14:textId="5F0D3874" w:rsidR="00E272CB" w:rsidRDefault="00200B04" w:rsidP="00AD7884">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Pr>
          <w:rFonts w:ascii="Times New Roman" w:hAnsi="Times New Roman" w:cs="Times New Roman"/>
          <w:bCs/>
        </w:rPr>
        <w:lastRenderedPageBreak/>
        <w:t xml:space="preserve">The </w:t>
      </w:r>
      <w:r w:rsidR="00551167">
        <w:rPr>
          <w:rFonts w:ascii="Times New Roman" w:hAnsi="Times New Roman" w:cs="Times New Roman"/>
          <w:bCs/>
        </w:rPr>
        <w:t xml:space="preserve">trajectory in </w:t>
      </w:r>
      <w:r w:rsidR="005C02D2">
        <w:rPr>
          <w:rFonts w:ascii="Times New Roman" w:hAnsi="Times New Roman" w:cs="Times New Roman"/>
          <w:bCs/>
        </w:rPr>
        <w:t>A</w:t>
      </w:r>
      <w:r w:rsidR="0061383A">
        <w:rPr>
          <w:rFonts w:ascii="Times New Roman" w:hAnsi="Times New Roman" w:cs="Times New Roman"/>
          <w:bCs/>
        </w:rPr>
        <w:t xml:space="preserve">ppendix </w:t>
      </w:r>
      <w:r w:rsidR="003D7C66">
        <w:rPr>
          <w:rFonts w:ascii="Times New Roman" w:hAnsi="Times New Roman" w:cs="Times New Roman"/>
          <w:bCs/>
        </w:rPr>
        <w:t>2</w:t>
      </w:r>
      <w:r w:rsidR="00551167">
        <w:rPr>
          <w:rFonts w:ascii="Times New Roman" w:hAnsi="Times New Roman" w:cs="Times New Roman"/>
          <w:bCs/>
        </w:rPr>
        <w:t xml:space="preserve"> of the local plan indicates that the Council </w:t>
      </w:r>
      <w:r w:rsidR="00DC0D01">
        <w:rPr>
          <w:rFonts w:ascii="Times New Roman" w:hAnsi="Times New Roman" w:cs="Times New Roman"/>
          <w:bCs/>
        </w:rPr>
        <w:t>expects</w:t>
      </w:r>
      <w:r w:rsidR="00551167">
        <w:rPr>
          <w:rFonts w:ascii="Times New Roman" w:hAnsi="Times New Roman" w:cs="Times New Roman"/>
          <w:bCs/>
        </w:rPr>
        <w:t xml:space="preserve"> to </w:t>
      </w:r>
      <w:r w:rsidR="00DC0D01">
        <w:rPr>
          <w:rFonts w:ascii="Times New Roman" w:hAnsi="Times New Roman" w:cs="Times New Roman"/>
          <w:bCs/>
        </w:rPr>
        <w:t>deliver</w:t>
      </w:r>
      <w:r w:rsidR="00551167">
        <w:rPr>
          <w:rFonts w:ascii="Times New Roman" w:hAnsi="Times New Roman" w:cs="Times New Roman"/>
          <w:bCs/>
        </w:rPr>
        <w:t xml:space="preserve"> </w:t>
      </w:r>
      <w:r w:rsidR="00B854E2">
        <w:rPr>
          <w:rFonts w:ascii="Times New Roman" w:hAnsi="Times New Roman" w:cs="Times New Roman"/>
          <w:bCs/>
        </w:rPr>
        <w:t xml:space="preserve">19,230 </w:t>
      </w:r>
      <w:r w:rsidR="00DC0D01">
        <w:rPr>
          <w:rFonts w:ascii="Times New Roman" w:hAnsi="Times New Roman" w:cs="Times New Roman"/>
          <w:bCs/>
        </w:rPr>
        <w:t>homes over</w:t>
      </w:r>
      <w:r w:rsidR="00B854E2">
        <w:rPr>
          <w:rFonts w:ascii="Times New Roman" w:hAnsi="Times New Roman" w:cs="Times New Roman"/>
          <w:bCs/>
        </w:rPr>
        <w:t xml:space="preserve"> the plan </w:t>
      </w:r>
      <w:r w:rsidR="00AD7884">
        <w:rPr>
          <w:rFonts w:ascii="Times New Roman" w:hAnsi="Times New Roman" w:cs="Times New Roman"/>
          <w:bCs/>
        </w:rPr>
        <w:t>period,</w:t>
      </w:r>
      <w:r w:rsidR="006C1410">
        <w:rPr>
          <w:rFonts w:ascii="Times New Roman" w:hAnsi="Times New Roman" w:cs="Times New Roman"/>
          <w:bCs/>
        </w:rPr>
        <w:t xml:space="preserve"> however </w:t>
      </w:r>
      <w:r w:rsidR="00B3127C">
        <w:rPr>
          <w:rFonts w:ascii="Times New Roman" w:hAnsi="Times New Roman" w:cs="Times New Roman"/>
          <w:bCs/>
        </w:rPr>
        <w:t>table</w:t>
      </w:r>
      <w:r w:rsidR="006C1410">
        <w:rPr>
          <w:rFonts w:ascii="Times New Roman" w:hAnsi="Times New Roman" w:cs="Times New Roman"/>
          <w:bCs/>
        </w:rPr>
        <w:t xml:space="preserve"> 5.3 states that </w:t>
      </w:r>
      <w:r w:rsidR="00D46838">
        <w:rPr>
          <w:rFonts w:ascii="Times New Roman" w:hAnsi="Times New Roman" w:cs="Times New Roman"/>
          <w:bCs/>
        </w:rPr>
        <w:t xml:space="preserve">the </w:t>
      </w:r>
      <w:r w:rsidR="00B3127C">
        <w:rPr>
          <w:rFonts w:ascii="Times New Roman" w:hAnsi="Times New Roman" w:cs="Times New Roman"/>
          <w:bCs/>
        </w:rPr>
        <w:t>total</w:t>
      </w:r>
      <w:r w:rsidR="00D46838">
        <w:rPr>
          <w:rFonts w:ascii="Times New Roman" w:hAnsi="Times New Roman" w:cs="Times New Roman"/>
          <w:bCs/>
        </w:rPr>
        <w:t xml:space="preserve"> </w:t>
      </w:r>
      <w:r w:rsidR="00B3127C">
        <w:rPr>
          <w:rFonts w:ascii="Times New Roman" w:hAnsi="Times New Roman" w:cs="Times New Roman"/>
          <w:bCs/>
        </w:rPr>
        <w:t>number of</w:t>
      </w:r>
      <w:r w:rsidR="00D46838">
        <w:rPr>
          <w:rFonts w:ascii="Times New Roman" w:hAnsi="Times New Roman" w:cs="Times New Roman"/>
          <w:bCs/>
        </w:rPr>
        <w:t xml:space="preserve"> homes that will be </w:t>
      </w:r>
      <w:r w:rsidR="00E272CB">
        <w:rPr>
          <w:rFonts w:ascii="Times New Roman" w:hAnsi="Times New Roman" w:cs="Times New Roman"/>
          <w:bCs/>
        </w:rPr>
        <w:t>delivered</w:t>
      </w:r>
      <w:r w:rsidR="00D46838">
        <w:rPr>
          <w:rFonts w:ascii="Times New Roman" w:hAnsi="Times New Roman" w:cs="Times New Roman"/>
          <w:bCs/>
        </w:rPr>
        <w:t xml:space="preserve"> is 18,969. It is not clear why there is a discrepancy between the two </w:t>
      </w:r>
      <w:r w:rsidR="00E272CB">
        <w:rPr>
          <w:rFonts w:ascii="Times New Roman" w:hAnsi="Times New Roman" w:cs="Times New Roman"/>
          <w:bCs/>
        </w:rPr>
        <w:t>tables,</w:t>
      </w:r>
      <w:r w:rsidR="005E267C">
        <w:rPr>
          <w:rFonts w:ascii="Times New Roman" w:hAnsi="Times New Roman" w:cs="Times New Roman"/>
          <w:bCs/>
        </w:rPr>
        <w:t xml:space="preserve"> </w:t>
      </w:r>
      <w:r w:rsidR="00D46838">
        <w:rPr>
          <w:rFonts w:ascii="Times New Roman" w:hAnsi="Times New Roman" w:cs="Times New Roman"/>
          <w:bCs/>
        </w:rPr>
        <w:t xml:space="preserve">but this will need to be rectified. </w:t>
      </w:r>
    </w:p>
    <w:p w14:paraId="0F4B5F47" w14:textId="349E5169" w:rsidR="0061383A" w:rsidRDefault="006F5311" w:rsidP="00AD7884">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Pr>
          <w:rFonts w:ascii="Times New Roman" w:hAnsi="Times New Roman" w:cs="Times New Roman"/>
          <w:bCs/>
        </w:rPr>
        <w:t>Based on the expected supply set out in HOU 01</w:t>
      </w:r>
      <w:r w:rsidR="00A800BD">
        <w:rPr>
          <w:rFonts w:ascii="Times New Roman" w:hAnsi="Times New Roman" w:cs="Times New Roman"/>
          <w:bCs/>
        </w:rPr>
        <w:t xml:space="preserve">. </w:t>
      </w:r>
      <w:r w:rsidR="00B854E2">
        <w:rPr>
          <w:rFonts w:ascii="Times New Roman" w:hAnsi="Times New Roman" w:cs="Times New Roman"/>
          <w:bCs/>
        </w:rPr>
        <w:t xml:space="preserve">This provides </w:t>
      </w:r>
      <w:r w:rsidR="00EF4450">
        <w:rPr>
          <w:rFonts w:ascii="Times New Roman" w:hAnsi="Times New Roman" w:cs="Times New Roman"/>
          <w:bCs/>
        </w:rPr>
        <w:t>2,670 homes</w:t>
      </w:r>
      <w:r w:rsidR="006C40F8">
        <w:rPr>
          <w:rFonts w:ascii="Times New Roman" w:hAnsi="Times New Roman" w:cs="Times New Roman"/>
          <w:bCs/>
        </w:rPr>
        <w:t xml:space="preserve"> (</w:t>
      </w:r>
      <w:r w:rsidR="000A1BDE">
        <w:rPr>
          <w:rFonts w:ascii="Times New Roman" w:hAnsi="Times New Roman" w:cs="Times New Roman"/>
          <w:bCs/>
        </w:rPr>
        <w:t>16%)</w:t>
      </w:r>
      <w:r w:rsidR="00EF4450">
        <w:rPr>
          <w:rFonts w:ascii="Times New Roman" w:hAnsi="Times New Roman" w:cs="Times New Roman"/>
          <w:bCs/>
        </w:rPr>
        <w:t xml:space="preserve"> </w:t>
      </w:r>
      <w:r w:rsidR="00DC0D01">
        <w:rPr>
          <w:rFonts w:ascii="Times New Roman" w:hAnsi="Times New Roman" w:cs="Times New Roman"/>
          <w:bCs/>
        </w:rPr>
        <w:t xml:space="preserve">above the minimum number of homes the Council </w:t>
      </w:r>
      <w:r w:rsidR="00CD1E53">
        <w:rPr>
          <w:rFonts w:ascii="Times New Roman" w:hAnsi="Times New Roman" w:cs="Times New Roman"/>
          <w:bCs/>
        </w:rPr>
        <w:t>must</w:t>
      </w:r>
      <w:r w:rsidR="00DC0D01">
        <w:rPr>
          <w:rFonts w:ascii="Times New Roman" w:hAnsi="Times New Roman" w:cs="Times New Roman"/>
          <w:bCs/>
        </w:rPr>
        <w:t xml:space="preserve"> plan for using the standard method. </w:t>
      </w:r>
      <w:r w:rsidR="00182BD3">
        <w:rPr>
          <w:rFonts w:ascii="Times New Roman" w:hAnsi="Times New Roman" w:cs="Times New Roman"/>
          <w:bCs/>
        </w:rPr>
        <w:t xml:space="preserve">Table 5.3 </w:t>
      </w:r>
      <w:r w:rsidR="00387F6F">
        <w:rPr>
          <w:rFonts w:ascii="Times New Roman" w:hAnsi="Times New Roman" w:cs="Times New Roman"/>
          <w:bCs/>
        </w:rPr>
        <w:t>provides</w:t>
      </w:r>
      <w:r w:rsidR="00BD14C0">
        <w:rPr>
          <w:rFonts w:ascii="Times New Roman" w:hAnsi="Times New Roman" w:cs="Times New Roman"/>
          <w:bCs/>
        </w:rPr>
        <w:t xml:space="preserve"> summary of where homes will come forward with the majority of homes being delivered on market towns</w:t>
      </w:r>
      <w:r w:rsidR="00A51548">
        <w:rPr>
          <w:rFonts w:ascii="Times New Roman" w:hAnsi="Times New Roman" w:cs="Times New Roman"/>
          <w:bCs/>
        </w:rPr>
        <w:t xml:space="preserve"> and the existing sustainable </w:t>
      </w:r>
      <w:r w:rsidR="00387F6F">
        <w:rPr>
          <w:rFonts w:ascii="Times New Roman" w:hAnsi="Times New Roman" w:cs="Times New Roman"/>
          <w:bCs/>
        </w:rPr>
        <w:t>urban extensions</w:t>
      </w:r>
      <w:r w:rsidR="00A51548">
        <w:rPr>
          <w:rFonts w:ascii="Times New Roman" w:hAnsi="Times New Roman" w:cs="Times New Roman"/>
          <w:bCs/>
        </w:rPr>
        <w:t xml:space="preserve"> at Attleborough and Thetford. A </w:t>
      </w:r>
      <w:r w:rsidR="00BD13A1">
        <w:rPr>
          <w:rFonts w:ascii="Times New Roman" w:hAnsi="Times New Roman" w:cs="Times New Roman"/>
          <w:bCs/>
        </w:rPr>
        <w:t>further</w:t>
      </w:r>
      <w:r w:rsidR="00BD14C0">
        <w:rPr>
          <w:rFonts w:ascii="Times New Roman" w:hAnsi="Times New Roman" w:cs="Times New Roman"/>
          <w:bCs/>
        </w:rPr>
        <w:t xml:space="preserve"> </w:t>
      </w:r>
      <w:r w:rsidR="00556134">
        <w:rPr>
          <w:rFonts w:ascii="Times New Roman" w:hAnsi="Times New Roman" w:cs="Times New Roman"/>
          <w:bCs/>
        </w:rPr>
        <w:t xml:space="preserve">2,100 homes are </w:t>
      </w:r>
      <w:r w:rsidR="00DA394D">
        <w:rPr>
          <w:rFonts w:ascii="Times New Roman" w:hAnsi="Times New Roman" w:cs="Times New Roman"/>
          <w:bCs/>
        </w:rPr>
        <w:t>expected to</w:t>
      </w:r>
      <w:r w:rsidR="00556134">
        <w:rPr>
          <w:rFonts w:ascii="Times New Roman" w:hAnsi="Times New Roman" w:cs="Times New Roman"/>
          <w:bCs/>
        </w:rPr>
        <w:t xml:space="preserve"> come forward in </w:t>
      </w:r>
      <w:r w:rsidR="00DA394D">
        <w:rPr>
          <w:rFonts w:ascii="Times New Roman" w:hAnsi="Times New Roman" w:cs="Times New Roman"/>
          <w:bCs/>
        </w:rPr>
        <w:t xml:space="preserve">the Strategic Development Areas (SDA) </w:t>
      </w:r>
      <w:r w:rsidR="00A51548">
        <w:rPr>
          <w:rFonts w:ascii="Times New Roman" w:hAnsi="Times New Roman" w:cs="Times New Roman"/>
          <w:bCs/>
        </w:rPr>
        <w:t>proposed in this local plan</w:t>
      </w:r>
      <w:r w:rsidR="00471BB4">
        <w:rPr>
          <w:rFonts w:ascii="Times New Roman" w:hAnsi="Times New Roman" w:cs="Times New Roman"/>
          <w:bCs/>
        </w:rPr>
        <w:t xml:space="preserve"> meaning that </w:t>
      </w:r>
      <w:r w:rsidR="00DC5EC2">
        <w:rPr>
          <w:rFonts w:ascii="Times New Roman" w:hAnsi="Times New Roman" w:cs="Times New Roman"/>
          <w:bCs/>
        </w:rPr>
        <w:t>circa 4,600 homes</w:t>
      </w:r>
      <w:r w:rsidR="006946D0">
        <w:rPr>
          <w:rFonts w:ascii="Times New Roman" w:hAnsi="Times New Roman" w:cs="Times New Roman"/>
          <w:bCs/>
        </w:rPr>
        <w:t>, around 24% of total supply,</w:t>
      </w:r>
      <w:r w:rsidR="00DC5EC2">
        <w:rPr>
          <w:rFonts w:ascii="Times New Roman" w:hAnsi="Times New Roman" w:cs="Times New Roman"/>
          <w:bCs/>
        </w:rPr>
        <w:t xml:space="preserve"> will be delivered on large strategic sites</w:t>
      </w:r>
      <w:r w:rsidR="00842364">
        <w:rPr>
          <w:rFonts w:ascii="Times New Roman" w:hAnsi="Times New Roman" w:cs="Times New Roman"/>
          <w:bCs/>
        </w:rPr>
        <w:t xml:space="preserve">. </w:t>
      </w:r>
      <w:r w:rsidR="002D511B">
        <w:rPr>
          <w:rFonts w:ascii="Times New Roman" w:hAnsi="Times New Roman" w:cs="Times New Roman"/>
          <w:bCs/>
        </w:rPr>
        <w:t xml:space="preserve">A </w:t>
      </w:r>
      <w:r w:rsidR="00D606FB">
        <w:rPr>
          <w:rFonts w:ascii="Times New Roman" w:hAnsi="Times New Roman" w:cs="Times New Roman"/>
          <w:bCs/>
        </w:rPr>
        <w:t>further</w:t>
      </w:r>
      <w:r w:rsidR="002D511B">
        <w:rPr>
          <w:rFonts w:ascii="Times New Roman" w:hAnsi="Times New Roman" w:cs="Times New Roman"/>
          <w:bCs/>
        </w:rPr>
        <w:t xml:space="preserve"> 3,250 home swill come forward on large sites of 500 homes or more </w:t>
      </w:r>
      <w:r w:rsidR="00616FF3">
        <w:rPr>
          <w:rFonts w:ascii="Times New Roman" w:hAnsi="Times New Roman" w:cs="Times New Roman"/>
          <w:bCs/>
        </w:rPr>
        <w:t xml:space="preserve">elsewhere meaning that in total of about </w:t>
      </w:r>
      <w:r w:rsidR="00D606FB">
        <w:rPr>
          <w:rFonts w:ascii="Times New Roman" w:hAnsi="Times New Roman" w:cs="Times New Roman"/>
          <w:bCs/>
        </w:rPr>
        <w:t>40% of the homes in the plan will come forward on large sites.</w:t>
      </w:r>
      <w:r w:rsidR="006A48E1">
        <w:rPr>
          <w:rFonts w:ascii="Times New Roman" w:hAnsi="Times New Roman" w:cs="Times New Roman"/>
          <w:bCs/>
        </w:rPr>
        <w:t xml:space="preserve"> Given that a significant amount of housing supply is coming from larger sites where risk of delay is higher </w:t>
      </w:r>
      <w:r w:rsidR="00D606FB">
        <w:rPr>
          <w:rFonts w:ascii="Times New Roman" w:hAnsi="Times New Roman" w:cs="Times New Roman"/>
          <w:bCs/>
        </w:rPr>
        <w:t>HBF welcome the fact that the</w:t>
      </w:r>
      <w:r w:rsidR="00486B1B">
        <w:rPr>
          <w:rFonts w:ascii="Times New Roman" w:hAnsi="Times New Roman" w:cs="Times New Roman"/>
          <w:bCs/>
        </w:rPr>
        <w:t xml:space="preserve"> Council has allocated sufficient land to deliver well over the minimum number of homes that it is required to plan for. </w:t>
      </w:r>
    </w:p>
    <w:p w14:paraId="54E142CD" w14:textId="751ECF2C" w:rsidR="006A48E1" w:rsidRDefault="006A48E1" w:rsidP="00AD7884">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Pr>
          <w:rFonts w:ascii="Times New Roman" w:hAnsi="Times New Roman" w:cs="Times New Roman"/>
          <w:bCs/>
        </w:rPr>
        <w:t xml:space="preserve">It is notable that some of the larger sites are expected to come forward within the first five years post adoption. </w:t>
      </w:r>
      <w:r w:rsidR="00FC0620">
        <w:rPr>
          <w:rFonts w:ascii="Times New Roman" w:hAnsi="Times New Roman" w:cs="Times New Roman"/>
          <w:bCs/>
        </w:rPr>
        <w:t xml:space="preserve">If the Council is to consider these sites to be deliverable it must, as required by the NPPF, have clear evidence that these sites will come forward at the point envisaged. </w:t>
      </w:r>
      <w:r w:rsidR="00825C9D">
        <w:rPr>
          <w:rFonts w:ascii="Times New Roman" w:hAnsi="Times New Roman" w:cs="Times New Roman"/>
          <w:bCs/>
        </w:rPr>
        <w:t>Part of this evidence must be that there is</w:t>
      </w:r>
      <w:r w:rsidR="00311808">
        <w:rPr>
          <w:rFonts w:ascii="Times New Roman" w:hAnsi="Times New Roman" w:cs="Times New Roman"/>
          <w:bCs/>
        </w:rPr>
        <w:t xml:space="preserve"> </w:t>
      </w:r>
      <w:r w:rsidR="00113A99">
        <w:rPr>
          <w:rFonts w:ascii="Times New Roman" w:hAnsi="Times New Roman" w:cs="Times New Roman"/>
          <w:bCs/>
        </w:rPr>
        <w:t>housebuilder</w:t>
      </w:r>
      <w:r w:rsidR="00311808">
        <w:rPr>
          <w:rFonts w:ascii="Times New Roman" w:hAnsi="Times New Roman" w:cs="Times New Roman"/>
          <w:bCs/>
        </w:rPr>
        <w:t xml:space="preserve"> </w:t>
      </w:r>
      <w:r w:rsidR="00113A99">
        <w:rPr>
          <w:rFonts w:ascii="Times New Roman" w:hAnsi="Times New Roman" w:cs="Times New Roman"/>
          <w:bCs/>
        </w:rPr>
        <w:t>interest</w:t>
      </w:r>
      <w:r w:rsidR="00311808">
        <w:rPr>
          <w:rFonts w:ascii="Times New Roman" w:hAnsi="Times New Roman" w:cs="Times New Roman"/>
          <w:bCs/>
        </w:rPr>
        <w:t xml:space="preserve"> in the site who have </w:t>
      </w:r>
      <w:r w:rsidR="00113A99">
        <w:rPr>
          <w:rFonts w:ascii="Times New Roman" w:hAnsi="Times New Roman" w:cs="Times New Roman"/>
          <w:bCs/>
        </w:rPr>
        <w:t>confirmed</w:t>
      </w:r>
      <w:r w:rsidR="00311808">
        <w:rPr>
          <w:rFonts w:ascii="Times New Roman" w:hAnsi="Times New Roman" w:cs="Times New Roman"/>
          <w:bCs/>
        </w:rPr>
        <w:t xml:space="preserve"> the delivery trajectories that are proposed by the Council. Such interest</w:t>
      </w:r>
      <w:r w:rsidR="00FC3B43">
        <w:rPr>
          <w:rFonts w:ascii="Times New Roman" w:hAnsi="Times New Roman" w:cs="Times New Roman"/>
          <w:bCs/>
        </w:rPr>
        <w:t>, along</w:t>
      </w:r>
      <w:r w:rsidR="00B21471">
        <w:rPr>
          <w:rFonts w:ascii="Times New Roman" w:hAnsi="Times New Roman" w:cs="Times New Roman"/>
          <w:bCs/>
        </w:rPr>
        <w:t xml:space="preserve">side evidence with regard to </w:t>
      </w:r>
      <w:r w:rsidR="00113A99">
        <w:rPr>
          <w:rFonts w:ascii="Times New Roman" w:hAnsi="Times New Roman" w:cs="Times New Roman"/>
          <w:bCs/>
        </w:rPr>
        <w:t xml:space="preserve">progress towards a </w:t>
      </w:r>
      <w:r w:rsidR="00F44F72">
        <w:rPr>
          <w:rFonts w:ascii="Times New Roman" w:hAnsi="Times New Roman" w:cs="Times New Roman"/>
          <w:bCs/>
        </w:rPr>
        <w:t xml:space="preserve">the submission of a planning application, </w:t>
      </w:r>
      <w:r w:rsidR="00113A99">
        <w:rPr>
          <w:rFonts w:ascii="Times New Roman" w:hAnsi="Times New Roman" w:cs="Times New Roman"/>
          <w:bCs/>
        </w:rPr>
        <w:t>viability</w:t>
      </w:r>
      <w:r w:rsidR="00B21471">
        <w:rPr>
          <w:rFonts w:ascii="Times New Roman" w:hAnsi="Times New Roman" w:cs="Times New Roman"/>
          <w:bCs/>
        </w:rPr>
        <w:t xml:space="preserve"> and delivery of necessary </w:t>
      </w:r>
      <w:r w:rsidR="00113A99">
        <w:rPr>
          <w:rFonts w:ascii="Times New Roman" w:hAnsi="Times New Roman" w:cs="Times New Roman"/>
          <w:bCs/>
        </w:rPr>
        <w:t>infrastructure,</w:t>
      </w:r>
      <w:r w:rsidR="00B21471">
        <w:rPr>
          <w:rFonts w:ascii="Times New Roman" w:hAnsi="Times New Roman" w:cs="Times New Roman"/>
          <w:bCs/>
        </w:rPr>
        <w:t xml:space="preserve"> is necessary to include </w:t>
      </w:r>
      <w:r w:rsidR="00113A99">
        <w:rPr>
          <w:rFonts w:ascii="Times New Roman" w:hAnsi="Times New Roman" w:cs="Times New Roman"/>
          <w:bCs/>
        </w:rPr>
        <w:t>larger</w:t>
      </w:r>
      <w:r w:rsidR="00B21471">
        <w:rPr>
          <w:rFonts w:ascii="Times New Roman" w:hAnsi="Times New Roman" w:cs="Times New Roman"/>
          <w:bCs/>
        </w:rPr>
        <w:t xml:space="preserve"> site</w:t>
      </w:r>
      <w:r w:rsidR="00113A99">
        <w:rPr>
          <w:rFonts w:ascii="Times New Roman" w:hAnsi="Times New Roman" w:cs="Times New Roman"/>
          <w:bCs/>
        </w:rPr>
        <w:t xml:space="preserve">s as coming forward in the first five years of the plan being adopted. </w:t>
      </w:r>
      <w:r w:rsidR="00FC3B43">
        <w:rPr>
          <w:rFonts w:ascii="Times New Roman" w:hAnsi="Times New Roman" w:cs="Times New Roman"/>
          <w:bCs/>
        </w:rPr>
        <w:t xml:space="preserve"> </w:t>
      </w:r>
    </w:p>
    <w:p w14:paraId="7A1770C2" w14:textId="48943C5F" w:rsidR="00486B1B" w:rsidRDefault="002D13BE" w:rsidP="00AD7884">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Pr>
          <w:rFonts w:ascii="Times New Roman" w:hAnsi="Times New Roman" w:cs="Times New Roman"/>
          <w:bCs/>
        </w:rPr>
        <w:t>P</w:t>
      </w:r>
      <w:r w:rsidR="00A80799">
        <w:rPr>
          <w:rFonts w:ascii="Times New Roman" w:hAnsi="Times New Roman" w:cs="Times New Roman"/>
          <w:bCs/>
        </w:rPr>
        <w:t>art of the supply</w:t>
      </w:r>
      <w:r w:rsidR="009E02EC">
        <w:rPr>
          <w:rFonts w:ascii="Times New Roman" w:hAnsi="Times New Roman" w:cs="Times New Roman"/>
          <w:bCs/>
        </w:rPr>
        <w:t xml:space="preserve"> </w:t>
      </w:r>
      <w:r w:rsidR="00A80799">
        <w:rPr>
          <w:rFonts w:ascii="Times New Roman" w:hAnsi="Times New Roman" w:cs="Times New Roman"/>
          <w:bCs/>
        </w:rPr>
        <w:t xml:space="preserve">over and above minimum housing </w:t>
      </w:r>
      <w:r w:rsidR="0059154E">
        <w:rPr>
          <w:rFonts w:ascii="Times New Roman" w:hAnsi="Times New Roman" w:cs="Times New Roman"/>
          <w:bCs/>
        </w:rPr>
        <w:t>requirement</w:t>
      </w:r>
      <w:r w:rsidR="00A80799">
        <w:rPr>
          <w:rFonts w:ascii="Times New Roman" w:hAnsi="Times New Roman" w:cs="Times New Roman"/>
          <w:bCs/>
        </w:rPr>
        <w:t xml:space="preserve"> comes from windfall </w:t>
      </w:r>
      <w:r w:rsidR="0059154E">
        <w:rPr>
          <w:rFonts w:ascii="Times New Roman" w:hAnsi="Times New Roman" w:cs="Times New Roman"/>
          <w:bCs/>
        </w:rPr>
        <w:t>development</w:t>
      </w:r>
      <w:r w:rsidR="00A80799">
        <w:rPr>
          <w:rFonts w:ascii="Times New Roman" w:hAnsi="Times New Roman" w:cs="Times New Roman"/>
          <w:bCs/>
        </w:rPr>
        <w:t xml:space="preserve"> which account f</w:t>
      </w:r>
      <w:r w:rsidR="0059154E">
        <w:rPr>
          <w:rFonts w:ascii="Times New Roman" w:hAnsi="Times New Roman" w:cs="Times New Roman"/>
          <w:bCs/>
        </w:rPr>
        <w:t>or nearly 13% of the Council housing supply</w:t>
      </w:r>
      <w:r w:rsidR="00CB435C">
        <w:rPr>
          <w:rFonts w:ascii="Times New Roman" w:hAnsi="Times New Roman" w:cs="Times New Roman"/>
          <w:bCs/>
        </w:rPr>
        <w:t xml:space="preserve">. This based on the assumption that at least 150 </w:t>
      </w:r>
      <w:r>
        <w:rPr>
          <w:rFonts w:ascii="Times New Roman" w:hAnsi="Times New Roman" w:cs="Times New Roman"/>
          <w:bCs/>
        </w:rPr>
        <w:t xml:space="preserve">dwellings will come forward on small windfall sites each year. The council consider this to be a modest figure on the basis that on average </w:t>
      </w:r>
      <w:r w:rsidR="003E7243">
        <w:rPr>
          <w:rFonts w:ascii="Times New Roman" w:hAnsi="Times New Roman" w:cs="Times New Roman"/>
          <w:bCs/>
        </w:rPr>
        <w:t xml:space="preserve">192 home have come forward </w:t>
      </w:r>
      <w:r w:rsidR="00B4447C">
        <w:rPr>
          <w:rFonts w:ascii="Times New Roman" w:hAnsi="Times New Roman" w:cs="Times New Roman"/>
          <w:bCs/>
        </w:rPr>
        <w:t>each</w:t>
      </w:r>
      <w:r w:rsidR="00F572E9">
        <w:rPr>
          <w:rFonts w:ascii="Times New Roman" w:hAnsi="Times New Roman" w:cs="Times New Roman"/>
          <w:bCs/>
        </w:rPr>
        <w:t xml:space="preserve"> </w:t>
      </w:r>
      <w:r w:rsidR="003E7243">
        <w:rPr>
          <w:rFonts w:ascii="Times New Roman" w:hAnsi="Times New Roman" w:cs="Times New Roman"/>
          <w:bCs/>
        </w:rPr>
        <w:t xml:space="preserve">year as windfall. This appears to be a relatively </w:t>
      </w:r>
      <w:r w:rsidR="00B4447C">
        <w:rPr>
          <w:rFonts w:ascii="Times New Roman" w:hAnsi="Times New Roman" w:cs="Times New Roman"/>
          <w:bCs/>
        </w:rPr>
        <w:t>strong</w:t>
      </w:r>
      <w:r w:rsidR="003E7243">
        <w:rPr>
          <w:rFonts w:ascii="Times New Roman" w:hAnsi="Times New Roman" w:cs="Times New Roman"/>
          <w:bCs/>
        </w:rPr>
        <w:t xml:space="preserve"> </w:t>
      </w:r>
      <w:r w:rsidR="00F572E9">
        <w:rPr>
          <w:rFonts w:ascii="Times New Roman" w:hAnsi="Times New Roman" w:cs="Times New Roman"/>
          <w:bCs/>
        </w:rPr>
        <w:t>supply,</w:t>
      </w:r>
      <w:r w:rsidR="003E7243">
        <w:rPr>
          <w:rFonts w:ascii="Times New Roman" w:hAnsi="Times New Roman" w:cs="Times New Roman"/>
          <w:bCs/>
        </w:rPr>
        <w:t xml:space="preserve"> however</w:t>
      </w:r>
      <w:r w:rsidR="00B4447C">
        <w:rPr>
          <w:rFonts w:ascii="Times New Roman" w:hAnsi="Times New Roman" w:cs="Times New Roman"/>
          <w:bCs/>
        </w:rPr>
        <w:t xml:space="preserve"> there</w:t>
      </w:r>
      <w:r w:rsidR="00F572E9">
        <w:rPr>
          <w:rFonts w:ascii="Times New Roman" w:hAnsi="Times New Roman" w:cs="Times New Roman"/>
          <w:bCs/>
        </w:rPr>
        <w:t xml:space="preserve"> </w:t>
      </w:r>
      <w:r w:rsidR="00B4447C">
        <w:rPr>
          <w:rFonts w:ascii="Times New Roman" w:hAnsi="Times New Roman" w:cs="Times New Roman"/>
          <w:bCs/>
        </w:rPr>
        <w:t xml:space="preserve">is also uncertainty as to whether windfall will continue </w:t>
      </w:r>
      <w:r w:rsidR="00F36D62">
        <w:rPr>
          <w:rFonts w:ascii="Times New Roman" w:hAnsi="Times New Roman" w:cs="Times New Roman"/>
          <w:bCs/>
        </w:rPr>
        <w:t xml:space="preserve">to follow pasty trends and as </w:t>
      </w:r>
      <w:r w:rsidR="00F572E9">
        <w:rPr>
          <w:rFonts w:ascii="Times New Roman" w:hAnsi="Times New Roman" w:cs="Times New Roman"/>
          <w:bCs/>
        </w:rPr>
        <w:t>such,</w:t>
      </w:r>
      <w:r w:rsidR="00F36D62">
        <w:rPr>
          <w:rFonts w:ascii="Times New Roman" w:hAnsi="Times New Roman" w:cs="Times New Roman"/>
          <w:bCs/>
        </w:rPr>
        <w:t xml:space="preserve"> we welcome the </w:t>
      </w:r>
      <w:r w:rsidR="00F572E9">
        <w:rPr>
          <w:rFonts w:ascii="Times New Roman" w:hAnsi="Times New Roman" w:cs="Times New Roman"/>
          <w:bCs/>
        </w:rPr>
        <w:t xml:space="preserve">decision to slightly moderate expectations and that the Council is not seeking to rely on windfall to meet its housing needs over the plan period. </w:t>
      </w:r>
      <w:r w:rsidR="002E38F6">
        <w:rPr>
          <w:rFonts w:ascii="Times New Roman" w:hAnsi="Times New Roman" w:cs="Times New Roman"/>
          <w:bCs/>
        </w:rPr>
        <w:t xml:space="preserve">However, HBF are concerned that the Council </w:t>
      </w:r>
      <w:r w:rsidR="003D7C66">
        <w:rPr>
          <w:rFonts w:ascii="Times New Roman" w:hAnsi="Times New Roman" w:cs="Times New Roman"/>
          <w:bCs/>
        </w:rPr>
        <w:t>intends</w:t>
      </w:r>
      <w:r w:rsidR="002E38F6">
        <w:rPr>
          <w:rFonts w:ascii="Times New Roman" w:hAnsi="Times New Roman" w:cs="Times New Roman"/>
          <w:bCs/>
        </w:rPr>
        <w:t xml:space="preserve"> to rely on windfall </w:t>
      </w:r>
      <w:r w:rsidR="003D7C66">
        <w:rPr>
          <w:rFonts w:ascii="Times New Roman" w:hAnsi="Times New Roman" w:cs="Times New Roman"/>
          <w:bCs/>
        </w:rPr>
        <w:t xml:space="preserve">within first five year following the adoption of the local plan. </w:t>
      </w:r>
      <w:r w:rsidR="00B219C9">
        <w:rPr>
          <w:rFonts w:ascii="Times New Roman" w:hAnsi="Times New Roman" w:cs="Times New Roman"/>
          <w:bCs/>
        </w:rPr>
        <w:t xml:space="preserve">We note that in </w:t>
      </w:r>
      <w:r w:rsidR="001D70D2">
        <w:rPr>
          <w:rFonts w:ascii="Times New Roman" w:hAnsi="Times New Roman" w:cs="Times New Roman"/>
          <w:bCs/>
        </w:rPr>
        <w:t>Appendix</w:t>
      </w:r>
      <w:r w:rsidR="00B219C9">
        <w:rPr>
          <w:rFonts w:ascii="Times New Roman" w:hAnsi="Times New Roman" w:cs="Times New Roman"/>
          <w:bCs/>
        </w:rPr>
        <w:t xml:space="preserve"> 2 the housing trajectory </w:t>
      </w:r>
      <w:r w:rsidR="001D70D2">
        <w:rPr>
          <w:rFonts w:ascii="Times New Roman" w:hAnsi="Times New Roman" w:cs="Times New Roman"/>
          <w:bCs/>
        </w:rPr>
        <w:t>includes</w:t>
      </w:r>
      <w:r w:rsidR="00B219C9">
        <w:rPr>
          <w:rFonts w:ascii="Times New Roman" w:hAnsi="Times New Roman" w:cs="Times New Roman"/>
          <w:bCs/>
        </w:rPr>
        <w:t xml:space="preserve"> windfalls from </w:t>
      </w:r>
      <w:r w:rsidR="001D70D2">
        <w:rPr>
          <w:rFonts w:ascii="Times New Roman" w:hAnsi="Times New Roman" w:cs="Times New Roman"/>
          <w:bCs/>
        </w:rPr>
        <w:t>2027/28</w:t>
      </w:r>
      <w:r w:rsidR="006F06E0">
        <w:rPr>
          <w:rFonts w:ascii="Times New Roman" w:hAnsi="Times New Roman" w:cs="Times New Roman"/>
          <w:bCs/>
        </w:rPr>
        <w:t xml:space="preserve"> and as such t</w:t>
      </w:r>
      <w:r w:rsidR="005E393B">
        <w:rPr>
          <w:rFonts w:ascii="Times New Roman" w:hAnsi="Times New Roman" w:cs="Times New Roman"/>
          <w:bCs/>
        </w:rPr>
        <w:t xml:space="preserve">here is a risk that there </w:t>
      </w:r>
      <w:r w:rsidR="00B25251">
        <w:rPr>
          <w:rFonts w:ascii="Times New Roman" w:hAnsi="Times New Roman" w:cs="Times New Roman"/>
          <w:bCs/>
        </w:rPr>
        <w:t>will</w:t>
      </w:r>
      <w:r w:rsidR="005E393B">
        <w:rPr>
          <w:rFonts w:ascii="Times New Roman" w:hAnsi="Times New Roman" w:cs="Times New Roman"/>
          <w:bCs/>
        </w:rPr>
        <w:t xml:space="preserve"> be come degree of overlap </w:t>
      </w:r>
      <w:r w:rsidR="006F06E0">
        <w:rPr>
          <w:rFonts w:ascii="Times New Roman" w:hAnsi="Times New Roman" w:cs="Times New Roman"/>
          <w:bCs/>
        </w:rPr>
        <w:t>between</w:t>
      </w:r>
      <w:r w:rsidR="005E393B">
        <w:rPr>
          <w:rFonts w:ascii="Times New Roman" w:hAnsi="Times New Roman" w:cs="Times New Roman"/>
          <w:bCs/>
        </w:rPr>
        <w:t xml:space="preserve"> existing c</w:t>
      </w:r>
      <w:r w:rsidR="00B25251">
        <w:rPr>
          <w:rFonts w:ascii="Times New Roman" w:hAnsi="Times New Roman" w:cs="Times New Roman"/>
          <w:bCs/>
        </w:rPr>
        <w:t xml:space="preserve">ommitments at the point at which the plan is adopted and </w:t>
      </w:r>
      <w:r w:rsidR="00C56B6F">
        <w:rPr>
          <w:rFonts w:ascii="Times New Roman" w:hAnsi="Times New Roman" w:cs="Times New Roman"/>
          <w:bCs/>
        </w:rPr>
        <w:t>windfall assumptions. To ensure that this</w:t>
      </w:r>
      <w:r w:rsidR="000C5EE3">
        <w:rPr>
          <w:rFonts w:ascii="Times New Roman" w:hAnsi="Times New Roman" w:cs="Times New Roman"/>
          <w:bCs/>
        </w:rPr>
        <w:t xml:space="preserve"> </w:t>
      </w:r>
      <w:r w:rsidR="00C56B6F">
        <w:rPr>
          <w:rFonts w:ascii="Times New Roman" w:hAnsi="Times New Roman" w:cs="Times New Roman"/>
          <w:bCs/>
        </w:rPr>
        <w:t xml:space="preserve">is not the case HBF </w:t>
      </w:r>
      <w:r w:rsidR="00E65067">
        <w:rPr>
          <w:rFonts w:ascii="Times New Roman" w:hAnsi="Times New Roman" w:cs="Times New Roman"/>
          <w:bCs/>
        </w:rPr>
        <w:t>would</w:t>
      </w:r>
      <w:r w:rsidR="00C56B6F">
        <w:rPr>
          <w:rFonts w:ascii="Times New Roman" w:hAnsi="Times New Roman" w:cs="Times New Roman"/>
          <w:bCs/>
        </w:rPr>
        <w:t xml:space="preserve"> recommend that windfall is not </w:t>
      </w:r>
      <w:r w:rsidR="00B02886">
        <w:rPr>
          <w:rFonts w:ascii="Times New Roman" w:hAnsi="Times New Roman" w:cs="Times New Roman"/>
          <w:bCs/>
        </w:rPr>
        <w:t>included</w:t>
      </w:r>
      <w:r w:rsidR="00E65067">
        <w:rPr>
          <w:rFonts w:ascii="Times New Roman" w:hAnsi="Times New Roman" w:cs="Times New Roman"/>
          <w:bCs/>
        </w:rPr>
        <w:t xml:space="preserve"> in the first </w:t>
      </w:r>
      <w:r w:rsidR="00B02886">
        <w:rPr>
          <w:rFonts w:ascii="Times New Roman" w:hAnsi="Times New Roman" w:cs="Times New Roman"/>
          <w:bCs/>
        </w:rPr>
        <w:t>two</w:t>
      </w:r>
      <w:r w:rsidR="00E65067">
        <w:rPr>
          <w:rFonts w:ascii="Times New Roman" w:hAnsi="Times New Roman" w:cs="Times New Roman"/>
          <w:bCs/>
        </w:rPr>
        <w:t xml:space="preserve"> </w:t>
      </w:r>
      <w:r w:rsidR="00B02886">
        <w:rPr>
          <w:rFonts w:ascii="Times New Roman" w:hAnsi="Times New Roman" w:cs="Times New Roman"/>
          <w:bCs/>
        </w:rPr>
        <w:t>years</w:t>
      </w:r>
      <w:r w:rsidR="00E65067">
        <w:rPr>
          <w:rFonts w:ascii="Times New Roman" w:hAnsi="Times New Roman" w:cs="Times New Roman"/>
          <w:bCs/>
        </w:rPr>
        <w:t xml:space="preserve"> </w:t>
      </w:r>
      <w:r w:rsidR="00B02886">
        <w:rPr>
          <w:rFonts w:ascii="Times New Roman" w:hAnsi="Times New Roman" w:cs="Times New Roman"/>
          <w:bCs/>
        </w:rPr>
        <w:t>post</w:t>
      </w:r>
      <w:r w:rsidR="00E65067">
        <w:rPr>
          <w:rFonts w:ascii="Times New Roman" w:hAnsi="Times New Roman" w:cs="Times New Roman"/>
          <w:bCs/>
        </w:rPr>
        <w:t xml:space="preserve"> adoption. </w:t>
      </w:r>
      <w:r w:rsidR="00B02886">
        <w:rPr>
          <w:rFonts w:ascii="Times New Roman" w:hAnsi="Times New Roman" w:cs="Times New Roman"/>
          <w:bCs/>
        </w:rPr>
        <w:t>This</w:t>
      </w:r>
      <w:r w:rsidR="00E65067">
        <w:rPr>
          <w:rFonts w:ascii="Times New Roman" w:hAnsi="Times New Roman" w:cs="Times New Roman"/>
          <w:bCs/>
        </w:rPr>
        <w:t xml:space="preserve"> would also be consistent with the </w:t>
      </w:r>
      <w:r w:rsidR="00B02886">
        <w:rPr>
          <w:rFonts w:ascii="Times New Roman" w:hAnsi="Times New Roman" w:cs="Times New Roman"/>
          <w:bCs/>
        </w:rPr>
        <w:t>Council</w:t>
      </w:r>
      <w:r w:rsidR="00E65067">
        <w:rPr>
          <w:rFonts w:ascii="Times New Roman" w:hAnsi="Times New Roman" w:cs="Times New Roman"/>
          <w:bCs/>
        </w:rPr>
        <w:t xml:space="preserve">’s own approach </w:t>
      </w:r>
      <w:r w:rsidR="00363FF2">
        <w:rPr>
          <w:rFonts w:ascii="Times New Roman" w:hAnsi="Times New Roman" w:cs="Times New Roman"/>
          <w:bCs/>
        </w:rPr>
        <w:t xml:space="preserve">to </w:t>
      </w:r>
      <w:r w:rsidR="000C5EE3">
        <w:rPr>
          <w:rFonts w:ascii="Times New Roman" w:hAnsi="Times New Roman" w:cs="Times New Roman"/>
          <w:bCs/>
        </w:rPr>
        <w:t>established in the Five-year</w:t>
      </w:r>
      <w:r w:rsidR="00363FF2">
        <w:rPr>
          <w:rFonts w:ascii="Times New Roman" w:hAnsi="Times New Roman" w:cs="Times New Roman"/>
          <w:bCs/>
        </w:rPr>
        <w:t xml:space="preserve"> </w:t>
      </w:r>
      <w:r w:rsidR="000C5EE3">
        <w:rPr>
          <w:rFonts w:ascii="Times New Roman" w:hAnsi="Times New Roman" w:cs="Times New Roman"/>
          <w:bCs/>
        </w:rPr>
        <w:t>housing</w:t>
      </w:r>
      <w:r w:rsidR="00363FF2">
        <w:rPr>
          <w:rFonts w:ascii="Times New Roman" w:hAnsi="Times New Roman" w:cs="Times New Roman"/>
          <w:bCs/>
        </w:rPr>
        <w:t xml:space="preserve"> land </w:t>
      </w:r>
      <w:r w:rsidR="000C5EE3">
        <w:rPr>
          <w:rFonts w:ascii="Times New Roman" w:hAnsi="Times New Roman" w:cs="Times New Roman"/>
          <w:bCs/>
        </w:rPr>
        <w:t>supply statement,</w:t>
      </w:r>
      <w:r w:rsidR="00363FF2">
        <w:rPr>
          <w:rFonts w:ascii="Times New Roman" w:hAnsi="Times New Roman" w:cs="Times New Roman"/>
          <w:bCs/>
        </w:rPr>
        <w:t xml:space="preserve"> which does not include any windfall </w:t>
      </w:r>
      <w:r w:rsidR="000C5EE3">
        <w:rPr>
          <w:rFonts w:ascii="Times New Roman" w:hAnsi="Times New Roman" w:cs="Times New Roman"/>
          <w:bCs/>
        </w:rPr>
        <w:t>within the</w:t>
      </w:r>
      <w:r w:rsidR="00363FF2">
        <w:rPr>
          <w:rFonts w:ascii="Times New Roman" w:hAnsi="Times New Roman" w:cs="Times New Roman"/>
          <w:bCs/>
        </w:rPr>
        <w:t xml:space="preserve"> first </w:t>
      </w:r>
      <w:r w:rsidR="00B02886">
        <w:rPr>
          <w:rFonts w:ascii="Times New Roman" w:hAnsi="Times New Roman" w:cs="Times New Roman"/>
          <w:bCs/>
        </w:rPr>
        <w:t>two</w:t>
      </w:r>
      <w:r w:rsidR="00363FF2">
        <w:rPr>
          <w:rFonts w:ascii="Times New Roman" w:hAnsi="Times New Roman" w:cs="Times New Roman"/>
          <w:bCs/>
        </w:rPr>
        <w:t xml:space="preserve"> years. </w:t>
      </w:r>
    </w:p>
    <w:p w14:paraId="7E8F2490" w14:textId="288BDA0B" w:rsidR="00F44F72" w:rsidRPr="001C1E85" w:rsidRDefault="00F44F72" w:rsidP="00F44F72">
      <w:pPr>
        <w:widowControl/>
        <w:suppressAutoHyphens w:val="0"/>
        <w:autoSpaceDE/>
        <w:spacing w:after="240" w:line="360" w:lineRule="auto"/>
        <w:jc w:val="both"/>
        <w:rPr>
          <w:rFonts w:ascii="Times New Roman" w:hAnsi="Times New Roman" w:cs="Times New Roman"/>
          <w:bCs/>
          <w:i/>
          <w:iCs/>
        </w:rPr>
      </w:pPr>
      <w:r w:rsidRPr="001C1E85">
        <w:rPr>
          <w:rFonts w:ascii="Times New Roman" w:hAnsi="Times New Roman" w:cs="Times New Roman"/>
          <w:bCs/>
          <w:i/>
          <w:iCs/>
        </w:rPr>
        <w:t>Five year housing land supply</w:t>
      </w:r>
    </w:p>
    <w:p w14:paraId="244FA02E" w14:textId="6A37C89B" w:rsidR="00E20C8F" w:rsidRPr="002E6507" w:rsidRDefault="002E6507" w:rsidP="002E6507">
      <w:pPr>
        <w:widowControl/>
        <w:suppressAutoHyphens w:val="0"/>
        <w:autoSpaceDE/>
        <w:spacing w:after="240" w:line="360" w:lineRule="auto"/>
        <w:ind w:left="360"/>
        <w:jc w:val="both"/>
        <w:rPr>
          <w:rFonts w:ascii="Times New Roman" w:hAnsi="Times New Roman" w:cs="Times New Roman"/>
          <w:bCs/>
        </w:rPr>
      </w:pPr>
      <w:r>
        <w:rPr>
          <w:rFonts w:ascii="Times New Roman" w:hAnsi="Times New Roman" w:cs="Times New Roman"/>
          <w:bCs/>
        </w:rPr>
        <w:lastRenderedPageBreak/>
        <w:t>Firstly, t</w:t>
      </w:r>
      <w:r w:rsidR="00D70D28" w:rsidRPr="002E6507">
        <w:rPr>
          <w:rFonts w:ascii="Times New Roman" w:hAnsi="Times New Roman" w:cs="Times New Roman"/>
          <w:bCs/>
        </w:rPr>
        <w:t>he Council will need to ensure they have a five year housing land suppl</w:t>
      </w:r>
      <w:r w:rsidR="00A520C9" w:rsidRPr="002E6507">
        <w:rPr>
          <w:rFonts w:ascii="Times New Roman" w:hAnsi="Times New Roman" w:cs="Times New Roman"/>
          <w:bCs/>
        </w:rPr>
        <w:t>y</w:t>
      </w:r>
      <w:r w:rsidR="00D70D28" w:rsidRPr="002E6507">
        <w:rPr>
          <w:rFonts w:ascii="Times New Roman" w:hAnsi="Times New Roman" w:cs="Times New Roman"/>
          <w:bCs/>
        </w:rPr>
        <w:t xml:space="preserve"> on adoption. </w:t>
      </w:r>
      <w:r w:rsidR="00653D1C" w:rsidRPr="002E6507">
        <w:rPr>
          <w:rFonts w:ascii="Times New Roman" w:hAnsi="Times New Roman" w:cs="Times New Roman"/>
          <w:bCs/>
        </w:rPr>
        <w:t xml:space="preserve">If the plan is to be adopted at </w:t>
      </w:r>
      <w:r w:rsidR="00393F97" w:rsidRPr="002E6507">
        <w:rPr>
          <w:rFonts w:ascii="Times New Roman" w:hAnsi="Times New Roman" w:cs="Times New Roman"/>
          <w:bCs/>
        </w:rPr>
        <w:t>t</w:t>
      </w:r>
      <w:r w:rsidR="00653D1C" w:rsidRPr="002E6507">
        <w:rPr>
          <w:rFonts w:ascii="Times New Roman" w:hAnsi="Times New Roman" w:cs="Times New Roman"/>
          <w:bCs/>
        </w:rPr>
        <w:t xml:space="preserve">he start of 2028, as likely if </w:t>
      </w:r>
      <w:r w:rsidR="00831714" w:rsidRPr="002E6507">
        <w:rPr>
          <w:rFonts w:ascii="Times New Roman" w:hAnsi="Times New Roman" w:cs="Times New Roman"/>
          <w:bCs/>
        </w:rPr>
        <w:t>submitted</w:t>
      </w:r>
      <w:r w:rsidR="00653D1C" w:rsidRPr="002E6507">
        <w:rPr>
          <w:rFonts w:ascii="Times New Roman" w:hAnsi="Times New Roman" w:cs="Times New Roman"/>
          <w:bCs/>
        </w:rPr>
        <w:t xml:space="preserve"> in </w:t>
      </w:r>
      <w:r w:rsidR="00831714" w:rsidRPr="002E6507">
        <w:rPr>
          <w:rFonts w:ascii="Times New Roman" w:hAnsi="Times New Roman" w:cs="Times New Roman"/>
          <w:bCs/>
        </w:rPr>
        <w:t>December</w:t>
      </w:r>
      <w:r w:rsidR="00653D1C" w:rsidRPr="002E6507">
        <w:rPr>
          <w:rFonts w:ascii="Times New Roman" w:hAnsi="Times New Roman" w:cs="Times New Roman"/>
          <w:bCs/>
        </w:rPr>
        <w:t xml:space="preserve"> next year, </w:t>
      </w:r>
      <w:r w:rsidR="00831714" w:rsidRPr="002E6507">
        <w:rPr>
          <w:rFonts w:ascii="Times New Roman" w:hAnsi="Times New Roman" w:cs="Times New Roman"/>
          <w:bCs/>
        </w:rPr>
        <w:t xml:space="preserve">the Council would have a </w:t>
      </w:r>
      <w:r w:rsidR="00393F97" w:rsidRPr="002E6507">
        <w:rPr>
          <w:rFonts w:ascii="Times New Roman" w:hAnsi="Times New Roman" w:cs="Times New Roman"/>
          <w:bCs/>
        </w:rPr>
        <w:t xml:space="preserve">land supply of 4.68 years if a 5% buffer is </w:t>
      </w:r>
      <w:r w:rsidR="00554CA5" w:rsidRPr="002E6507">
        <w:rPr>
          <w:rFonts w:ascii="Times New Roman" w:hAnsi="Times New Roman" w:cs="Times New Roman"/>
          <w:bCs/>
        </w:rPr>
        <w:t xml:space="preserve">applied. However, on the basis of past supply in the three years prior to </w:t>
      </w:r>
      <w:r w:rsidR="0042103B" w:rsidRPr="002E6507">
        <w:rPr>
          <w:rFonts w:ascii="Times New Roman" w:hAnsi="Times New Roman" w:cs="Times New Roman"/>
          <w:bCs/>
        </w:rPr>
        <w:t>adoption the housing supply would be just 45% of the housing requirement</w:t>
      </w:r>
      <w:r w:rsidR="001533CD" w:rsidRPr="002E6507">
        <w:rPr>
          <w:rFonts w:ascii="Times New Roman" w:hAnsi="Times New Roman" w:cs="Times New Roman"/>
          <w:bCs/>
        </w:rPr>
        <w:t xml:space="preserve">. On the basis of paragraph 78 this would require the Council to apply a 20% buffer when calculating its five year housing land supply. </w:t>
      </w:r>
      <w:r w:rsidR="00050ECE" w:rsidRPr="002E6507">
        <w:rPr>
          <w:rFonts w:ascii="Times New Roman" w:hAnsi="Times New Roman" w:cs="Times New Roman"/>
          <w:bCs/>
        </w:rPr>
        <w:t xml:space="preserve">The result of this is that in </w:t>
      </w:r>
      <w:r w:rsidR="002F3590" w:rsidRPr="002E6507">
        <w:rPr>
          <w:rFonts w:ascii="Times New Roman" w:hAnsi="Times New Roman" w:cs="Times New Roman"/>
          <w:bCs/>
        </w:rPr>
        <w:t>both 2027/28 and 2028/29 the Council would not have a five year housing land supply</w:t>
      </w:r>
      <w:r>
        <w:rPr>
          <w:rStyle w:val="FootnoteReference"/>
          <w:rFonts w:ascii="Times New Roman" w:hAnsi="Times New Roman" w:cs="Times New Roman"/>
          <w:bCs/>
        </w:rPr>
        <w:footnoteReference w:id="1"/>
      </w:r>
      <w:r w:rsidR="002F3590" w:rsidRPr="002E6507">
        <w:rPr>
          <w:rFonts w:ascii="Times New Roman" w:hAnsi="Times New Roman" w:cs="Times New Roman"/>
          <w:bCs/>
        </w:rPr>
        <w:t xml:space="preserve">. </w:t>
      </w:r>
      <w:r w:rsidR="00383F96" w:rsidRPr="002E6507">
        <w:rPr>
          <w:rFonts w:ascii="Times New Roman" w:hAnsi="Times New Roman" w:cs="Times New Roman"/>
          <w:bCs/>
        </w:rPr>
        <w:t>In order to ensure there is five year land supply on adoption the Council should allocate additional small and medium sized sites that would deliver in the first five years of the local plan.</w:t>
      </w:r>
    </w:p>
    <w:p w14:paraId="103AFBB9" w14:textId="7DABB796" w:rsidR="00E20C8F" w:rsidRDefault="001C2EF9" w:rsidP="00E20C8F">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Pr>
          <w:rFonts w:ascii="Times New Roman" w:hAnsi="Times New Roman" w:cs="Times New Roman"/>
          <w:bCs/>
        </w:rPr>
        <w:t xml:space="preserve">The policy </w:t>
      </w:r>
      <w:r w:rsidR="002709BB">
        <w:rPr>
          <w:rFonts w:ascii="Times New Roman" w:hAnsi="Times New Roman" w:cs="Times New Roman"/>
          <w:bCs/>
        </w:rPr>
        <w:t xml:space="preserve">repeats national policy with regard to the five year housing land supply </w:t>
      </w:r>
      <w:r w:rsidR="00F06B03">
        <w:rPr>
          <w:rFonts w:ascii="Times New Roman" w:hAnsi="Times New Roman" w:cs="Times New Roman"/>
          <w:bCs/>
        </w:rPr>
        <w:t xml:space="preserve">and given that the NPPF suggests </w:t>
      </w:r>
      <w:r w:rsidR="00366F25">
        <w:rPr>
          <w:rFonts w:ascii="Times New Roman" w:hAnsi="Times New Roman" w:cs="Times New Roman"/>
          <w:bCs/>
        </w:rPr>
        <w:t>council’s</w:t>
      </w:r>
      <w:r w:rsidR="00F06B03">
        <w:rPr>
          <w:rFonts w:ascii="Times New Roman" w:hAnsi="Times New Roman" w:cs="Times New Roman"/>
          <w:bCs/>
        </w:rPr>
        <w:t xml:space="preserve"> </w:t>
      </w:r>
      <w:r w:rsidR="00366F25">
        <w:rPr>
          <w:rFonts w:ascii="Times New Roman" w:hAnsi="Times New Roman" w:cs="Times New Roman"/>
          <w:bCs/>
        </w:rPr>
        <w:t>avoid</w:t>
      </w:r>
      <w:r w:rsidR="00F06B03">
        <w:rPr>
          <w:rFonts w:ascii="Times New Roman" w:hAnsi="Times New Roman" w:cs="Times New Roman"/>
          <w:bCs/>
        </w:rPr>
        <w:t xml:space="preserve"> </w:t>
      </w:r>
      <w:r w:rsidR="00366F25">
        <w:rPr>
          <w:rFonts w:ascii="Times New Roman" w:hAnsi="Times New Roman" w:cs="Times New Roman"/>
          <w:bCs/>
        </w:rPr>
        <w:t>repeating</w:t>
      </w:r>
      <w:r w:rsidR="00F06B03">
        <w:rPr>
          <w:rFonts w:ascii="Times New Roman" w:hAnsi="Times New Roman" w:cs="Times New Roman"/>
          <w:bCs/>
        </w:rPr>
        <w:t xml:space="preserve"> policy consideration sh</w:t>
      </w:r>
      <w:r w:rsidR="00A511D9">
        <w:rPr>
          <w:rFonts w:ascii="Times New Roman" w:hAnsi="Times New Roman" w:cs="Times New Roman"/>
          <w:bCs/>
        </w:rPr>
        <w:t xml:space="preserve">ould be </w:t>
      </w:r>
      <w:r w:rsidR="00366F25">
        <w:rPr>
          <w:rFonts w:ascii="Times New Roman" w:hAnsi="Times New Roman" w:cs="Times New Roman"/>
          <w:bCs/>
        </w:rPr>
        <w:t>given</w:t>
      </w:r>
      <w:r w:rsidR="00A511D9">
        <w:rPr>
          <w:rFonts w:ascii="Times New Roman" w:hAnsi="Times New Roman" w:cs="Times New Roman"/>
          <w:bCs/>
        </w:rPr>
        <w:t xml:space="preserve"> as the value of including this </w:t>
      </w:r>
      <w:r w:rsidR="00366F25">
        <w:rPr>
          <w:rFonts w:ascii="Times New Roman" w:hAnsi="Times New Roman" w:cs="Times New Roman"/>
          <w:bCs/>
        </w:rPr>
        <w:t>within the</w:t>
      </w:r>
      <w:r w:rsidR="00A511D9">
        <w:rPr>
          <w:rFonts w:ascii="Times New Roman" w:hAnsi="Times New Roman" w:cs="Times New Roman"/>
          <w:bCs/>
        </w:rPr>
        <w:t xml:space="preserve"> policy. If it is through to </w:t>
      </w:r>
      <w:r w:rsidR="00B3316C">
        <w:rPr>
          <w:rFonts w:ascii="Times New Roman" w:hAnsi="Times New Roman" w:cs="Times New Roman"/>
          <w:bCs/>
        </w:rPr>
        <w:t>the</w:t>
      </w:r>
      <w:r w:rsidR="00A511D9">
        <w:rPr>
          <w:rFonts w:ascii="Times New Roman" w:hAnsi="Times New Roman" w:cs="Times New Roman"/>
          <w:bCs/>
        </w:rPr>
        <w:t xml:space="preserve"> necessary HBF would suggest that it provides greater detail as to what </w:t>
      </w:r>
      <w:r w:rsidR="00B3316C">
        <w:rPr>
          <w:rFonts w:ascii="Times New Roman" w:hAnsi="Times New Roman" w:cs="Times New Roman"/>
          <w:bCs/>
        </w:rPr>
        <w:t xml:space="preserve">other proactive steps </w:t>
      </w:r>
      <w:r w:rsidR="00A511D9">
        <w:rPr>
          <w:rFonts w:ascii="Times New Roman" w:hAnsi="Times New Roman" w:cs="Times New Roman"/>
          <w:bCs/>
        </w:rPr>
        <w:t xml:space="preserve">the council might do to ensure it </w:t>
      </w:r>
      <w:r w:rsidR="00366F25">
        <w:rPr>
          <w:rFonts w:ascii="Times New Roman" w:hAnsi="Times New Roman" w:cs="Times New Roman"/>
          <w:bCs/>
        </w:rPr>
        <w:t>maintain</w:t>
      </w:r>
      <w:r w:rsidR="00B3316C">
        <w:rPr>
          <w:rFonts w:ascii="Times New Roman" w:hAnsi="Times New Roman" w:cs="Times New Roman"/>
          <w:bCs/>
        </w:rPr>
        <w:t>s</w:t>
      </w:r>
      <w:r w:rsidR="00A511D9">
        <w:rPr>
          <w:rFonts w:ascii="Times New Roman" w:hAnsi="Times New Roman" w:cs="Times New Roman"/>
          <w:bCs/>
        </w:rPr>
        <w:t xml:space="preserve"> a five y</w:t>
      </w:r>
      <w:r w:rsidR="00B3316C">
        <w:rPr>
          <w:rFonts w:ascii="Times New Roman" w:hAnsi="Times New Roman" w:cs="Times New Roman"/>
          <w:bCs/>
        </w:rPr>
        <w:t>e</w:t>
      </w:r>
      <w:r w:rsidR="00A511D9">
        <w:rPr>
          <w:rFonts w:ascii="Times New Roman" w:hAnsi="Times New Roman" w:cs="Times New Roman"/>
          <w:bCs/>
        </w:rPr>
        <w:t xml:space="preserve">ar land supply alongside giving </w:t>
      </w:r>
      <w:r w:rsidR="00366F25">
        <w:rPr>
          <w:rFonts w:ascii="Times New Roman" w:hAnsi="Times New Roman" w:cs="Times New Roman"/>
          <w:bCs/>
        </w:rPr>
        <w:t>favorable</w:t>
      </w:r>
      <w:r w:rsidR="0024640A">
        <w:rPr>
          <w:rFonts w:ascii="Times New Roman" w:hAnsi="Times New Roman" w:cs="Times New Roman"/>
          <w:bCs/>
        </w:rPr>
        <w:t xml:space="preserve"> consideration to additional sites. </w:t>
      </w:r>
    </w:p>
    <w:p w14:paraId="6FEF61EA" w14:textId="1A05D88B" w:rsidR="001C1E85" w:rsidRPr="001C1E85" w:rsidRDefault="001C1E85" w:rsidP="001C1E85">
      <w:pPr>
        <w:widowControl/>
        <w:suppressAutoHyphens w:val="0"/>
        <w:autoSpaceDE/>
        <w:spacing w:after="240" w:line="360" w:lineRule="auto"/>
        <w:jc w:val="both"/>
        <w:rPr>
          <w:rFonts w:ascii="Times New Roman" w:hAnsi="Times New Roman" w:cs="Times New Roman"/>
          <w:bCs/>
          <w:i/>
          <w:iCs/>
        </w:rPr>
      </w:pPr>
      <w:r w:rsidRPr="001C1E85">
        <w:rPr>
          <w:rFonts w:ascii="Times New Roman" w:hAnsi="Times New Roman" w:cs="Times New Roman"/>
          <w:bCs/>
          <w:i/>
          <w:iCs/>
        </w:rPr>
        <w:t xml:space="preserve">Small sites </w:t>
      </w:r>
    </w:p>
    <w:p w14:paraId="16C92050" w14:textId="244C9F29" w:rsidR="00734DBE" w:rsidRPr="00734DBE" w:rsidRDefault="002A2D6B" w:rsidP="0088489A">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Pr>
          <w:rFonts w:ascii="Times New Roman" w:hAnsi="Times New Roman" w:cs="Times New Roman"/>
          <w:bCs/>
        </w:rPr>
        <w:t>The Council must ensure that</w:t>
      </w:r>
      <w:r w:rsidR="00734DBE" w:rsidRPr="00734DBE">
        <w:rPr>
          <w:rFonts w:ascii="Times New Roman" w:hAnsi="Times New Roman" w:cs="Times New Roman"/>
          <w:bCs/>
        </w:rPr>
        <w:t xml:space="preserve"> it meets the </w:t>
      </w:r>
      <w:r>
        <w:rPr>
          <w:rFonts w:ascii="Times New Roman" w:hAnsi="Times New Roman" w:cs="Times New Roman"/>
          <w:bCs/>
        </w:rPr>
        <w:t>requirements in</w:t>
      </w:r>
      <w:r w:rsidR="00734DBE" w:rsidRPr="00734DBE">
        <w:rPr>
          <w:rFonts w:ascii="Times New Roman" w:hAnsi="Times New Roman" w:cs="Times New Roman"/>
          <w:bCs/>
        </w:rPr>
        <w:t xml:space="preserve"> paragraph 73 of the </w:t>
      </w:r>
      <w:r>
        <w:rPr>
          <w:rFonts w:ascii="Times New Roman" w:hAnsi="Times New Roman" w:cs="Times New Roman"/>
          <w:bCs/>
        </w:rPr>
        <w:t>NPPF</w:t>
      </w:r>
      <w:r w:rsidR="00734DBE" w:rsidRPr="00734DBE">
        <w:rPr>
          <w:rFonts w:ascii="Times New Roman" w:hAnsi="Times New Roman" w:cs="Times New Roman"/>
          <w:bCs/>
        </w:rPr>
        <w:t xml:space="preserve"> that the at least 10% of it housing requirements are on sites of one hectare or less.</w:t>
      </w:r>
      <w:r w:rsidR="0088489A">
        <w:rPr>
          <w:rFonts w:ascii="Times New Roman" w:hAnsi="Times New Roman" w:cs="Times New Roman"/>
          <w:bCs/>
        </w:rPr>
        <w:t xml:space="preserve"> </w:t>
      </w:r>
      <w:r w:rsidR="00734DBE" w:rsidRPr="00734DBE">
        <w:rPr>
          <w:rFonts w:ascii="Times New Roman" w:hAnsi="Times New Roman" w:cs="Times New Roman"/>
          <w:bCs/>
        </w:rPr>
        <w:t>In meeting the requirement in paragraph 73 of the NPPF the Council must ensure it is achieved from identified sites – either as an allocation in the local plan or as a site in the Council’s Brownfield Register. The Council must not rely on assumed levels of windfall delivery on small sites to meet this requirement. Such an approach would be inconsistent with the NPPF which defines windfall sites in its Glossary as “</w:t>
      </w:r>
      <w:r w:rsidR="00734DBE" w:rsidRPr="00587654">
        <w:rPr>
          <w:rFonts w:ascii="Times New Roman" w:hAnsi="Times New Roman" w:cs="Times New Roman"/>
          <w:bCs/>
          <w:i/>
          <w:iCs/>
        </w:rPr>
        <w:t>Sites not specifically identified in the development plan</w:t>
      </w:r>
      <w:r w:rsidR="00734DBE" w:rsidRPr="00734DBE">
        <w:rPr>
          <w:rFonts w:ascii="Times New Roman" w:hAnsi="Times New Roman" w:cs="Times New Roman"/>
          <w:bCs/>
        </w:rPr>
        <w:t xml:space="preserve">”. It is important to recognise that the allocation of small sites is a priority and stems from the need to support small house builders by ensuring that they benefit from having their sites identified for development either through the local plan or brownfield register. The effect of an allocation is to take some of the risk out of that development and provide greater certainty that those sites come forward. This in turn will allow the SME sector to grow, deliver homes that will increase the diversity of the new homes that are available as well as bring those homes forward earlier in the plan period. </w:t>
      </w:r>
    </w:p>
    <w:p w14:paraId="3CE956FC" w14:textId="35E1C555" w:rsidR="00734DBE" w:rsidRPr="00734DBE" w:rsidRDefault="00734DBE" w:rsidP="0088489A">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sidRPr="00734DBE">
        <w:rPr>
          <w:rFonts w:ascii="Times New Roman" w:hAnsi="Times New Roman" w:cs="Times New Roman"/>
          <w:bCs/>
        </w:rPr>
        <w:t xml:space="preserve">The Council should also recognise that allocating small sites and supporting SME house builders not only ensures a stronger supply in the short term but also improves the diversity of choice within local housing markets, support local and regional supply chains and are often pivotal in bring forward innovation and supporting jobs growth locally, with 1 in 5 of the SME work force comprising of apprentices. A failure to allocate small sites will contribute to the continued decline in small and medium sized house builders. Recent research by the HBF has found that there are 85% fewer small house builders today than there were 20 years ago and that of a survey of SME house builders 93% said that planning was a major barrier to SME growth. Whilst this decline is due to a range of factors, more allocations of small sites would ease the burden on many SME developers and provide </w:t>
      </w:r>
      <w:r w:rsidRPr="00734DBE">
        <w:rPr>
          <w:rFonts w:ascii="Times New Roman" w:hAnsi="Times New Roman" w:cs="Times New Roman"/>
          <w:bCs/>
        </w:rPr>
        <w:lastRenderedPageBreak/>
        <w:t xml:space="preserve">more certainty that their scheme will be permitted, allowing them to secure the necessary finance that is often unavailable to SMEs until permission is granted. </w:t>
      </w:r>
    </w:p>
    <w:p w14:paraId="3CD71D40" w14:textId="77777777" w:rsidR="00C56C64" w:rsidRPr="00C56C64" w:rsidRDefault="00734DBE" w:rsidP="0088489A">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i/>
          <w:iCs/>
        </w:rPr>
      </w:pPr>
      <w:r w:rsidRPr="00734DBE">
        <w:rPr>
          <w:rFonts w:ascii="Times New Roman" w:hAnsi="Times New Roman" w:cs="Times New Roman"/>
          <w:bCs/>
        </w:rPr>
        <w:t xml:space="preserve">Alongside the range of homes, the Council should also look to distribute sites across the settlements and avoid an over concentration of development in one location. There is a risk that where a number of large sites are located in proximity to the other that the local market is saturated, reducing the number of homes that may be delivered at any one time. In considering locations for growth the Council should therefore look at all settlements and consider whether there are opportunities to grow smaller settlements and improve the infrastructure provision in those locations. There may also be opportunities for clusters of settlements to support growth by providing a range of services across those settlements as opposed to requiring just one settlement to meet all the needs of a new development.  </w:t>
      </w:r>
    </w:p>
    <w:p w14:paraId="0AD9B2B1" w14:textId="0A6E198E" w:rsidR="00E20C8F" w:rsidRPr="00C56C64" w:rsidRDefault="00E20C8F" w:rsidP="00C56C64">
      <w:pPr>
        <w:widowControl/>
        <w:suppressAutoHyphens w:val="0"/>
        <w:autoSpaceDE/>
        <w:spacing w:after="240" w:line="360" w:lineRule="auto"/>
        <w:jc w:val="both"/>
        <w:rPr>
          <w:rFonts w:ascii="Times New Roman" w:hAnsi="Times New Roman" w:cs="Times New Roman"/>
          <w:bCs/>
          <w:i/>
          <w:iCs/>
        </w:rPr>
      </w:pPr>
      <w:r w:rsidRPr="00C56C64">
        <w:rPr>
          <w:rFonts w:ascii="Times New Roman" w:hAnsi="Times New Roman" w:cs="Times New Roman"/>
          <w:bCs/>
          <w:i/>
          <w:iCs/>
        </w:rPr>
        <w:t>Accessible homes</w:t>
      </w:r>
    </w:p>
    <w:p w14:paraId="158D4053" w14:textId="77777777" w:rsidR="001B14A3" w:rsidRPr="001B14A3" w:rsidRDefault="00C56C64" w:rsidP="001B14A3">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
        </w:rPr>
      </w:pPr>
      <w:r>
        <w:rPr>
          <w:rFonts w:ascii="Times New Roman" w:hAnsi="Times New Roman" w:cs="Times New Roman"/>
          <w:bCs/>
        </w:rPr>
        <w:t xml:space="preserve">The policy sets out that </w:t>
      </w:r>
      <w:r w:rsidR="001575EB">
        <w:rPr>
          <w:rFonts w:ascii="Times New Roman" w:hAnsi="Times New Roman" w:cs="Times New Roman"/>
          <w:bCs/>
        </w:rPr>
        <w:t xml:space="preserve">25% </w:t>
      </w:r>
      <w:r>
        <w:rPr>
          <w:rFonts w:ascii="Times New Roman" w:hAnsi="Times New Roman" w:cs="Times New Roman"/>
          <w:bCs/>
        </w:rPr>
        <w:t xml:space="preserve">of homes should be built to part </w:t>
      </w:r>
      <w:r w:rsidR="001575EB">
        <w:rPr>
          <w:rFonts w:ascii="Times New Roman" w:hAnsi="Times New Roman" w:cs="Times New Roman"/>
          <w:bCs/>
        </w:rPr>
        <w:t>M4(2) and 5%</w:t>
      </w:r>
      <w:r>
        <w:rPr>
          <w:rFonts w:ascii="Times New Roman" w:hAnsi="Times New Roman" w:cs="Times New Roman"/>
          <w:bCs/>
        </w:rPr>
        <w:t xml:space="preserve"> to part</w:t>
      </w:r>
      <w:r w:rsidR="001575EB">
        <w:rPr>
          <w:rFonts w:ascii="Times New Roman" w:hAnsi="Times New Roman" w:cs="Times New Roman"/>
          <w:bCs/>
        </w:rPr>
        <w:t xml:space="preserve"> M4(3)</w:t>
      </w:r>
      <w:r>
        <w:rPr>
          <w:rFonts w:ascii="Times New Roman" w:hAnsi="Times New Roman" w:cs="Times New Roman"/>
          <w:bCs/>
        </w:rPr>
        <w:t xml:space="preserve"> of the building regulations.</w:t>
      </w:r>
      <w:r w:rsidR="00EE1777">
        <w:rPr>
          <w:rFonts w:ascii="Times New Roman" w:hAnsi="Times New Roman" w:cs="Times New Roman"/>
          <w:bCs/>
        </w:rPr>
        <w:t xml:space="preserve"> This is also set out in HOU 16</w:t>
      </w:r>
      <w:r w:rsidR="00714705">
        <w:rPr>
          <w:rFonts w:ascii="Times New Roman" w:hAnsi="Times New Roman" w:cs="Times New Roman"/>
          <w:bCs/>
        </w:rPr>
        <w:t xml:space="preserve">. There is no need to repeat </w:t>
      </w:r>
      <w:r w:rsidR="001B14A3">
        <w:rPr>
          <w:rFonts w:ascii="Times New Roman" w:hAnsi="Times New Roman" w:cs="Times New Roman"/>
          <w:bCs/>
        </w:rPr>
        <w:t>policy</w:t>
      </w:r>
      <w:r w:rsidR="00714705">
        <w:rPr>
          <w:rFonts w:ascii="Times New Roman" w:hAnsi="Times New Roman" w:cs="Times New Roman"/>
          <w:bCs/>
        </w:rPr>
        <w:t xml:space="preserve"> and as</w:t>
      </w:r>
      <w:r w:rsidR="001B14A3">
        <w:rPr>
          <w:rFonts w:ascii="Times New Roman" w:hAnsi="Times New Roman" w:cs="Times New Roman"/>
          <w:bCs/>
        </w:rPr>
        <w:t xml:space="preserve"> </w:t>
      </w:r>
      <w:r w:rsidR="00714705">
        <w:rPr>
          <w:rFonts w:ascii="Times New Roman" w:hAnsi="Times New Roman" w:cs="Times New Roman"/>
          <w:bCs/>
        </w:rPr>
        <w:t>such the Council shou</w:t>
      </w:r>
      <w:r w:rsidR="001B14A3">
        <w:rPr>
          <w:rFonts w:ascii="Times New Roman" w:hAnsi="Times New Roman" w:cs="Times New Roman"/>
          <w:bCs/>
        </w:rPr>
        <w:t xml:space="preserve">ld delete the reference in this policy given a more detail policy sets out the requirements in relation to accessible housing. </w:t>
      </w:r>
      <w:r>
        <w:rPr>
          <w:rFonts w:ascii="Times New Roman" w:hAnsi="Times New Roman" w:cs="Times New Roman"/>
          <w:bCs/>
        </w:rPr>
        <w:t xml:space="preserve"> </w:t>
      </w:r>
    </w:p>
    <w:p w14:paraId="5168F48C" w14:textId="584621D8" w:rsidR="001575EB" w:rsidRPr="001B14A3" w:rsidRDefault="003238DA" w:rsidP="001B14A3">
      <w:pPr>
        <w:widowControl/>
        <w:suppressAutoHyphens w:val="0"/>
        <w:autoSpaceDE/>
        <w:spacing w:after="240" w:line="360" w:lineRule="auto"/>
        <w:jc w:val="both"/>
        <w:rPr>
          <w:rFonts w:ascii="Times New Roman" w:hAnsi="Times New Roman" w:cs="Times New Roman"/>
          <w:b/>
        </w:rPr>
      </w:pPr>
      <w:r w:rsidRPr="001B14A3">
        <w:rPr>
          <w:rFonts w:ascii="Times New Roman" w:hAnsi="Times New Roman" w:cs="Times New Roman"/>
          <w:b/>
        </w:rPr>
        <w:t>HOU 03 Windfall Housing Policy</w:t>
      </w:r>
    </w:p>
    <w:p w14:paraId="60D59075" w14:textId="7DB9D1D4" w:rsidR="006F3914" w:rsidRDefault="002A6D0F" w:rsidP="00BE73EB">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sidRPr="002A6D0F">
        <w:rPr>
          <w:rFonts w:ascii="Times New Roman" w:hAnsi="Times New Roman" w:cs="Times New Roman"/>
          <w:bCs/>
        </w:rPr>
        <w:t xml:space="preserve">While HBF welcomes the inclusion of policy that seeks to support windfall we are concerned that the policy is too restrictive to be effective. </w:t>
      </w:r>
      <w:r w:rsidR="00B54B17">
        <w:rPr>
          <w:rFonts w:ascii="Times New Roman" w:hAnsi="Times New Roman" w:cs="Times New Roman"/>
          <w:bCs/>
        </w:rPr>
        <w:t>T</w:t>
      </w:r>
      <w:r w:rsidRPr="002A6D0F">
        <w:rPr>
          <w:rFonts w:ascii="Times New Roman" w:hAnsi="Times New Roman" w:cs="Times New Roman"/>
          <w:bCs/>
        </w:rPr>
        <w:t>he restrictions in relation to scheme size in the different tier of settlements are unjustified. While it might be expected that smaller settlements will likely have smaller sites coming forward it cannot be universally</w:t>
      </w:r>
      <w:r w:rsidR="00CE695D">
        <w:rPr>
          <w:rFonts w:ascii="Times New Roman" w:hAnsi="Times New Roman" w:cs="Times New Roman"/>
          <w:bCs/>
        </w:rPr>
        <w:t xml:space="preserve"> </w:t>
      </w:r>
      <w:r w:rsidRPr="002A6D0F">
        <w:rPr>
          <w:rFonts w:ascii="Times New Roman" w:hAnsi="Times New Roman" w:cs="Times New Roman"/>
          <w:bCs/>
        </w:rPr>
        <w:t xml:space="preserve">the case to say that a </w:t>
      </w:r>
      <w:r w:rsidR="00251D6F">
        <w:rPr>
          <w:rFonts w:ascii="Times New Roman" w:hAnsi="Times New Roman" w:cs="Times New Roman"/>
          <w:bCs/>
        </w:rPr>
        <w:t xml:space="preserve">particular parish or </w:t>
      </w:r>
      <w:r w:rsidRPr="002A6D0F">
        <w:rPr>
          <w:rFonts w:ascii="Times New Roman" w:hAnsi="Times New Roman" w:cs="Times New Roman"/>
          <w:bCs/>
        </w:rPr>
        <w:t xml:space="preserve">settlement can only have windfall development on sites up to </w:t>
      </w:r>
      <w:r w:rsidR="00782545">
        <w:rPr>
          <w:rFonts w:ascii="Times New Roman" w:hAnsi="Times New Roman" w:cs="Times New Roman"/>
          <w:bCs/>
        </w:rPr>
        <w:t>a specific size</w:t>
      </w:r>
      <w:r w:rsidRPr="002A6D0F">
        <w:rPr>
          <w:rFonts w:ascii="Times New Roman" w:hAnsi="Times New Roman" w:cs="Times New Roman"/>
          <w:bCs/>
        </w:rPr>
        <w:t xml:space="preserve">. The question that should be considered by decision makers is whether it is appropriate for the development being proposed to come forward on the basis of the criteria set out in </w:t>
      </w:r>
      <w:r w:rsidR="00CC1764">
        <w:rPr>
          <w:rFonts w:ascii="Times New Roman" w:hAnsi="Times New Roman" w:cs="Times New Roman"/>
          <w:bCs/>
        </w:rPr>
        <w:t>other policies in the local plan</w:t>
      </w:r>
      <w:r w:rsidRPr="002A6D0F">
        <w:rPr>
          <w:rFonts w:ascii="Times New Roman" w:hAnsi="Times New Roman" w:cs="Times New Roman"/>
          <w:bCs/>
        </w:rPr>
        <w:t>.</w:t>
      </w:r>
      <w:r w:rsidR="00FC4282">
        <w:rPr>
          <w:rFonts w:ascii="Times New Roman" w:hAnsi="Times New Roman" w:cs="Times New Roman"/>
          <w:bCs/>
        </w:rPr>
        <w:t xml:space="preserve"> When read as a whole the local plan should offer sufficient scope </w:t>
      </w:r>
      <w:r w:rsidR="0042355D">
        <w:rPr>
          <w:rFonts w:ascii="Times New Roman" w:hAnsi="Times New Roman" w:cs="Times New Roman"/>
          <w:bCs/>
        </w:rPr>
        <w:t>to consider whether</w:t>
      </w:r>
      <w:r w:rsidRPr="002A6D0F">
        <w:rPr>
          <w:rFonts w:ascii="Times New Roman" w:hAnsi="Times New Roman" w:cs="Times New Roman"/>
          <w:bCs/>
        </w:rPr>
        <w:t xml:space="preserve"> </w:t>
      </w:r>
      <w:r w:rsidR="0042355D">
        <w:rPr>
          <w:rFonts w:ascii="Times New Roman" w:hAnsi="Times New Roman" w:cs="Times New Roman"/>
          <w:bCs/>
        </w:rPr>
        <w:t xml:space="preserve">a </w:t>
      </w:r>
      <w:r w:rsidRPr="002A6D0F">
        <w:rPr>
          <w:rFonts w:ascii="Times New Roman" w:hAnsi="Times New Roman" w:cs="Times New Roman"/>
          <w:bCs/>
        </w:rPr>
        <w:t xml:space="preserve">windfall development </w:t>
      </w:r>
      <w:r w:rsidR="0042355D">
        <w:rPr>
          <w:rFonts w:ascii="Times New Roman" w:hAnsi="Times New Roman" w:cs="Times New Roman"/>
          <w:bCs/>
        </w:rPr>
        <w:t xml:space="preserve">is acceptable </w:t>
      </w:r>
      <w:r w:rsidRPr="002A6D0F">
        <w:rPr>
          <w:rFonts w:ascii="Times New Roman" w:hAnsi="Times New Roman" w:cs="Times New Roman"/>
          <w:bCs/>
        </w:rPr>
        <w:t xml:space="preserve">without placing arbitrary thresholds with regard to the size of scheme that will be supported. </w:t>
      </w:r>
      <w:r w:rsidR="005C61A6">
        <w:rPr>
          <w:rFonts w:ascii="Times New Roman" w:hAnsi="Times New Roman" w:cs="Times New Roman"/>
          <w:bCs/>
        </w:rPr>
        <w:t>A policy without the proposed</w:t>
      </w:r>
      <w:r w:rsidR="00930436">
        <w:rPr>
          <w:rFonts w:ascii="Times New Roman" w:hAnsi="Times New Roman" w:cs="Times New Roman"/>
          <w:bCs/>
        </w:rPr>
        <w:t xml:space="preserve"> </w:t>
      </w:r>
      <w:r w:rsidR="005C61A6">
        <w:rPr>
          <w:rFonts w:ascii="Times New Roman" w:hAnsi="Times New Roman" w:cs="Times New Roman"/>
          <w:bCs/>
        </w:rPr>
        <w:t>arbitrary</w:t>
      </w:r>
      <w:r w:rsidR="00930436">
        <w:rPr>
          <w:rFonts w:ascii="Times New Roman" w:hAnsi="Times New Roman" w:cs="Times New Roman"/>
          <w:bCs/>
        </w:rPr>
        <w:t xml:space="preserve"> thresholds</w:t>
      </w:r>
      <w:r w:rsidRPr="002A6D0F">
        <w:rPr>
          <w:rFonts w:ascii="Times New Roman" w:hAnsi="Times New Roman" w:cs="Times New Roman"/>
          <w:bCs/>
        </w:rPr>
        <w:t xml:space="preserve"> </w:t>
      </w:r>
      <w:r w:rsidR="005C61A6">
        <w:rPr>
          <w:rFonts w:ascii="Times New Roman" w:hAnsi="Times New Roman" w:cs="Times New Roman"/>
          <w:bCs/>
        </w:rPr>
        <w:t>gives decision makers the</w:t>
      </w:r>
      <w:r w:rsidRPr="002A6D0F">
        <w:rPr>
          <w:rFonts w:ascii="Times New Roman" w:hAnsi="Times New Roman" w:cs="Times New Roman"/>
          <w:bCs/>
        </w:rPr>
        <w:t xml:space="preserve"> flexibility </w:t>
      </w:r>
      <w:r w:rsidR="005C61A6">
        <w:rPr>
          <w:rFonts w:ascii="Times New Roman" w:hAnsi="Times New Roman" w:cs="Times New Roman"/>
          <w:bCs/>
        </w:rPr>
        <w:t>to consider development in relation</w:t>
      </w:r>
      <w:r w:rsidRPr="002A6D0F">
        <w:rPr>
          <w:rFonts w:ascii="Times New Roman" w:hAnsi="Times New Roman" w:cs="Times New Roman"/>
          <w:bCs/>
        </w:rPr>
        <w:t xml:space="preserve"> to the specific settlement’s characteristics </w:t>
      </w:r>
      <w:r w:rsidR="005C61A6">
        <w:rPr>
          <w:rFonts w:ascii="Times New Roman" w:hAnsi="Times New Roman" w:cs="Times New Roman"/>
          <w:bCs/>
        </w:rPr>
        <w:t>whilst also</w:t>
      </w:r>
      <w:r w:rsidRPr="002A6D0F">
        <w:rPr>
          <w:rFonts w:ascii="Times New Roman" w:hAnsi="Times New Roman" w:cs="Times New Roman"/>
          <w:bCs/>
        </w:rPr>
        <w:t xml:space="preserve"> ensures that the development makes the most efficient use of land as required by paragraph 129 of the NPPF.</w:t>
      </w:r>
      <w:r w:rsidR="006F3914" w:rsidRPr="006F3914">
        <w:rPr>
          <w:rFonts w:ascii="Times New Roman" w:hAnsi="Times New Roman" w:cs="Times New Roman"/>
          <w:bCs/>
        </w:rPr>
        <w:t xml:space="preserve"> </w:t>
      </w:r>
    </w:p>
    <w:p w14:paraId="04A51461" w14:textId="0549B70F" w:rsidR="006F3914" w:rsidRDefault="006F3914" w:rsidP="00BE73EB">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Pr>
          <w:rFonts w:ascii="Times New Roman" w:hAnsi="Times New Roman" w:cs="Times New Roman"/>
          <w:bCs/>
        </w:rPr>
        <w:t>The same is</w:t>
      </w:r>
      <w:r w:rsidR="00271103">
        <w:rPr>
          <w:rFonts w:ascii="Times New Roman" w:hAnsi="Times New Roman" w:cs="Times New Roman"/>
          <w:bCs/>
        </w:rPr>
        <w:t xml:space="preserve"> true with regard to the </w:t>
      </w:r>
      <w:r>
        <w:rPr>
          <w:rFonts w:ascii="Times New Roman" w:hAnsi="Times New Roman" w:cs="Times New Roman"/>
          <w:bCs/>
        </w:rPr>
        <w:t xml:space="preserve">5% </w:t>
      </w:r>
      <w:r w:rsidR="00871605">
        <w:rPr>
          <w:rFonts w:ascii="Times New Roman" w:hAnsi="Times New Roman" w:cs="Times New Roman"/>
          <w:bCs/>
        </w:rPr>
        <w:t>ceiling that</w:t>
      </w:r>
      <w:r>
        <w:rPr>
          <w:rFonts w:ascii="Times New Roman" w:hAnsi="Times New Roman" w:cs="Times New Roman"/>
          <w:bCs/>
        </w:rPr>
        <w:t xml:space="preserve"> should be placed on development those areas defined as Other Parishes in HOU 2. </w:t>
      </w:r>
      <w:r w:rsidR="00271103">
        <w:rPr>
          <w:rFonts w:ascii="Times New Roman" w:hAnsi="Times New Roman" w:cs="Times New Roman"/>
          <w:bCs/>
        </w:rPr>
        <w:t xml:space="preserve">There is no reason why a specific </w:t>
      </w:r>
      <w:r w:rsidR="00871605">
        <w:rPr>
          <w:rFonts w:ascii="Times New Roman" w:hAnsi="Times New Roman" w:cs="Times New Roman"/>
          <w:bCs/>
        </w:rPr>
        <w:t>threshold</w:t>
      </w:r>
      <w:r w:rsidR="00271103">
        <w:rPr>
          <w:rFonts w:ascii="Times New Roman" w:hAnsi="Times New Roman" w:cs="Times New Roman"/>
          <w:bCs/>
        </w:rPr>
        <w:t xml:space="preserve"> should be included that </w:t>
      </w:r>
      <w:r w:rsidR="00DF4667">
        <w:rPr>
          <w:rFonts w:ascii="Times New Roman" w:hAnsi="Times New Roman" w:cs="Times New Roman"/>
          <w:bCs/>
        </w:rPr>
        <w:t xml:space="preserve">restricts </w:t>
      </w:r>
      <w:r w:rsidR="00871605">
        <w:rPr>
          <w:rFonts w:ascii="Times New Roman" w:hAnsi="Times New Roman" w:cs="Times New Roman"/>
          <w:bCs/>
        </w:rPr>
        <w:t>decision</w:t>
      </w:r>
      <w:r w:rsidR="00DF4667">
        <w:rPr>
          <w:rFonts w:ascii="Times New Roman" w:hAnsi="Times New Roman" w:cs="Times New Roman"/>
          <w:bCs/>
        </w:rPr>
        <w:t xml:space="preserve"> makers </w:t>
      </w:r>
      <w:r w:rsidR="00871605">
        <w:rPr>
          <w:rFonts w:ascii="Times New Roman" w:hAnsi="Times New Roman" w:cs="Times New Roman"/>
          <w:bCs/>
        </w:rPr>
        <w:t>in their</w:t>
      </w:r>
      <w:r w:rsidR="00DF4667">
        <w:rPr>
          <w:rFonts w:ascii="Times New Roman" w:hAnsi="Times New Roman" w:cs="Times New Roman"/>
          <w:bCs/>
        </w:rPr>
        <w:t xml:space="preserve"> consideration of development. Not all </w:t>
      </w:r>
      <w:r w:rsidR="00871605">
        <w:rPr>
          <w:rFonts w:ascii="Times New Roman" w:hAnsi="Times New Roman" w:cs="Times New Roman"/>
          <w:bCs/>
        </w:rPr>
        <w:t>parishes</w:t>
      </w:r>
      <w:r w:rsidR="00DF4667">
        <w:rPr>
          <w:rFonts w:ascii="Times New Roman" w:hAnsi="Times New Roman" w:cs="Times New Roman"/>
          <w:bCs/>
        </w:rPr>
        <w:t xml:space="preserve"> are the same </w:t>
      </w:r>
      <w:r w:rsidR="00871605">
        <w:rPr>
          <w:rFonts w:ascii="Times New Roman" w:hAnsi="Times New Roman" w:cs="Times New Roman"/>
          <w:bCs/>
        </w:rPr>
        <w:t xml:space="preserve">and </w:t>
      </w:r>
      <w:r w:rsidR="00DF4667">
        <w:rPr>
          <w:rFonts w:ascii="Times New Roman" w:hAnsi="Times New Roman" w:cs="Times New Roman"/>
          <w:bCs/>
        </w:rPr>
        <w:t xml:space="preserve">a degree of </w:t>
      </w:r>
      <w:r w:rsidR="00871605">
        <w:rPr>
          <w:rFonts w:ascii="Times New Roman" w:hAnsi="Times New Roman" w:cs="Times New Roman"/>
          <w:bCs/>
        </w:rPr>
        <w:t>flexibility</w:t>
      </w:r>
      <w:r w:rsidR="00DF4667">
        <w:rPr>
          <w:rFonts w:ascii="Times New Roman" w:hAnsi="Times New Roman" w:cs="Times New Roman"/>
          <w:bCs/>
        </w:rPr>
        <w:t xml:space="preserve"> </w:t>
      </w:r>
      <w:r w:rsidR="00871605">
        <w:rPr>
          <w:rFonts w:ascii="Times New Roman" w:hAnsi="Times New Roman" w:cs="Times New Roman"/>
          <w:bCs/>
        </w:rPr>
        <w:t>must</w:t>
      </w:r>
      <w:r w:rsidR="00DF4667">
        <w:rPr>
          <w:rFonts w:ascii="Times New Roman" w:hAnsi="Times New Roman" w:cs="Times New Roman"/>
          <w:bCs/>
        </w:rPr>
        <w:t xml:space="preserve"> be </w:t>
      </w:r>
      <w:r w:rsidR="00871605">
        <w:rPr>
          <w:rFonts w:ascii="Times New Roman" w:hAnsi="Times New Roman" w:cs="Times New Roman"/>
          <w:bCs/>
        </w:rPr>
        <w:t>given to</w:t>
      </w:r>
      <w:r w:rsidR="00DF4667">
        <w:rPr>
          <w:rFonts w:ascii="Times New Roman" w:hAnsi="Times New Roman" w:cs="Times New Roman"/>
          <w:bCs/>
        </w:rPr>
        <w:t xml:space="preserve"> decisionmakers to</w:t>
      </w:r>
      <w:r w:rsidR="00871605">
        <w:rPr>
          <w:rFonts w:ascii="Times New Roman" w:hAnsi="Times New Roman" w:cs="Times New Roman"/>
          <w:bCs/>
        </w:rPr>
        <w:t xml:space="preserve"> consider </w:t>
      </w:r>
      <w:r w:rsidR="00230341">
        <w:rPr>
          <w:rFonts w:ascii="Times New Roman" w:hAnsi="Times New Roman" w:cs="Times New Roman"/>
          <w:bCs/>
        </w:rPr>
        <w:t xml:space="preserve">a development and the specific context of that development. </w:t>
      </w:r>
    </w:p>
    <w:p w14:paraId="143FA887" w14:textId="5026654B" w:rsidR="00E81A22" w:rsidRPr="00CE3E21" w:rsidRDefault="00E81A22" w:rsidP="002A6D0F">
      <w:pPr>
        <w:spacing w:after="240" w:line="360" w:lineRule="auto"/>
        <w:rPr>
          <w:rFonts w:ascii="Times New Roman" w:hAnsi="Times New Roman" w:cs="Times New Roman"/>
          <w:b/>
        </w:rPr>
      </w:pPr>
      <w:r w:rsidRPr="00CE3E21">
        <w:rPr>
          <w:rFonts w:ascii="Times New Roman" w:hAnsi="Times New Roman" w:cs="Times New Roman"/>
          <w:b/>
        </w:rPr>
        <w:t xml:space="preserve">HOU 04 </w:t>
      </w:r>
      <w:r w:rsidR="00505048" w:rsidRPr="00CE3E21">
        <w:rPr>
          <w:rFonts w:ascii="Times New Roman" w:hAnsi="Times New Roman" w:cs="Times New Roman"/>
          <w:b/>
        </w:rPr>
        <w:t>Large Housing Sites Development Principles</w:t>
      </w:r>
    </w:p>
    <w:p w14:paraId="51A8D3DD" w14:textId="2346BFE2" w:rsidR="00505048" w:rsidRDefault="008A3D24" w:rsidP="00BE73EB">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Pr>
          <w:rFonts w:ascii="Times New Roman" w:hAnsi="Times New Roman" w:cs="Times New Roman"/>
          <w:bCs/>
        </w:rPr>
        <w:lastRenderedPageBreak/>
        <w:t xml:space="preserve">HBF consider </w:t>
      </w:r>
      <w:r w:rsidR="009914A7">
        <w:rPr>
          <w:rFonts w:ascii="Times New Roman" w:hAnsi="Times New Roman" w:cs="Times New Roman"/>
          <w:bCs/>
        </w:rPr>
        <w:t>elements</w:t>
      </w:r>
      <w:r>
        <w:rPr>
          <w:rFonts w:ascii="Times New Roman" w:hAnsi="Times New Roman" w:cs="Times New Roman"/>
          <w:bCs/>
        </w:rPr>
        <w:t xml:space="preserve"> of the policy </w:t>
      </w:r>
      <w:r w:rsidR="00C12DA2">
        <w:rPr>
          <w:rFonts w:ascii="Times New Roman" w:hAnsi="Times New Roman" w:cs="Times New Roman"/>
          <w:bCs/>
        </w:rPr>
        <w:t>could be phrased differently to improve clarity</w:t>
      </w:r>
      <w:r>
        <w:rPr>
          <w:rFonts w:ascii="Times New Roman" w:hAnsi="Times New Roman" w:cs="Times New Roman"/>
          <w:bCs/>
        </w:rPr>
        <w:t xml:space="preserve">. For </w:t>
      </w:r>
      <w:r w:rsidR="009914A7">
        <w:rPr>
          <w:rFonts w:ascii="Times New Roman" w:hAnsi="Times New Roman" w:cs="Times New Roman"/>
          <w:bCs/>
        </w:rPr>
        <w:t>example,</w:t>
      </w:r>
      <w:r>
        <w:rPr>
          <w:rFonts w:ascii="Times New Roman" w:hAnsi="Times New Roman" w:cs="Times New Roman"/>
          <w:bCs/>
        </w:rPr>
        <w:t xml:space="preserve"> of the </w:t>
      </w:r>
      <w:r w:rsidR="009914A7">
        <w:rPr>
          <w:rFonts w:ascii="Times New Roman" w:hAnsi="Times New Roman" w:cs="Times New Roman"/>
          <w:bCs/>
        </w:rPr>
        <w:t xml:space="preserve">third paragraph could simply </w:t>
      </w:r>
      <w:r w:rsidR="004F5BE6">
        <w:rPr>
          <w:rFonts w:ascii="Times New Roman" w:hAnsi="Times New Roman" w:cs="Times New Roman"/>
          <w:bCs/>
        </w:rPr>
        <w:t>state “</w:t>
      </w:r>
      <w:r w:rsidR="00066F7F" w:rsidRPr="00F24C23">
        <w:rPr>
          <w:rFonts w:ascii="Times New Roman" w:hAnsi="Times New Roman" w:cs="Times New Roman"/>
          <w:bCs/>
          <w:i/>
          <w:iCs/>
        </w:rPr>
        <w:t>Where phasing is the agreed the</w:t>
      </w:r>
      <w:r w:rsidR="00A304DA" w:rsidRPr="00F24C23">
        <w:rPr>
          <w:rFonts w:ascii="Times New Roman" w:hAnsi="Times New Roman" w:cs="Times New Roman"/>
          <w:bCs/>
          <w:i/>
          <w:iCs/>
        </w:rPr>
        <w:t xml:space="preserve"> Council </w:t>
      </w:r>
      <w:r w:rsidR="00B062FC" w:rsidRPr="00F24C23">
        <w:rPr>
          <w:rFonts w:ascii="Times New Roman" w:hAnsi="Times New Roman" w:cs="Times New Roman"/>
          <w:bCs/>
          <w:i/>
          <w:iCs/>
        </w:rPr>
        <w:t>will</w:t>
      </w:r>
      <w:r w:rsidR="00A304DA" w:rsidRPr="00F24C23">
        <w:rPr>
          <w:rFonts w:ascii="Times New Roman" w:hAnsi="Times New Roman" w:cs="Times New Roman"/>
          <w:bCs/>
          <w:i/>
          <w:iCs/>
        </w:rPr>
        <w:t xml:space="preserve"> </w:t>
      </w:r>
      <w:r w:rsidR="00F24C23" w:rsidRPr="00F24C23">
        <w:rPr>
          <w:rFonts w:ascii="Times New Roman" w:hAnsi="Times New Roman" w:cs="Times New Roman"/>
          <w:bCs/>
          <w:i/>
          <w:iCs/>
        </w:rPr>
        <w:t>use a</w:t>
      </w:r>
      <w:r w:rsidR="00A304DA" w:rsidRPr="00F24C23">
        <w:rPr>
          <w:rFonts w:ascii="Times New Roman" w:hAnsi="Times New Roman" w:cs="Times New Roman"/>
          <w:bCs/>
          <w:i/>
          <w:iCs/>
        </w:rPr>
        <w:t xml:space="preserve"> S106 agreement </w:t>
      </w:r>
      <w:r w:rsidR="005A7FE0" w:rsidRPr="00F24C23">
        <w:rPr>
          <w:rFonts w:ascii="Times New Roman" w:hAnsi="Times New Roman" w:cs="Times New Roman"/>
          <w:bCs/>
          <w:i/>
          <w:iCs/>
        </w:rPr>
        <w:t xml:space="preserve">establish the timeframes for the </w:t>
      </w:r>
      <w:r w:rsidR="005A7FE0" w:rsidRPr="00BE73EB">
        <w:rPr>
          <w:rFonts w:ascii="Times New Roman" w:hAnsi="Times New Roman" w:cs="Times New Roman"/>
          <w:bCs/>
        </w:rPr>
        <w:t>delivery</w:t>
      </w:r>
      <w:r w:rsidR="005A7FE0" w:rsidRPr="00F24C23">
        <w:rPr>
          <w:rFonts w:ascii="Times New Roman" w:hAnsi="Times New Roman" w:cs="Times New Roman"/>
          <w:bCs/>
          <w:i/>
          <w:iCs/>
        </w:rPr>
        <w:t xml:space="preserve"> of </w:t>
      </w:r>
      <w:r w:rsidR="00FB3904" w:rsidRPr="00F24C23">
        <w:rPr>
          <w:rFonts w:ascii="Times New Roman" w:hAnsi="Times New Roman" w:cs="Times New Roman"/>
          <w:bCs/>
          <w:i/>
          <w:iCs/>
        </w:rPr>
        <w:t>infrastructure that is required to support each phase of that development</w:t>
      </w:r>
      <w:r w:rsidR="00406D0C">
        <w:rPr>
          <w:rFonts w:ascii="Times New Roman" w:hAnsi="Times New Roman" w:cs="Times New Roman"/>
          <w:bCs/>
        </w:rPr>
        <w:t>”</w:t>
      </w:r>
      <w:r w:rsidR="00FB3904">
        <w:rPr>
          <w:rFonts w:ascii="Times New Roman" w:hAnsi="Times New Roman" w:cs="Times New Roman"/>
          <w:bCs/>
        </w:rPr>
        <w:t xml:space="preserve">. </w:t>
      </w:r>
      <w:r w:rsidR="00406D0C">
        <w:rPr>
          <w:rFonts w:ascii="Times New Roman" w:hAnsi="Times New Roman" w:cs="Times New Roman"/>
          <w:bCs/>
        </w:rPr>
        <w:t xml:space="preserve">The </w:t>
      </w:r>
      <w:r w:rsidR="004F5BE6">
        <w:rPr>
          <w:rFonts w:ascii="Times New Roman" w:hAnsi="Times New Roman" w:cs="Times New Roman"/>
          <w:bCs/>
        </w:rPr>
        <w:t>justification for</w:t>
      </w:r>
      <w:r w:rsidR="00406D0C">
        <w:rPr>
          <w:rFonts w:ascii="Times New Roman" w:hAnsi="Times New Roman" w:cs="Times New Roman"/>
          <w:bCs/>
        </w:rPr>
        <w:t xml:space="preserve"> such an approach could then be set out </w:t>
      </w:r>
      <w:r w:rsidR="004F5BE6">
        <w:rPr>
          <w:rFonts w:ascii="Times New Roman" w:hAnsi="Times New Roman" w:cs="Times New Roman"/>
          <w:bCs/>
        </w:rPr>
        <w:t>in the</w:t>
      </w:r>
      <w:r w:rsidR="00406D0C">
        <w:rPr>
          <w:rFonts w:ascii="Times New Roman" w:hAnsi="Times New Roman" w:cs="Times New Roman"/>
          <w:bCs/>
        </w:rPr>
        <w:t xml:space="preserve"> supporting text </w:t>
      </w:r>
      <w:r w:rsidR="004F5BE6">
        <w:rPr>
          <w:rFonts w:ascii="Times New Roman" w:hAnsi="Times New Roman" w:cs="Times New Roman"/>
          <w:bCs/>
        </w:rPr>
        <w:t>rather</w:t>
      </w:r>
      <w:r w:rsidR="00406D0C">
        <w:rPr>
          <w:rFonts w:ascii="Times New Roman" w:hAnsi="Times New Roman" w:cs="Times New Roman"/>
          <w:bCs/>
        </w:rPr>
        <w:t xml:space="preserve"> than </w:t>
      </w:r>
      <w:r w:rsidR="004F5BE6">
        <w:rPr>
          <w:rFonts w:ascii="Times New Roman" w:hAnsi="Times New Roman" w:cs="Times New Roman"/>
          <w:bCs/>
        </w:rPr>
        <w:t>within the</w:t>
      </w:r>
      <w:r w:rsidR="00406D0C">
        <w:rPr>
          <w:rFonts w:ascii="Times New Roman" w:hAnsi="Times New Roman" w:cs="Times New Roman"/>
          <w:bCs/>
        </w:rPr>
        <w:t xml:space="preserve"> </w:t>
      </w:r>
      <w:r w:rsidR="004F5BE6">
        <w:rPr>
          <w:rFonts w:ascii="Times New Roman" w:hAnsi="Times New Roman" w:cs="Times New Roman"/>
          <w:bCs/>
        </w:rPr>
        <w:t>policy</w:t>
      </w:r>
      <w:r w:rsidR="00F24C23">
        <w:rPr>
          <w:rFonts w:ascii="Times New Roman" w:hAnsi="Times New Roman" w:cs="Times New Roman"/>
          <w:bCs/>
        </w:rPr>
        <w:t>.</w:t>
      </w:r>
      <w:r w:rsidR="00406D0C">
        <w:rPr>
          <w:rFonts w:ascii="Times New Roman" w:hAnsi="Times New Roman" w:cs="Times New Roman"/>
          <w:bCs/>
        </w:rPr>
        <w:t xml:space="preserve"> </w:t>
      </w:r>
      <w:r w:rsidR="00C12DA2">
        <w:rPr>
          <w:rFonts w:ascii="Times New Roman" w:hAnsi="Times New Roman" w:cs="Times New Roman"/>
          <w:bCs/>
        </w:rPr>
        <w:t xml:space="preserve">The </w:t>
      </w:r>
      <w:r w:rsidR="005408C8">
        <w:rPr>
          <w:rFonts w:ascii="Times New Roman" w:hAnsi="Times New Roman" w:cs="Times New Roman"/>
          <w:bCs/>
        </w:rPr>
        <w:t>fourth</w:t>
      </w:r>
      <w:r w:rsidR="001F0FED">
        <w:rPr>
          <w:rFonts w:ascii="Times New Roman" w:hAnsi="Times New Roman" w:cs="Times New Roman"/>
          <w:bCs/>
        </w:rPr>
        <w:t xml:space="preserve"> and fifth</w:t>
      </w:r>
      <w:r w:rsidR="00853CFA">
        <w:rPr>
          <w:rFonts w:ascii="Times New Roman" w:hAnsi="Times New Roman" w:cs="Times New Roman"/>
          <w:bCs/>
        </w:rPr>
        <w:t xml:space="preserve"> paragraph</w:t>
      </w:r>
      <w:r w:rsidR="001F0FED">
        <w:rPr>
          <w:rFonts w:ascii="Times New Roman" w:hAnsi="Times New Roman" w:cs="Times New Roman"/>
          <w:bCs/>
        </w:rPr>
        <w:t>s</w:t>
      </w:r>
      <w:r w:rsidR="00853CFA">
        <w:rPr>
          <w:rFonts w:ascii="Times New Roman" w:hAnsi="Times New Roman" w:cs="Times New Roman"/>
          <w:bCs/>
        </w:rPr>
        <w:t xml:space="preserve"> </w:t>
      </w:r>
      <w:r w:rsidR="005408C8">
        <w:rPr>
          <w:rFonts w:ascii="Times New Roman" w:hAnsi="Times New Roman" w:cs="Times New Roman"/>
          <w:bCs/>
        </w:rPr>
        <w:t xml:space="preserve">also </w:t>
      </w:r>
      <w:r w:rsidR="004E2985">
        <w:rPr>
          <w:rFonts w:ascii="Times New Roman" w:hAnsi="Times New Roman" w:cs="Times New Roman"/>
          <w:bCs/>
        </w:rPr>
        <w:t>refer</w:t>
      </w:r>
      <w:r w:rsidR="005408C8">
        <w:rPr>
          <w:rFonts w:ascii="Times New Roman" w:hAnsi="Times New Roman" w:cs="Times New Roman"/>
          <w:bCs/>
        </w:rPr>
        <w:t xml:space="preserve"> to all ma</w:t>
      </w:r>
      <w:r w:rsidR="003C71A5">
        <w:rPr>
          <w:rFonts w:ascii="Times New Roman" w:hAnsi="Times New Roman" w:cs="Times New Roman"/>
          <w:bCs/>
        </w:rPr>
        <w:t>j</w:t>
      </w:r>
      <w:r w:rsidR="005408C8">
        <w:rPr>
          <w:rFonts w:ascii="Times New Roman" w:hAnsi="Times New Roman" w:cs="Times New Roman"/>
          <w:bCs/>
        </w:rPr>
        <w:t xml:space="preserve">or development </w:t>
      </w:r>
      <w:r w:rsidR="003C71A5">
        <w:rPr>
          <w:rFonts w:ascii="Times New Roman" w:hAnsi="Times New Roman" w:cs="Times New Roman"/>
          <w:bCs/>
        </w:rPr>
        <w:t xml:space="preserve">before </w:t>
      </w:r>
      <w:r w:rsidR="00A100C2">
        <w:rPr>
          <w:rFonts w:ascii="Times New Roman" w:hAnsi="Times New Roman" w:cs="Times New Roman"/>
          <w:bCs/>
        </w:rPr>
        <w:t>plac</w:t>
      </w:r>
      <w:r w:rsidR="003C71A5">
        <w:rPr>
          <w:rFonts w:ascii="Times New Roman" w:hAnsi="Times New Roman" w:cs="Times New Roman"/>
          <w:bCs/>
        </w:rPr>
        <w:t>ing a</w:t>
      </w:r>
      <w:r w:rsidR="00A100C2">
        <w:rPr>
          <w:rFonts w:ascii="Times New Roman" w:hAnsi="Times New Roman" w:cs="Times New Roman"/>
          <w:bCs/>
        </w:rPr>
        <w:t xml:space="preserve"> further caveat that this is only major </w:t>
      </w:r>
      <w:r w:rsidR="003C71A5">
        <w:rPr>
          <w:rFonts w:ascii="Times New Roman" w:hAnsi="Times New Roman" w:cs="Times New Roman"/>
          <w:bCs/>
        </w:rPr>
        <w:t>development</w:t>
      </w:r>
      <w:r w:rsidR="00A100C2">
        <w:rPr>
          <w:rFonts w:ascii="Times New Roman" w:hAnsi="Times New Roman" w:cs="Times New Roman"/>
          <w:bCs/>
        </w:rPr>
        <w:t xml:space="preserve"> of over 99 </w:t>
      </w:r>
      <w:r w:rsidR="003C71A5">
        <w:rPr>
          <w:rFonts w:ascii="Times New Roman" w:hAnsi="Times New Roman" w:cs="Times New Roman"/>
          <w:bCs/>
        </w:rPr>
        <w:t xml:space="preserve">dwellings. This is </w:t>
      </w:r>
      <w:r w:rsidR="004742C0">
        <w:rPr>
          <w:rFonts w:ascii="Times New Roman" w:hAnsi="Times New Roman" w:cs="Times New Roman"/>
          <w:bCs/>
        </w:rPr>
        <w:t>confusi</w:t>
      </w:r>
      <w:r w:rsidR="00D86071">
        <w:rPr>
          <w:rFonts w:ascii="Times New Roman" w:hAnsi="Times New Roman" w:cs="Times New Roman"/>
          <w:bCs/>
        </w:rPr>
        <w:t>ng</w:t>
      </w:r>
      <w:r w:rsidR="004742C0">
        <w:rPr>
          <w:rFonts w:ascii="Times New Roman" w:hAnsi="Times New Roman" w:cs="Times New Roman"/>
          <w:bCs/>
        </w:rPr>
        <w:t xml:space="preserve"> and </w:t>
      </w:r>
      <w:r w:rsidR="005408C8">
        <w:rPr>
          <w:rFonts w:ascii="Times New Roman" w:hAnsi="Times New Roman" w:cs="Times New Roman"/>
          <w:bCs/>
        </w:rPr>
        <w:t>could</w:t>
      </w:r>
      <w:r w:rsidR="00853CFA">
        <w:rPr>
          <w:rFonts w:ascii="Times New Roman" w:hAnsi="Times New Roman" w:cs="Times New Roman"/>
          <w:bCs/>
        </w:rPr>
        <w:t xml:space="preserve"> be amended </w:t>
      </w:r>
      <w:r w:rsidR="004E2985">
        <w:rPr>
          <w:rFonts w:ascii="Times New Roman" w:hAnsi="Times New Roman" w:cs="Times New Roman"/>
          <w:bCs/>
        </w:rPr>
        <w:t xml:space="preserve">to </w:t>
      </w:r>
      <w:r w:rsidR="00D86071">
        <w:rPr>
          <w:rFonts w:ascii="Times New Roman" w:hAnsi="Times New Roman" w:cs="Times New Roman"/>
          <w:bCs/>
        </w:rPr>
        <w:t>“</w:t>
      </w:r>
      <w:r w:rsidR="00853CFA" w:rsidRPr="00D86071">
        <w:rPr>
          <w:rFonts w:ascii="Times New Roman" w:hAnsi="Times New Roman" w:cs="Times New Roman"/>
          <w:bCs/>
          <w:i/>
          <w:iCs/>
        </w:rPr>
        <w:t>Development</w:t>
      </w:r>
      <w:r w:rsidR="00D86071">
        <w:rPr>
          <w:rFonts w:ascii="Times New Roman" w:hAnsi="Times New Roman" w:cs="Times New Roman"/>
          <w:bCs/>
          <w:i/>
          <w:iCs/>
        </w:rPr>
        <w:t>s</w:t>
      </w:r>
      <w:r w:rsidR="00853CFA" w:rsidRPr="00D86071">
        <w:rPr>
          <w:rFonts w:ascii="Times New Roman" w:hAnsi="Times New Roman" w:cs="Times New Roman"/>
          <w:bCs/>
          <w:i/>
          <w:iCs/>
        </w:rPr>
        <w:t xml:space="preserve"> of 100 dwelling or more should have regard to</w:t>
      </w:r>
      <w:r w:rsidR="005408C8" w:rsidRPr="00D86071">
        <w:rPr>
          <w:rFonts w:ascii="Times New Roman" w:hAnsi="Times New Roman" w:cs="Times New Roman"/>
          <w:bCs/>
          <w:i/>
          <w:iCs/>
        </w:rPr>
        <w:t>…</w:t>
      </w:r>
      <w:r w:rsidR="005408C8">
        <w:rPr>
          <w:rFonts w:ascii="Times New Roman" w:hAnsi="Times New Roman" w:cs="Times New Roman"/>
          <w:bCs/>
        </w:rPr>
        <w:t xml:space="preserve">” </w:t>
      </w:r>
    </w:p>
    <w:p w14:paraId="65FDD387" w14:textId="3EC41E67" w:rsidR="002E13CC" w:rsidRDefault="00E33702" w:rsidP="00BE73EB">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Pr>
          <w:rFonts w:ascii="Times New Roman" w:hAnsi="Times New Roman" w:cs="Times New Roman"/>
          <w:bCs/>
        </w:rPr>
        <w:t xml:space="preserve">Turing to the </w:t>
      </w:r>
      <w:r w:rsidR="003F3C82">
        <w:rPr>
          <w:rFonts w:ascii="Times New Roman" w:hAnsi="Times New Roman" w:cs="Times New Roman"/>
          <w:bCs/>
        </w:rPr>
        <w:t>requirements</w:t>
      </w:r>
      <w:r>
        <w:rPr>
          <w:rFonts w:ascii="Times New Roman" w:hAnsi="Times New Roman" w:cs="Times New Roman"/>
          <w:bCs/>
        </w:rPr>
        <w:t xml:space="preserve"> in the </w:t>
      </w:r>
      <w:r w:rsidR="0083628F">
        <w:rPr>
          <w:rFonts w:ascii="Times New Roman" w:hAnsi="Times New Roman" w:cs="Times New Roman"/>
          <w:bCs/>
        </w:rPr>
        <w:t xml:space="preserve">final </w:t>
      </w:r>
      <w:r w:rsidR="003F3C82">
        <w:rPr>
          <w:rFonts w:ascii="Times New Roman" w:hAnsi="Times New Roman" w:cs="Times New Roman"/>
          <w:bCs/>
        </w:rPr>
        <w:t>paragraph</w:t>
      </w:r>
      <w:r w:rsidR="000E0708">
        <w:rPr>
          <w:rFonts w:ascii="Times New Roman" w:hAnsi="Times New Roman" w:cs="Times New Roman"/>
          <w:bCs/>
        </w:rPr>
        <w:t>.</w:t>
      </w:r>
      <w:r w:rsidR="0083628F">
        <w:rPr>
          <w:rFonts w:ascii="Times New Roman" w:hAnsi="Times New Roman" w:cs="Times New Roman"/>
          <w:bCs/>
        </w:rPr>
        <w:t xml:space="preserve"> </w:t>
      </w:r>
      <w:r w:rsidR="000E0708">
        <w:rPr>
          <w:rFonts w:ascii="Times New Roman" w:hAnsi="Times New Roman" w:cs="Times New Roman"/>
          <w:bCs/>
        </w:rPr>
        <w:t>I</w:t>
      </w:r>
      <w:r w:rsidR="0083628F">
        <w:rPr>
          <w:rFonts w:ascii="Times New Roman" w:hAnsi="Times New Roman" w:cs="Times New Roman"/>
          <w:bCs/>
        </w:rPr>
        <w:t>t is not clear why</w:t>
      </w:r>
      <w:r w:rsidR="002E13CC">
        <w:rPr>
          <w:rFonts w:ascii="Times New Roman" w:hAnsi="Times New Roman" w:cs="Times New Roman"/>
          <w:bCs/>
        </w:rPr>
        <w:t xml:space="preserve"> </w:t>
      </w:r>
      <w:r w:rsidR="0083628F">
        <w:rPr>
          <w:rFonts w:ascii="Times New Roman" w:hAnsi="Times New Roman" w:cs="Times New Roman"/>
          <w:bCs/>
        </w:rPr>
        <w:t>developments</w:t>
      </w:r>
      <w:r w:rsidR="000E0708">
        <w:rPr>
          <w:rFonts w:ascii="Times New Roman" w:hAnsi="Times New Roman" w:cs="Times New Roman"/>
          <w:bCs/>
        </w:rPr>
        <w:t xml:space="preserve"> </w:t>
      </w:r>
      <w:r w:rsidR="0083628F">
        <w:rPr>
          <w:rFonts w:ascii="Times New Roman" w:hAnsi="Times New Roman" w:cs="Times New Roman"/>
          <w:bCs/>
        </w:rPr>
        <w:t>o</w:t>
      </w:r>
      <w:r w:rsidR="000E0708">
        <w:rPr>
          <w:rFonts w:ascii="Times New Roman" w:hAnsi="Times New Roman" w:cs="Times New Roman"/>
          <w:bCs/>
        </w:rPr>
        <w:t xml:space="preserve">f </w:t>
      </w:r>
      <w:r w:rsidR="0083628F">
        <w:rPr>
          <w:rFonts w:ascii="Times New Roman" w:hAnsi="Times New Roman" w:cs="Times New Roman"/>
          <w:bCs/>
        </w:rPr>
        <w:t>mor</w:t>
      </w:r>
      <w:r w:rsidR="000E0708">
        <w:rPr>
          <w:rFonts w:ascii="Times New Roman" w:hAnsi="Times New Roman" w:cs="Times New Roman"/>
          <w:bCs/>
        </w:rPr>
        <w:t>e</w:t>
      </w:r>
      <w:r w:rsidR="0083628F">
        <w:rPr>
          <w:rFonts w:ascii="Times New Roman" w:hAnsi="Times New Roman" w:cs="Times New Roman"/>
          <w:bCs/>
        </w:rPr>
        <w:t xml:space="preserve"> than 99 </w:t>
      </w:r>
      <w:r w:rsidR="003F3C82">
        <w:rPr>
          <w:rFonts w:ascii="Times New Roman" w:hAnsi="Times New Roman" w:cs="Times New Roman"/>
          <w:bCs/>
        </w:rPr>
        <w:t>home</w:t>
      </w:r>
      <w:r w:rsidR="0083628F">
        <w:rPr>
          <w:rFonts w:ascii="Times New Roman" w:hAnsi="Times New Roman" w:cs="Times New Roman"/>
          <w:bCs/>
        </w:rPr>
        <w:t xml:space="preserve"> should </w:t>
      </w:r>
      <w:r w:rsidR="003F3C82">
        <w:rPr>
          <w:rFonts w:ascii="Times New Roman" w:hAnsi="Times New Roman" w:cs="Times New Roman"/>
          <w:bCs/>
        </w:rPr>
        <w:t>demonstrate</w:t>
      </w:r>
      <w:r w:rsidR="0083628F">
        <w:rPr>
          <w:rFonts w:ascii="Times New Roman" w:hAnsi="Times New Roman" w:cs="Times New Roman"/>
          <w:bCs/>
        </w:rPr>
        <w:t xml:space="preserve"> that </w:t>
      </w:r>
      <w:r w:rsidR="003F3C82">
        <w:rPr>
          <w:rFonts w:ascii="Times New Roman" w:hAnsi="Times New Roman" w:cs="Times New Roman"/>
          <w:bCs/>
        </w:rPr>
        <w:t>engagement</w:t>
      </w:r>
      <w:r w:rsidR="0083628F">
        <w:rPr>
          <w:rFonts w:ascii="Times New Roman" w:hAnsi="Times New Roman" w:cs="Times New Roman"/>
          <w:bCs/>
        </w:rPr>
        <w:t xml:space="preserve"> has taken place with a registered provider</w:t>
      </w:r>
      <w:r w:rsidR="003F3C82">
        <w:rPr>
          <w:rFonts w:ascii="Times New Roman" w:hAnsi="Times New Roman" w:cs="Times New Roman"/>
          <w:bCs/>
        </w:rPr>
        <w:t xml:space="preserve"> as part of the planning application.</w:t>
      </w:r>
      <w:r w:rsidR="002F2863">
        <w:rPr>
          <w:rFonts w:ascii="Times New Roman" w:hAnsi="Times New Roman" w:cs="Times New Roman"/>
          <w:bCs/>
        </w:rPr>
        <w:t xml:space="preserve"> While a developer will clearly have such discussions the need for these to have taken place at application is unnecessary and should not form part of the decision making process.  </w:t>
      </w:r>
      <w:r w:rsidR="00455A04">
        <w:rPr>
          <w:rFonts w:ascii="Times New Roman" w:hAnsi="Times New Roman" w:cs="Times New Roman"/>
          <w:bCs/>
        </w:rPr>
        <w:t>Required</w:t>
      </w:r>
      <w:r w:rsidR="00FE04F0">
        <w:rPr>
          <w:rFonts w:ascii="Times New Roman" w:hAnsi="Times New Roman" w:cs="Times New Roman"/>
          <w:bCs/>
        </w:rPr>
        <w:t xml:space="preserve"> to </w:t>
      </w:r>
      <w:r w:rsidR="002F2863">
        <w:rPr>
          <w:rFonts w:ascii="Times New Roman" w:hAnsi="Times New Roman" w:cs="Times New Roman"/>
          <w:bCs/>
        </w:rPr>
        <w:t>demonstrate</w:t>
      </w:r>
      <w:r w:rsidR="00FE04F0">
        <w:rPr>
          <w:rFonts w:ascii="Times New Roman" w:hAnsi="Times New Roman" w:cs="Times New Roman"/>
          <w:bCs/>
        </w:rPr>
        <w:t xml:space="preserve"> </w:t>
      </w:r>
      <w:r w:rsidR="002F2863">
        <w:rPr>
          <w:rFonts w:ascii="Times New Roman" w:hAnsi="Times New Roman" w:cs="Times New Roman"/>
          <w:bCs/>
        </w:rPr>
        <w:t>engagement</w:t>
      </w:r>
      <w:r w:rsidR="00FE04F0">
        <w:rPr>
          <w:rFonts w:ascii="Times New Roman" w:hAnsi="Times New Roman" w:cs="Times New Roman"/>
          <w:bCs/>
        </w:rPr>
        <w:t xml:space="preserve"> with registered </w:t>
      </w:r>
      <w:r w:rsidR="002F2863">
        <w:rPr>
          <w:rFonts w:ascii="Times New Roman" w:hAnsi="Times New Roman" w:cs="Times New Roman"/>
          <w:bCs/>
        </w:rPr>
        <w:t>providers</w:t>
      </w:r>
      <w:r w:rsidR="00FE04F0">
        <w:rPr>
          <w:rFonts w:ascii="Times New Roman" w:hAnsi="Times New Roman" w:cs="Times New Roman"/>
          <w:bCs/>
        </w:rPr>
        <w:t xml:space="preserve"> to </w:t>
      </w:r>
      <w:r w:rsidR="002F2863">
        <w:rPr>
          <w:rFonts w:ascii="Times New Roman" w:hAnsi="Times New Roman" w:cs="Times New Roman"/>
          <w:bCs/>
        </w:rPr>
        <w:t>deliver the affordable element of the development.</w:t>
      </w:r>
      <w:r w:rsidR="002E13CC">
        <w:rPr>
          <w:rFonts w:ascii="Times New Roman" w:hAnsi="Times New Roman" w:cs="Times New Roman"/>
          <w:bCs/>
        </w:rPr>
        <w:t xml:space="preserve"> </w:t>
      </w:r>
    </w:p>
    <w:p w14:paraId="1804CECD" w14:textId="17AA47B7" w:rsidR="002E13CC" w:rsidRDefault="002E13CC" w:rsidP="00BE73EB">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Pr>
          <w:rFonts w:ascii="Times New Roman" w:hAnsi="Times New Roman" w:cs="Times New Roman"/>
          <w:bCs/>
        </w:rPr>
        <w:t>Part b requires a nursing care facility</w:t>
      </w:r>
      <w:r w:rsidR="00AD4342">
        <w:rPr>
          <w:rFonts w:ascii="Times New Roman" w:hAnsi="Times New Roman" w:cs="Times New Roman"/>
          <w:bCs/>
        </w:rPr>
        <w:t xml:space="preserve"> to be provided</w:t>
      </w:r>
      <w:r>
        <w:rPr>
          <w:rFonts w:ascii="Times New Roman" w:hAnsi="Times New Roman" w:cs="Times New Roman"/>
          <w:bCs/>
        </w:rPr>
        <w:t xml:space="preserve"> on </w:t>
      </w:r>
      <w:r w:rsidR="00E4327A">
        <w:rPr>
          <w:rFonts w:ascii="Times New Roman" w:hAnsi="Times New Roman" w:cs="Times New Roman"/>
          <w:bCs/>
        </w:rPr>
        <w:t>sit</w:t>
      </w:r>
      <w:r w:rsidR="005A2A5A">
        <w:rPr>
          <w:rFonts w:ascii="Times New Roman" w:hAnsi="Times New Roman" w:cs="Times New Roman"/>
          <w:bCs/>
        </w:rPr>
        <w:t>e</w:t>
      </w:r>
      <w:r w:rsidR="00E4327A">
        <w:rPr>
          <w:rFonts w:ascii="Times New Roman" w:hAnsi="Times New Roman" w:cs="Times New Roman"/>
          <w:bCs/>
        </w:rPr>
        <w:t>s</w:t>
      </w:r>
      <w:r w:rsidR="005A2A5A">
        <w:rPr>
          <w:rFonts w:ascii="Times New Roman" w:hAnsi="Times New Roman" w:cs="Times New Roman"/>
          <w:bCs/>
        </w:rPr>
        <w:t xml:space="preserve"> </w:t>
      </w:r>
      <w:r w:rsidR="00E4327A">
        <w:rPr>
          <w:rFonts w:ascii="Times New Roman" w:hAnsi="Times New Roman" w:cs="Times New Roman"/>
          <w:bCs/>
        </w:rPr>
        <w:t>of over 500</w:t>
      </w:r>
      <w:r w:rsidR="00AD4342">
        <w:rPr>
          <w:rFonts w:ascii="Times New Roman" w:hAnsi="Times New Roman" w:cs="Times New Roman"/>
          <w:bCs/>
        </w:rPr>
        <w:t xml:space="preserve">. </w:t>
      </w:r>
      <w:r w:rsidR="00EC5F6E">
        <w:rPr>
          <w:rFonts w:ascii="Times New Roman" w:hAnsi="Times New Roman" w:cs="Times New Roman"/>
          <w:bCs/>
        </w:rPr>
        <w:t xml:space="preserve">HBF consider </w:t>
      </w:r>
      <w:r w:rsidR="00773385">
        <w:rPr>
          <w:rFonts w:ascii="Times New Roman" w:hAnsi="Times New Roman" w:cs="Times New Roman"/>
          <w:bCs/>
        </w:rPr>
        <w:t>this</w:t>
      </w:r>
      <w:r w:rsidR="00EC5F6E">
        <w:rPr>
          <w:rFonts w:ascii="Times New Roman" w:hAnsi="Times New Roman" w:cs="Times New Roman"/>
          <w:bCs/>
        </w:rPr>
        <w:t xml:space="preserve"> to be </w:t>
      </w:r>
      <w:r w:rsidR="00773385">
        <w:rPr>
          <w:rFonts w:ascii="Times New Roman" w:hAnsi="Times New Roman" w:cs="Times New Roman"/>
          <w:bCs/>
        </w:rPr>
        <w:t>inflexible</w:t>
      </w:r>
      <w:r w:rsidR="00EC5F6E">
        <w:rPr>
          <w:rFonts w:ascii="Times New Roman" w:hAnsi="Times New Roman" w:cs="Times New Roman"/>
          <w:bCs/>
        </w:rPr>
        <w:t xml:space="preserve"> and does not </w:t>
      </w:r>
      <w:r w:rsidR="00F83343">
        <w:rPr>
          <w:rFonts w:ascii="Times New Roman" w:hAnsi="Times New Roman" w:cs="Times New Roman"/>
          <w:bCs/>
        </w:rPr>
        <w:t>provide</w:t>
      </w:r>
      <w:r w:rsidR="00EC5F6E">
        <w:rPr>
          <w:rFonts w:ascii="Times New Roman" w:hAnsi="Times New Roman" w:cs="Times New Roman"/>
          <w:bCs/>
        </w:rPr>
        <w:t xml:space="preserve"> flexib</w:t>
      </w:r>
      <w:r w:rsidR="00F83343">
        <w:rPr>
          <w:rFonts w:ascii="Times New Roman" w:hAnsi="Times New Roman" w:cs="Times New Roman"/>
          <w:bCs/>
        </w:rPr>
        <w:t>ility</w:t>
      </w:r>
      <w:r w:rsidR="00EC5F6E">
        <w:rPr>
          <w:rFonts w:ascii="Times New Roman" w:hAnsi="Times New Roman" w:cs="Times New Roman"/>
          <w:bCs/>
        </w:rPr>
        <w:t xml:space="preserve"> to take account of need and </w:t>
      </w:r>
      <w:r w:rsidR="00773385">
        <w:rPr>
          <w:rFonts w:ascii="Times New Roman" w:hAnsi="Times New Roman" w:cs="Times New Roman"/>
          <w:bCs/>
        </w:rPr>
        <w:t>the provision</w:t>
      </w:r>
      <w:r w:rsidR="00EC5F6E">
        <w:rPr>
          <w:rFonts w:ascii="Times New Roman" w:hAnsi="Times New Roman" w:cs="Times New Roman"/>
          <w:bCs/>
        </w:rPr>
        <w:t xml:space="preserve"> of such </w:t>
      </w:r>
      <w:r w:rsidR="00773385">
        <w:rPr>
          <w:rFonts w:ascii="Times New Roman" w:hAnsi="Times New Roman" w:cs="Times New Roman"/>
          <w:bCs/>
        </w:rPr>
        <w:t>facilities</w:t>
      </w:r>
      <w:r w:rsidR="00EC5F6E">
        <w:rPr>
          <w:rFonts w:ascii="Times New Roman" w:hAnsi="Times New Roman" w:cs="Times New Roman"/>
          <w:bCs/>
        </w:rPr>
        <w:t xml:space="preserve"> </w:t>
      </w:r>
      <w:r w:rsidR="00773385">
        <w:rPr>
          <w:rFonts w:ascii="Times New Roman" w:hAnsi="Times New Roman" w:cs="Times New Roman"/>
          <w:bCs/>
        </w:rPr>
        <w:t>elsewhere</w:t>
      </w:r>
      <w:r w:rsidR="00EC5F6E">
        <w:rPr>
          <w:rFonts w:ascii="Times New Roman" w:hAnsi="Times New Roman" w:cs="Times New Roman"/>
          <w:bCs/>
        </w:rPr>
        <w:t xml:space="preserve"> over the plan period. </w:t>
      </w:r>
      <w:r w:rsidR="00773385">
        <w:rPr>
          <w:rFonts w:ascii="Times New Roman" w:hAnsi="Times New Roman" w:cs="Times New Roman"/>
          <w:bCs/>
        </w:rPr>
        <w:t>Some flexibility should be included in the policy to allow for such considerations by decision makers.</w:t>
      </w:r>
    </w:p>
    <w:p w14:paraId="2AFD1019" w14:textId="56A2A16B" w:rsidR="00455A04" w:rsidRDefault="00D15201" w:rsidP="00BE73EB">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Pr>
          <w:rFonts w:ascii="Times New Roman" w:hAnsi="Times New Roman" w:cs="Times New Roman"/>
          <w:bCs/>
        </w:rPr>
        <w:t>Part c refers</w:t>
      </w:r>
      <w:r w:rsidR="00F83343">
        <w:rPr>
          <w:rFonts w:ascii="Times New Roman" w:hAnsi="Times New Roman" w:cs="Times New Roman"/>
          <w:bCs/>
        </w:rPr>
        <w:t xml:space="preserve"> to the </w:t>
      </w:r>
      <w:r>
        <w:rPr>
          <w:rFonts w:ascii="Times New Roman" w:hAnsi="Times New Roman" w:cs="Times New Roman"/>
          <w:bCs/>
        </w:rPr>
        <w:t>requirement</w:t>
      </w:r>
      <w:r w:rsidR="00F83343">
        <w:rPr>
          <w:rFonts w:ascii="Times New Roman" w:hAnsi="Times New Roman" w:cs="Times New Roman"/>
          <w:bCs/>
        </w:rPr>
        <w:t xml:space="preserve"> to provide 5% </w:t>
      </w:r>
      <w:r>
        <w:rPr>
          <w:rFonts w:ascii="Times New Roman" w:hAnsi="Times New Roman" w:cs="Times New Roman"/>
          <w:bCs/>
        </w:rPr>
        <w:t>plots</w:t>
      </w:r>
      <w:r w:rsidR="00F83343">
        <w:rPr>
          <w:rFonts w:ascii="Times New Roman" w:hAnsi="Times New Roman" w:cs="Times New Roman"/>
          <w:bCs/>
        </w:rPr>
        <w:t xml:space="preserve"> as </w:t>
      </w:r>
      <w:r>
        <w:rPr>
          <w:rFonts w:ascii="Times New Roman" w:hAnsi="Times New Roman" w:cs="Times New Roman"/>
          <w:bCs/>
        </w:rPr>
        <w:t>self-build. This is</w:t>
      </w:r>
      <w:r w:rsidR="00F83343">
        <w:rPr>
          <w:rFonts w:ascii="Times New Roman" w:hAnsi="Times New Roman" w:cs="Times New Roman"/>
          <w:bCs/>
        </w:rPr>
        <w:t xml:space="preserve"> also set </w:t>
      </w:r>
      <w:r>
        <w:rPr>
          <w:rFonts w:ascii="Times New Roman" w:hAnsi="Times New Roman" w:cs="Times New Roman"/>
          <w:bCs/>
        </w:rPr>
        <w:t>out</w:t>
      </w:r>
      <w:r w:rsidR="00F83343">
        <w:rPr>
          <w:rFonts w:ascii="Times New Roman" w:hAnsi="Times New Roman" w:cs="Times New Roman"/>
          <w:bCs/>
        </w:rPr>
        <w:t xml:space="preserve"> in</w:t>
      </w:r>
      <w:r>
        <w:rPr>
          <w:rFonts w:ascii="Times New Roman" w:hAnsi="Times New Roman" w:cs="Times New Roman"/>
          <w:bCs/>
        </w:rPr>
        <w:t xml:space="preserve"> more detail in</w:t>
      </w:r>
      <w:r w:rsidR="00F83343">
        <w:rPr>
          <w:rFonts w:ascii="Times New Roman" w:hAnsi="Times New Roman" w:cs="Times New Roman"/>
          <w:bCs/>
        </w:rPr>
        <w:t xml:space="preserve"> HOU10. </w:t>
      </w:r>
      <w:r>
        <w:rPr>
          <w:rFonts w:ascii="Times New Roman" w:hAnsi="Times New Roman" w:cs="Times New Roman"/>
          <w:bCs/>
        </w:rPr>
        <w:t xml:space="preserve">HBF </w:t>
      </w:r>
      <w:r w:rsidR="00C35FD1">
        <w:rPr>
          <w:rFonts w:ascii="Times New Roman" w:hAnsi="Times New Roman" w:cs="Times New Roman"/>
          <w:bCs/>
        </w:rPr>
        <w:t>would</w:t>
      </w:r>
      <w:r>
        <w:rPr>
          <w:rFonts w:ascii="Times New Roman" w:hAnsi="Times New Roman" w:cs="Times New Roman"/>
          <w:bCs/>
        </w:rPr>
        <w:t xml:space="preserve"> </w:t>
      </w:r>
      <w:r w:rsidR="00C35FD1">
        <w:rPr>
          <w:rFonts w:ascii="Times New Roman" w:hAnsi="Times New Roman" w:cs="Times New Roman"/>
          <w:bCs/>
        </w:rPr>
        <w:t>suggest</w:t>
      </w:r>
      <w:r>
        <w:rPr>
          <w:rFonts w:ascii="Times New Roman" w:hAnsi="Times New Roman" w:cs="Times New Roman"/>
          <w:bCs/>
        </w:rPr>
        <w:t xml:space="preserve"> that </w:t>
      </w:r>
      <w:r w:rsidR="00C35FD1">
        <w:rPr>
          <w:rFonts w:ascii="Times New Roman" w:hAnsi="Times New Roman" w:cs="Times New Roman"/>
          <w:bCs/>
        </w:rPr>
        <w:t>reference</w:t>
      </w:r>
      <w:r>
        <w:rPr>
          <w:rFonts w:ascii="Times New Roman" w:hAnsi="Times New Roman" w:cs="Times New Roman"/>
          <w:bCs/>
        </w:rPr>
        <w:t xml:space="preserve"> to </w:t>
      </w:r>
      <w:r w:rsidR="00C35FD1">
        <w:rPr>
          <w:rFonts w:ascii="Times New Roman" w:hAnsi="Times New Roman" w:cs="Times New Roman"/>
          <w:bCs/>
        </w:rPr>
        <w:t>self-build</w:t>
      </w:r>
      <w:r>
        <w:rPr>
          <w:rFonts w:ascii="Times New Roman" w:hAnsi="Times New Roman" w:cs="Times New Roman"/>
          <w:bCs/>
        </w:rPr>
        <w:t xml:space="preserve"> is not needed in HOU</w:t>
      </w:r>
      <w:r w:rsidR="00C35FD1">
        <w:rPr>
          <w:rFonts w:ascii="Times New Roman" w:hAnsi="Times New Roman" w:cs="Times New Roman"/>
          <w:bCs/>
        </w:rPr>
        <w:t xml:space="preserve"> 02 and should be deleted. </w:t>
      </w:r>
    </w:p>
    <w:p w14:paraId="18F4B080" w14:textId="3F11DED3" w:rsidR="00455A04" w:rsidRPr="00CE3E21" w:rsidRDefault="00455A04" w:rsidP="00F0430A">
      <w:pPr>
        <w:spacing w:after="240" w:line="360" w:lineRule="auto"/>
        <w:rPr>
          <w:rFonts w:ascii="Times New Roman" w:hAnsi="Times New Roman" w:cs="Times New Roman"/>
          <w:b/>
        </w:rPr>
      </w:pPr>
      <w:r w:rsidRPr="00CE3E21">
        <w:rPr>
          <w:rFonts w:ascii="Times New Roman" w:hAnsi="Times New Roman" w:cs="Times New Roman"/>
          <w:b/>
        </w:rPr>
        <w:t>HOU 05 Development viability</w:t>
      </w:r>
    </w:p>
    <w:p w14:paraId="342ABA35" w14:textId="136BB217" w:rsidR="00A314AD" w:rsidRDefault="00775A5A" w:rsidP="00BE73EB">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Pr>
          <w:rFonts w:ascii="Times New Roman" w:hAnsi="Times New Roman" w:cs="Times New Roman"/>
          <w:bCs/>
        </w:rPr>
        <w:t>HBF welcomes the inclusion of a polic</w:t>
      </w:r>
      <w:r w:rsidR="00EB7AF2">
        <w:rPr>
          <w:rFonts w:ascii="Times New Roman" w:hAnsi="Times New Roman" w:cs="Times New Roman"/>
          <w:bCs/>
        </w:rPr>
        <w:t xml:space="preserve">ies in local plans setting out that </w:t>
      </w:r>
      <w:r w:rsidR="00E75354">
        <w:rPr>
          <w:rFonts w:ascii="Times New Roman" w:hAnsi="Times New Roman" w:cs="Times New Roman"/>
          <w:bCs/>
        </w:rPr>
        <w:t xml:space="preserve">development viability will be a consideration in decision making. </w:t>
      </w:r>
      <w:r w:rsidR="00E525D8">
        <w:rPr>
          <w:rFonts w:ascii="Times New Roman" w:hAnsi="Times New Roman" w:cs="Times New Roman"/>
          <w:bCs/>
        </w:rPr>
        <w:t>Paragraph</w:t>
      </w:r>
      <w:r w:rsidR="00E75354">
        <w:rPr>
          <w:rFonts w:ascii="Times New Roman" w:hAnsi="Times New Roman" w:cs="Times New Roman"/>
          <w:bCs/>
        </w:rPr>
        <w:t xml:space="preserve"> 5</w:t>
      </w:r>
      <w:r w:rsidR="00E525D8">
        <w:rPr>
          <w:rFonts w:ascii="Times New Roman" w:hAnsi="Times New Roman" w:cs="Times New Roman"/>
          <w:bCs/>
        </w:rPr>
        <w:t>9</w:t>
      </w:r>
      <w:r w:rsidR="00E75354">
        <w:rPr>
          <w:rFonts w:ascii="Times New Roman" w:hAnsi="Times New Roman" w:cs="Times New Roman"/>
          <w:bCs/>
        </w:rPr>
        <w:t xml:space="preserve"> of the NPPF is clear that there may be </w:t>
      </w:r>
      <w:r w:rsidR="002B4A04">
        <w:rPr>
          <w:rFonts w:ascii="Times New Roman" w:hAnsi="Times New Roman" w:cs="Times New Roman"/>
          <w:bCs/>
        </w:rPr>
        <w:t>a change in circumstances</w:t>
      </w:r>
      <w:r w:rsidR="00E75354">
        <w:rPr>
          <w:rFonts w:ascii="Times New Roman" w:hAnsi="Times New Roman" w:cs="Times New Roman"/>
          <w:bCs/>
        </w:rPr>
        <w:t xml:space="preserve"> </w:t>
      </w:r>
      <w:r w:rsidR="002B4A04">
        <w:rPr>
          <w:rFonts w:ascii="Times New Roman" w:hAnsi="Times New Roman" w:cs="Times New Roman"/>
          <w:bCs/>
        </w:rPr>
        <w:t xml:space="preserve">that </w:t>
      </w:r>
      <w:r w:rsidR="00E525D8">
        <w:rPr>
          <w:rFonts w:ascii="Times New Roman" w:hAnsi="Times New Roman" w:cs="Times New Roman"/>
          <w:bCs/>
        </w:rPr>
        <w:t xml:space="preserve">means a development cannot meet all the requirements set out in the local plan. </w:t>
      </w:r>
      <w:r w:rsidR="005075A6">
        <w:rPr>
          <w:rFonts w:ascii="Times New Roman" w:hAnsi="Times New Roman" w:cs="Times New Roman"/>
          <w:bCs/>
        </w:rPr>
        <w:t>With regard t</w:t>
      </w:r>
      <w:r w:rsidR="00C240DA">
        <w:rPr>
          <w:rFonts w:ascii="Times New Roman" w:hAnsi="Times New Roman" w:cs="Times New Roman"/>
          <w:bCs/>
        </w:rPr>
        <w:t xml:space="preserve">he </w:t>
      </w:r>
      <w:r w:rsidR="005075A6">
        <w:rPr>
          <w:rFonts w:ascii="Times New Roman" w:hAnsi="Times New Roman" w:cs="Times New Roman"/>
          <w:bCs/>
        </w:rPr>
        <w:t xml:space="preserve">first </w:t>
      </w:r>
      <w:r w:rsidR="00CA4B8F">
        <w:rPr>
          <w:rFonts w:ascii="Times New Roman" w:hAnsi="Times New Roman" w:cs="Times New Roman"/>
          <w:bCs/>
        </w:rPr>
        <w:t>paragraph</w:t>
      </w:r>
      <w:r w:rsidR="005075A6">
        <w:rPr>
          <w:rFonts w:ascii="Times New Roman" w:hAnsi="Times New Roman" w:cs="Times New Roman"/>
          <w:bCs/>
        </w:rPr>
        <w:t xml:space="preserve"> it is </w:t>
      </w:r>
      <w:r w:rsidR="00CA4B8F">
        <w:rPr>
          <w:rFonts w:ascii="Times New Roman" w:hAnsi="Times New Roman" w:cs="Times New Roman"/>
          <w:bCs/>
        </w:rPr>
        <w:t>necessary</w:t>
      </w:r>
      <w:r w:rsidR="005075A6">
        <w:rPr>
          <w:rFonts w:ascii="Times New Roman" w:hAnsi="Times New Roman" w:cs="Times New Roman"/>
          <w:bCs/>
        </w:rPr>
        <w:t xml:space="preserve"> to </w:t>
      </w:r>
      <w:r w:rsidR="00CA4B8F">
        <w:rPr>
          <w:rFonts w:ascii="Times New Roman" w:hAnsi="Times New Roman" w:cs="Times New Roman"/>
          <w:bCs/>
        </w:rPr>
        <w:t>repeat</w:t>
      </w:r>
      <w:r w:rsidR="005075A6">
        <w:rPr>
          <w:rFonts w:ascii="Times New Roman" w:hAnsi="Times New Roman" w:cs="Times New Roman"/>
          <w:bCs/>
        </w:rPr>
        <w:t xml:space="preserve"> PPG </w:t>
      </w:r>
      <w:r w:rsidR="005D0FB3">
        <w:rPr>
          <w:rFonts w:ascii="Times New Roman" w:hAnsi="Times New Roman" w:cs="Times New Roman"/>
          <w:bCs/>
        </w:rPr>
        <w:t xml:space="preserve">with regard </w:t>
      </w:r>
      <w:r w:rsidR="00CA4B8F">
        <w:rPr>
          <w:rFonts w:ascii="Times New Roman" w:hAnsi="Times New Roman" w:cs="Times New Roman"/>
          <w:bCs/>
        </w:rPr>
        <w:t>to</w:t>
      </w:r>
      <w:r w:rsidR="005D0FB3">
        <w:rPr>
          <w:rFonts w:ascii="Times New Roman" w:hAnsi="Times New Roman" w:cs="Times New Roman"/>
          <w:bCs/>
        </w:rPr>
        <w:t xml:space="preserve"> </w:t>
      </w:r>
      <w:r w:rsidR="00CA4B8F">
        <w:rPr>
          <w:rFonts w:ascii="Times New Roman" w:hAnsi="Times New Roman" w:cs="Times New Roman"/>
          <w:bCs/>
        </w:rPr>
        <w:t>t</w:t>
      </w:r>
      <w:r w:rsidR="005D0FB3">
        <w:rPr>
          <w:rFonts w:ascii="Times New Roman" w:hAnsi="Times New Roman" w:cs="Times New Roman"/>
          <w:bCs/>
        </w:rPr>
        <w:t>he price pa</w:t>
      </w:r>
      <w:r w:rsidR="00CA4B8F">
        <w:rPr>
          <w:rFonts w:ascii="Times New Roman" w:hAnsi="Times New Roman" w:cs="Times New Roman"/>
          <w:bCs/>
        </w:rPr>
        <w:t>i</w:t>
      </w:r>
      <w:r w:rsidR="005D0FB3">
        <w:rPr>
          <w:rFonts w:ascii="Times New Roman" w:hAnsi="Times New Roman" w:cs="Times New Roman"/>
          <w:bCs/>
        </w:rPr>
        <w:t>d for land</w:t>
      </w:r>
      <w:r w:rsidR="000A1CAE">
        <w:rPr>
          <w:rStyle w:val="FootnoteReference"/>
          <w:rFonts w:ascii="Times New Roman" w:hAnsi="Times New Roman" w:cs="Times New Roman"/>
          <w:bCs/>
        </w:rPr>
        <w:footnoteReference w:id="2"/>
      </w:r>
      <w:r w:rsidR="005D0FB3">
        <w:rPr>
          <w:rFonts w:ascii="Times New Roman" w:hAnsi="Times New Roman" w:cs="Times New Roman"/>
          <w:bCs/>
        </w:rPr>
        <w:t xml:space="preserve">. </w:t>
      </w:r>
      <w:r w:rsidR="00CA4B8F">
        <w:rPr>
          <w:rFonts w:ascii="Times New Roman" w:hAnsi="Times New Roman" w:cs="Times New Roman"/>
          <w:bCs/>
        </w:rPr>
        <w:t xml:space="preserve">This should be deleted. </w:t>
      </w:r>
      <w:r w:rsidR="00442E29">
        <w:rPr>
          <w:rFonts w:ascii="Times New Roman" w:hAnsi="Times New Roman" w:cs="Times New Roman"/>
          <w:bCs/>
        </w:rPr>
        <w:t xml:space="preserve">This </w:t>
      </w:r>
      <w:r w:rsidR="00A314AD">
        <w:rPr>
          <w:rFonts w:ascii="Times New Roman" w:hAnsi="Times New Roman" w:cs="Times New Roman"/>
          <w:bCs/>
        </w:rPr>
        <w:t>paragraph</w:t>
      </w:r>
      <w:r w:rsidR="00442E29">
        <w:rPr>
          <w:rFonts w:ascii="Times New Roman" w:hAnsi="Times New Roman" w:cs="Times New Roman"/>
          <w:bCs/>
        </w:rPr>
        <w:t xml:space="preserve"> </w:t>
      </w:r>
      <w:r w:rsidR="00A314AD">
        <w:rPr>
          <w:rFonts w:ascii="Times New Roman" w:hAnsi="Times New Roman" w:cs="Times New Roman"/>
          <w:bCs/>
        </w:rPr>
        <w:t>should</w:t>
      </w:r>
      <w:r w:rsidR="00442E29">
        <w:rPr>
          <w:rFonts w:ascii="Times New Roman" w:hAnsi="Times New Roman" w:cs="Times New Roman"/>
          <w:bCs/>
        </w:rPr>
        <w:t xml:space="preserve"> also be more </w:t>
      </w:r>
      <w:r w:rsidR="00A314AD">
        <w:rPr>
          <w:rFonts w:ascii="Times New Roman" w:hAnsi="Times New Roman" w:cs="Times New Roman"/>
          <w:bCs/>
        </w:rPr>
        <w:t>positively</w:t>
      </w:r>
      <w:r w:rsidR="00442E29">
        <w:rPr>
          <w:rFonts w:ascii="Times New Roman" w:hAnsi="Times New Roman" w:cs="Times New Roman"/>
          <w:bCs/>
        </w:rPr>
        <w:t xml:space="preserve"> framed </w:t>
      </w:r>
      <w:r w:rsidR="00A314AD">
        <w:rPr>
          <w:rFonts w:ascii="Times New Roman" w:hAnsi="Times New Roman" w:cs="Times New Roman"/>
          <w:bCs/>
        </w:rPr>
        <w:t>outlining</w:t>
      </w:r>
      <w:r w:rsidR="00442E29">
        <w:rPr>
          <w:rFonts w:ascii="Times New Roman" w:hAnsi="Times New Roman" w:cs="Times New Roman"/>
          <w:bCs/>
        </w:rPr>
        <w:t xml:space="preserve"> that development is expected to meet all the policy </w:t>
      </w:r>
      <w:r w:rsidR="00A314AD">
        <w:rPr>
          <w:rFonts w:ascii="Times New Roman" w:hAnsi="Times New Roman" w:cs="Times New Roman"/>
          <w:bCs/>
        </w:rPr>
        <w:t>requirements</w:t>
      </w:r>
      <w:r w:rsidR="00442E29">
        <w:rPr>
          <w:rFonts w:ascii="Times New Roman" w:hAnsi="Times New Roman" w:cs="Times New Roman"/>
          <w:bCs/>
        </w:rPr>
        <w:t xml:space="preserve"> </w:t>
      </w:r>
      <w:r w:rsidR="00A314AD">
        <w:rPr>
          <w:rFonts w:ascii="Times New Roman" w:hAnsi="Times New Roman" w:cs="Times New Roman"/>
          <w:bCs/>
        </w:rPr>
        <w:t xml:space="preserve">in the local </w:t>
      </w:r>
      <w:r w:rsidR="00D17824">
        <w:rPr>
          <w:rFonts w:ascii="Times New Roman" w:hAnsi="Times New Roman" w:cs="Times New Roman"/>
          <w:bCs/>
        </w:rPr>
        <w:t>plan,</w:t>
      </w:r>
      <w:r w:rsidR="00A314AD">
        <w:rPr>
          <w:rFonts w:ascii="Times New Roman" w:hAnsi="Times New Roman" w:cs="Times New Roman"/>
          <w:bCs/>
        </w:rPr>
        <w:t xml:space="preserve"> </w:t>
      </w:r>
      <w:r w:rsidR="00EF2424">
        <w:rPr>
          <w:rFonts w:ascii="Times New Roman" w:hAnsi="Times New Roman" w:cs="Times New Roman"/>
          <w:bCs/>
        </w:rPr>
        <w:t xml:space="preserve">but </w:t>
      </w:r>
      <w:r w:rsidR="00442E29">
        <w:rPr>
          <w:rFonts w:ascii="Times New Roman" w:hAnsi="Times New Roman" w:cs="Times New Roman"/>
          <w:bCs/>
        </w:rPr>
        <w:t>it is r</w:t>
      </w:r>
      <w:r w:rsidR="00A314AD">
        <w:rPr>
          <w:rFonts w:ascii="Times New Roman" w:hAnsi="Times New Roman" w:cs="Times New Roman"/>
          <w:bCs/>
        </w:rPr>
        <w:t>ecognised</w:t>
      </w:r>
      <w:r w:rsidR="00442E29">
        <w:rPr>
          <w:rFonts w:ascii="Times New Roman" w:hAnsi="Times New Roman" w:cs="Times New Roman"/>
          <w:bCs/>
        </w:rPr>
        <w:t xml:space="preserve"> that changing </w:t>
      </w:r>
      <w:r w:rsidR="00A314AD">
        <w:rPr>
          <w:rFonts w:ascii="Times New Roman" w:hAnsi="Times New Roman" w:cs="Times New Roman"/>
          <w:bCs/>
        </w:rPr>
        <w:t>circumstances</w:t>
      </w:r>
      <w:r w:rsidR="00442E29">
        <w:rPr>
          <w:rFonts w:ascii="Times New Roman" w:hAnsi="Times New Roman" w:cs="Times New Roman"/>
          <w:bCs/>
        </w:rPr>
        <w:t xml:space="preserve"> can </w:t>
      </w:r>
      <w:r w:rsidR="00A314AD">
        <w:rPr>
          <w:rFonts w:ascii="Times New Roman" w:hAnsi="Times New Roman" w:cs="Times New Roman"/>
          <w:bCs/>
        </w:rPr>
        <w:t xml:space="preserve">mean that a development is </w:t>
      </w:r>
      <w:r w:rsidR="00D17824">
        <w:rPr>
          <w:rFonts w:ascii="Times New Roman" w:hAnsi="Times New Roman" w:cs="Times New Roman"/>
          <w:bCs/>
        </w:rPr>
        <w:t>no</w:t>
      </w:r>
      <w:r w:rsidR="00A314AD">
        <w:rPr>
          <w:rFonts w:ascii="Times New Roman" w:hAnsi="Times New Roman" w:cs="Times New Roman"/>
          <w:bCs/>
        </w:rPr>
        <w:t xml:space="preserve"> longer able to address all of these requirements.</w:t>
      </w:r>
      <w:r w:rsidR="00EF2424">
        <w:rPr>
          <w:rFonts w:ascii="Times New Roman" w:hAnsi="Times New Roman" w:cs="Times New Roman"/>
          <w:bCs/>
        </w:rPr>
        <w:t xml:space="preserve"> </w:t>
      </w:r>
    </w:p>
    <w:p w14:paraId="2D9B7F0F" w14:textId="6FE4598F" w:rsidR="00E525D8" w:rsidRDefault="001B3177" w:rsidP="00BE73EB">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Pr>
          <w:rFonts w:ascii="Times New Roman" w:hAnsi="Times New Roman" w:cs="Times New Roman"/>
          <w:bCs/>
        </w:rPr>
        <w:t xml:space="preserve">Turning to the second paragraph, </w:t>
      </w:r>
      <w:r w:rsidR="00BB41EF">
        <w:rPr>
          <w:rFonts w:ascii="Times New Roman" w:hAnsi="Times New Roman" w:cs="Times New Roman"/>
          <w:bCs/>
        </w:rPr>
        <w:t>it is</w:t>
      </w:r>
      <w:r w:rsidR="00C123EB">
        <w:rPr>
          <w:rFonts w:ascii="Times New Roman" w:hAnsi="Times New Roman" w:cs="Times New Roman"/>
          <w:bCs/>
        </w:rPr>
        <w:t xml:space="preserve"> </w:t>
      </w:r>
      <w:r w:rsidR="00BB41EF">
        <w:rPr>
          <w:rFonts w:ascii="Times New Roman" w:hAnsi="Times New Roman" w:cs="Times New Roman"/>
          <w:bCs/>
        </w:rPr>
        <w:t xml:space="preserve">not clear why the Council </w:t>
      </w:r>
      <w:r w:rsidR="00CB0D03">
        <w:rPr>
          <w:rFonts w:ascii="Times New Roman" w:hAnsi="Times New Roman" w:cs="Times New Roman"/>
          <w:bCs/>
        </w:rPr>
        <w:t xml:space="preserve">will refuse </w:t>
      </w:r>
      <w:r w:rsidR="0047544C">
        <w:rPr>
          <w:rFonts w:ascii="Times New Roman" w:hAnsi="Times New Roman" w:cs="Times New Roman"/>
          <w:bCs/>
        </w:rPr>
        <w:t>subsequent</w:t>
      </w:r>
      <w:r w:rsidR="00CB0D03">
        <w:rPr>
          <w:rFonts w:ascii="Times New Roman" w:hAnsi="Times New Roman" w:cs="Times New Roman"/>
          <w:bCs/>
        </w:rPr>
        <w:t xml:space="preserve"> </w:t>
      </w:r>
      <w:r w:rsidR="0047544C">
        <w:rPr>
          <w:rFonts w:ascii="Times New Roman" w:hAnsi="Times New Roman" w:cs="Times New Roman"/>
          <w:bCs/>
        </w:rPr>
        <w:t>applications</w:t>
      </w:r>
      <w:r w:rsidR="00CB0D03">
        <w:rPr>
          <w:rFonts w:ascii="Times New Roman" w:hAnsi="Times New Roman" w:cs="Times New Roman"/>
          <w:bCs/>
        </w:rPr>
        <w:t xml:space="preserve"> that seek to question via</w:t>
      </w:r>
      <w:r w:rsidR="0047544C">
        <w:rPr>
          <w:rFonts w:ascii="Times New Roman" w:hAnsi="Times New Roman" w:cs="Times New Roman"/>
          <w:bCs/>
        </w:rPr>
        <w:t xml:space="preserve">bility if submitted within the five years of the </w:t>
      </w:r>
      <w:r w:rsidR="00C123EB">
        <w:rPr>
          <w:rFonts w:ascii="Times New Roman" w:hAnsi="Times New Roman" w:cs="Times New Roman"/>
          <w:bCs/>
        </w:rPr>
        <w:t>date</w:t>
      </w:r>
      <w:r w:rsidR="0047544C">
        <w:rPr>
          <w:rFonts w:ascii="Times New Roman" w:hAnsi="Times New Roman" w:cs="Times New Roman"/>
          <w:bCs/>
        </w:rPr>
        <w:t xml:space="preserve"> of </w:t>
      </w:r>
      <w:r w:rsidR="00C123EB">
        <w:rPr>
          <w:rFonts w:ascii="Times New Roman" w:hAnsi="Times New Roman" w:cs="Times New Roman"/>
          <w:bCs/>
        </w:rPr>
        <w:t>grant</w:t>
      </w:r>
      <w:r w:rsidR="0047544C">
        <w:rPr>
          <w:rFonts w:ascii="Times New Roman" w:hAnsi="Times New Roman" w:cs="Times New Roman"/>
          <w:bCs/>
        </w:rPr>
        <w:t xml:space="preserve"> of planning </w:t>
      </w:r>
      <w:r w:rsidR="00C123EB">
        <w:rPr>
          <w:rFonts w:ascii="Times New Roman" w:hAnsi="Times New Roman" w:cs="Times New Roman"/>
          <w:bCs/>
        </w:rPr>
        <w:t>permission</w:t>
      </w:r>
      <w:r w:rsidR="0047544C">
        <w:rPr>
          <w:rFonts w:ascii="Times New Roman" w:hAnsi="Times New Roman" w:cs="Times New Roman"/>
          <w:bCs/>
        </w:rPr>
        <w:t>. Circumsta</w:t>
      </w:r>
      <w:r w:rsidR="00761EAD">
        <w:rPr>
          <w:rFonts w:ascii="Times New Roman" w:hAnsi="Times New Roman" w:cs="Times New Roman"/>
          <w:bCs/>
        </w:rPr>
        <w:t xml:space="preserve">nces can change rapidly and a </w:t>
      </w:r>
      <w:r w:rsidR="00C123EB">
        <w:rPr>
          <w:rFonts w:ascii="Times New Roman" w:hAnsi="Times New Roman" w:cs="Times New Roman"/>
          <w:bCs/>
        </w:rPr>
        <w:t>refusal</w:t>
      </w:r>
      <w:r w:rsidR="00761EAD">
        <w:rPr>
          <w:rFonts w:ascii="Times New Roman" w:hAnsi="Times New Roman" w:cs="Times New Roman"/>
          <w:bCs/>
        </w:rPr>
        <w:t xml:space="preserve"> to consider </w:t>
      </w:r>
      <w:r w:rsidR="00C123EB">
        <w:rPr>
          <w:rFonts w:ascii="Times New Roman" w:hAnsi="Times New Roman" w:cs="Times New Roman"/>
          <w:bCs/>
        </w:rPr>
        <w:t>viability within five years will limit the Council’s ability to respond to those changing circumstances</w:t>
      </w:r>
      <w:r w:rsidR="00D17824">
        <w:rPr>
          <w:rFonts w:ascii="Times New Roman" w:hAnsi="Times New Roman" w:cs="Times New Roman"/>
          <w:bCs/>
        </w:rPr>
        <w:t xml:space="preserve"> and potentially lead to development needs of the area not being met</w:t>
      </w:r>
      <w:r w:rsidR="00C123EB">
        <w:rPr>
          <w:rFonts w:ascii="Times New Roman" w:hAnsi="Times New Roman" w:cs="Times New Roman"/>
          <w:bCs/>
        </w:rPr>
        <w:t xml:space="preserve">. </w:t>
      </w:r>
      <w:r>
        <w:rPr>
          <w:rFonts w:ascii="Times New Roman" w:hAnsi="Times New Roman" w:cs="Times New Roman"/>
          <w:bCs/>
        </w:rPr>
        <w:t xml:space="preserve">This paragraph </w:t>
      </w:r>
      <w:r w:rsidR="00D17824">
        <w:rPr>
          <w:rFonts w:ascii="Times New Roman" w:hAnsi="Times New Roman" w:cs="Times New Roman"/>
          <w:bCs/>
        </w:rPr>
        <w:t xml:space="preserve">is therefore unjustified and ineffective </w:t>
      </w:r>
      <w:r>
        <w:rPr>
          <w:rFonts w:ascii="Times New Roman" w:hAnsi="Times New Roman" w:cs="Times New Roman"/>
          <w:bCs/>
        </w:rPr>
        <w:t xml:space="preserve">should be deleted. </w:t>
      </w:r>
    </w:p>
    <w:p w14:paraId="3667E256" w14:textId="2D53DE57" w:rsidR="00AD2992" w:rsidRDefault="00AD2992" w:rsidP="00F0430A">
      <w:pPr>
        <w:spacing w:after="240" w:line="360" w:lineRule="auto"/>
        <w:rPr>
          <w:rFonts w:ascii="Times New Roman" w:hAnsi="Times New Roman" w:cs="Times New Roman"/>
          <w:b/>
        </w:rPr>
      </w:pPr>
      <w:r w:rsidRPr="00AD2992">
        <w:rPr>
          <w:rFonts w:ascii="Times New Roman" w:hAnsi="Times New Roman" w:cs="Times New Roman"/>
          <w:b/>
        </w:rPr>
        <w:t>HOU 06: Small Scale Housing Development in Other Parishes</w:t>
      </w:r>
    </w:p>
    <w:p w14:paraId="028E5CD7" w14:textId="7FBEF633" w:rsidR="00AD2992" w:rsidRDefault="007223C1" w:rsidP="00BE73EB">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Pr>
          <w:rFonts w:ascii="Times New Roman" w:hAnsi="Times New Roman" w:cs="Times New Roman"/>
          <w:bCs/>
        </w:rPr>
        <w:lastRenderedPageBreak/>
        <w:t>See comments to HOU 02</w:t>
      </w:r>
      <w:r w:rsidR="003C205C">
        <w:rPr>
          <w:rFonts w:ascii="Times New Roman" w:hAnsi="Times New Roman" w:cs="Times New Roman"/>
          <w:bCs/>
        </w:rPr>
        <w:t xml:space="preserve">. It is not necessary to place a 5% restriction on </w:t>
      </w:r>
      <w:r w:rsidR="00FC4D56">
        <w:rPr>
          <w:rFonts w:ascii="Times New Roman" w:hAnsi="Times New Roman" w:cs="Times New Roman"/>
          <w:bCs/>
        </w:rPr>
        <w:t>as t</w:t>
      </w:r>
      <w:r w:rsidR="009D495E">
        <w:rPr>
          <w:rFonts w:ascii="Times New Roman" w:hAnsi="Times New Roman" w:cs="Times New Roman"/>
          <w:bCs/>
        </w:rPr>
        <w:t>o</w:t>
      </w:r>
      <w:r w:rsidR="00FC4D56">
        <w:rPr>
          <w:rFonts w:ascii="Times New Roman" w:hAnsi="Times New Roman" w:cs="Times New Roman"/>
          <w:bCs/>
        </w:rPr>
        <w:t xml:space="preserve"> the scale of growth in ‘Other parishes’</w:t>
      </w:r>
      <w:r w:rsidR="009D495E">
        <w:rPr>
          <w:rFonts w:ascii="Times New Roman" w:hAnsi="Times New Roman" w:cs="Times New Roman"/>
          <w:bCs/>
        </w:rPr>
        <w:t>.</w:t>
      </w:r>
    </w:p>
    <w:p w14:paraId="32C1AB33" w14:textId="096CEAF5" w:rsidR="00322383" w:rsidRPr="00C535F1" w:rsidRDefault="00322383" w:rsidP="00F0430A">
      <w:pPr>
        <w:spacing w:after="240" w:line="360" w:lineRule="auto"/>
        <w:rPr>
          <w:rFonts w:ascii="Times New Roman" w:hAnsi="Times New Roman" w:cs="Times New Roman"/>
          <w:b/>
        </w:rPr>
      </w:pPr>
      <w:r w:rsidRPr="00C535F1">
        <w:rPr>
          <w:rFonts w:ascii="Times New Roman" w:hAnsi="Times New Roman" w:cs="Times New Roman"/>
          <w:b/>
        </w:rPr>
        <w:t>HOU 10: Housing for the Elderly and Specialist Care (Two or more dwellings)</w:t>
      </w:r>
    </w:p>
    <w:p w14:paraId="37C3D478" w14:textId="523F0667" w:rsidR="00322383" w:rsidRDefault="00796D59" w:rsidP="002F3E0C">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Pr>
          <w:rFonts w:ascii="Times New Roman" w:hAnsi="Times New Roman" w:cs="Times New Roman"/>
          <w:bCs/>
        </w:rPr>
        <w:t>The C</w:t>
      </w:r>
      <w:r w:rsidR="002B0D1F">
        <w:rPr>
          <w:rFonts w:ascii="Times New Roman" w:hAnsi="Times New Roman" w:cs="Times New Roman"/>
          <w:bCs/>
        </w:rPr>
        <w:t>ouncil</w:t>
      </w:r>
      <w:r>
        <w:rPr>
          <w:rFonts w:ascii="Times New Roman" w:hAnsi="Times New Roman" w:cs="Times New Roman"/>
          <w:bCs/>
        </w:rPr>
        <w:t xml:space="preserve"> will need to clarify </w:t>
      </w:r>
      <w:r w:rsidR="00B035C4">
        <w:rPr>
          <w:rFonts w:ascii="Times New Roman" w:hAnsi="Times New Roman" w:cs="Times New Roman"/>
          <w:bCs/>
        </w:rPr>
        <w:t xml:space="preserve">why </w:t>
      </w:r>
      <w:r w:rsidR="002B0D1F">
        <w:rPr>
          <w:rFonts w:ascii="Times New Roman" w:hAnsi="Times New Roman" w:cs="Times New Roman"/>
          <w:bCs/>
        </w:rPr>
        <w:t xml:space="preserve">all </w:t>
      </w:r>
      <w:r w:rsidR="00B035C4">
        <w:rPr>
          <w:rFonts w:ascii="Times New Roman" w:hAnsi="Times New Roman" w:cs="Times New Roman"/>
          <w:bCs/>
        </w:rPr>
        <w:t>development of older people’s housing and specialist care n</w:t>
      </w:r>
      <w:r w:rsidR="00EF63AB">
        <w:rPr>
          <w:rFonts w:ascii="Times New Roman" w:hAnsi="Times New Roman" w:cs="Times New Roman"/>
          <w:bCs/>
        </w:rPr>
        <w:t>eed</w:t>
      </w:r>
      <w:r w:rsidR="00B035C4">
        <w:rPr>
          <w:rFonts w:ascii="Times New Roman" w:hAnsi="Times New Roman" w:cs="Times New Roman"/>
          <w:bCs/>
        </w:rPr>
        <w:t>s</w:t>
      </w:r>
      <w:r w:rsidR="00EF63AB">
        <w:rPr>
          <w:rFonts w:ascii="Times New Roman" w:hAnsi="Times New Roman" w:cs="Times New Roman"/>
          <w:bCs/>
        </w:rPr>
        <w:t xml:space="preserve"> to </w:t>
      </w:r>
      <w:r w:rsidR="00794F5C">
        <w:rPr>
          <w:rFonts w:ascii="Times New Roman" w:hAnsi="Times New Roman" w:cs="Times New Roman"/>
          <w:bCs/>
        </w:rPr>
        <w:t>demonstrate</w:t>
      </w:r>
      <w:r w:rsidR="00EF63AB">
        <w:rPr>
          <w:rFonts w:ascii="Times New Roman" w:hAnsi="Times New Roman" w:cs="Times New Roman"/>
          <w:bCs/>
        </w:rPr>
        <w:t xml:space="preserve"> </w:t>
      </w:r>
      <w:r w:rsidR="00B035C4">
        <w:rPr>
          <w:rFonts w:ascii="Times New Roman" w:hAnsi="Times New Roman" w:cs="Times New Roman"/>
          <w:bCs/>
        </w:rPr>
        <w:t xml:space="preserve">there is a need for </w:t>
      </w:r>
      <w:r w:rsidR="004F3827">
        <w:rPr>
          <w:rFonts w:ascii="Times New Roman" w:hAnsi="Times New Roman" w:cs="Times New Roman"/>
          <w:bCs/>
        </w:rPr>
        <w:t>such</w:t>
      </w:r>
      <w:r w:rsidR="00EF63AB">
        <w:rPr>
          <w:rFonts w:ascii="Times New Roman" w:hAnsi="Times New Roman" w:cs="Times New Roman"/>
          <w:bCs/>
        </w:rPr>
        <w:t xml:space="preserve"> </w:t>
      </w:r>
      <w:r w:rsidR="00794F5C">
        <w:rPr>
          <w:rFonts w:ascii="Times New Roman" w:hAnsi="Times New Roman" w:cs="Times New Roman"/>
          <w:bCs/>
        </w:rPr>
        <w:t>alternative</w:t>
      </w:r>
      <w:r w:rsidR="00EF63AB">
        <w:rPr>
          <w:rFonts w:ascii="Times New Roman" w:hAnsi="Times New Roman" w:cs="Times New Roman"/>
          <w:bCs/>
        </w:rPr>
        <w:t xml:space="preserve"> sites within or </w:t>
      </w:r>
      <w:r w:rsidR="00794F5C">
        <w:rPr>
          <w:rFonts w:ascii="Times New Roman" w:hAnsi="Times New Roman" w:cs="Times New Roman"/>
          <w:bCs/>
        </w:rPr>
        <w:t>adjacent</w:t>
      </w:r>
      <w:r w:rsidR="00EF63AB">
        <w:rPr>
          <w:rFonts w:ascii="Times New Roman" w:hAnsi="Times New Roman" w:cs="Times New Roman"/>
          <w:bCs/>
        </w:rPr>
        <w:t xml:space="preserve"> </w:t>
      </w:r>
      <w:r w:rsidR="00794F5C">
        <w:rPr>
          <w:rFonts w:ascii="Times New Roman" w:hAnsi="Times New Roman" w:cs="Times New Roman"/>
          <w:bCs/>
        </w:rPr>
        <w:t>to the settlement</w:t>
      </w:r>
      <w:r w:rsidR="007267D0">
        <w:rPr>
          <w:rFonts w:ascii="Times New Roman" w:hAnsi="Times New Roman" w:cs="Times New Roman"/>
          <w:bCs/>
        </w:rPr>
        <w:t>.</w:t>
      </w:r>
      <w:r w:rsidR="004F3827">
        <w:rPr>
          <w:rFonts w:ascii="Times New Roman" w:hAnsi="Times New Roman" w:cs="Times New Roman"/>
          <w:bCs/>
        </w:rPr>
        <w:t xml:space="preserve"> HBF assumes it is </w:t>
      </w:r>
      <w:r w:rsidR="00123606">
        <w:rPr>
          <w:rFonts w:ascii="Times New Roman" w:hAnsi="Times New Roman" w:cs="Times New Roman"/>
          <w:bCs/>
        </w:rPr>
        <w:t>only in specific circumstances that such a justification is required but this is not clear from the policy</w:t>
      </w:r>
      <w:r w:rsidR="00FB178A">
        <w:rPr>
          <w:rFonts w:ascii="Times New Roman" w:hAnsi="Times New Roman" w:cs="Times New Roman"/>
          <w:bCs/>
        </w:rPr>
        <w:t xml:space="preserve"> as to the Council’s intentions.</w:t>
      </w:r>
    </w:p>
    <w:p w14:paraId="16272C50" w14:textId="4B7C3216" w:rsidR="00C535F1" w:rsidRDefault="00FF6C77" w:rsidP="002F3E0C">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Pr>
          <w:rFonts w:ascii="Times New Roman" w:hAnsi="Times New Roman" w:cs="Times New Roman"/>
          <w:bCs/>
        </w:rPr>
        <w:t xml:space="preserve">It is noted that </w:t>
      </w:r>
      <w:r w:rsidR="00AC6A6B">
        <w:rPr>
          <w:rFonts w:ascii="Times New Roman" w:hAnsi="Times New Roman" w:cs="Times New Roman"/>
          <w:bCs/>
        </w:rPr>
        <w:t xml:space="preserve">where housing for older people </w:t>
      </w:r>
      <w:r w:rsidR="003223A3">
        <w:rPr>
          <w:rFonts w:ascii="Times New Roman" w:hAnsi="Times New Roman" w:cs="Times New Roman"/>
          <w:bCs/>
        </w:rPr>
        <w:t xml:space="preserve">is </w:t>
      </w:r>
      <w:r w:rsidR="001D2031">
        <w:rPr>
          <w:rFonts w:ascii="Times New Roman" w:hAnsi="Times New Roman" w:cs="Times New Roman"/>
          <w:bCs/>
        </w:rPr>
        <w:t>considered to be</w:t>
      </w:r>
      <w:r w:rsidR="003223A3">
        <w:rPr>
          <w:rFonts w:ascii="Times New Roman" w:hAnsi="Times New Roman" w:cs="Times New Roman"/>
          <w:bCs/>
        </w:rPr>
        <w:t xml:space="preserve"> C3 </w:t>
      </w:r>
      <w:r w:rsidR="001D2031">
        <w:rPr>
          <w:rFonts w:ascii="Times New Roman" w:hAnsi="Times New Roman" w:cs="Times New Roman"/>
          <w:bCs/>
        </w:rPr>
        <w:t xml:space="preserve">it will be required to provide a contribution </w:t>
      </w:r>
      <w:r w:rsidR="0075481F">
        <w:rPr>
          <w:rFonts w:ascii="Times New Roman" w:hAnsi="Times New Roman" w:cs="Times New Roman"/>
          <w:bCs/>
        </w:rPr>
        <w:t>to</w:t>
      </w:r>
      <w:r w:rsidR="001D2031">
        <w:rPr>
          <w:rFonts w:ascii="Times New Roman" w:hAnsi="Times New Roman" w:cs="Times New Roman"/>
          <w:bCs/>
        </w:rPr>
        <w:t xml:space="preserve"> </w:t>
      </w:r>
      <w:r w:rsidR="0075481F">
        <w:rPr>
          <w:rFonts w:ascii="Times New Roman" w:hAnsi="Times New Roman" w:cs="Times New Roman"/>
          <w:bCs/>
        </w:rPr>
        <w:t>affordable</w:t>
      </w:r>
      <w:r w:rsidR="001D2031">
        <w:rPr>
          <w:rFonts w:ascii="Times New Roman" w:hAnsi="Times New Roman" w:cs="Times New Roman"/>
          <w:bCs/>
        </w:rPr>
        <w:t xml:space="preserve"> housing</w:t>
      </w:r>
      <w:r w:rsidR="0075481F">
        <w:rPr>
          <w:rFonts w:ascii="Times New Roman" w:hAnsi="Times New Roman" w:cs="Times New Roman"/>
          <w:bCs/>
        </w:rPr>
        <w:t xml:space="preserve"> in line </w:t>
      </w:r>
      <w:r w:rsidR="00F61A93">
        <w:rPr>
          <w:rFonts w:ascii="Times New Roman" w:hAnsi="Times New Roman" w:cs="Times New Roman"/>
          <w:bCs/>
        </w:rPr>
        <w:t xml:space="preserve">with </w:t>
      </w:r>
      <w:r w:rsidR="003069CB">
        <w:rPr>
          <w:rFonts w:ascii="Times New Roman" w:hAnsi="Times New Roman" w:cs="Times New Roman"/>
          <w:bCs/>
        </w:rPr>
        <w:t>affordable</w:t>
      </w:r>
      <w:r w:rsidR="00F61A93">
        <w:rPr>
          <w:rFonts w:ascii="Times New Roman" w:hAnsi="Times New Roman" w:cs="Times New Roman"/>
          <w:bCs/>
        </w:rPr>
        <w:t xml:space="preserve"> housing policy in the local plan</w:t>
      </w:r>
      <w:r w:rsidR="00AC558D">
        <w:rPr>
          <w:rFonts w:ascii="Times New Roman" w:hAnsi="Times New Roman" w:cs="Times New Roman"/>
          <w:bCs/>
        </w:rPr>
        <w:t>.</w:t>
      </w:r>
      <w:r w:rsidR="003069CB">
        <w:rPr>
          <w:rFonts w:ascii="Times New Roman" w:hAnsi="Times New Roman" w:cs="Times New Roman"/>
          <w:bCs/>
        </w:rPr>
        <w:t xml:space="preserve"> </w:t>
      </w:r>
      <w:r w:rsidR="00020705">
        <w:rPr>
          <w:rFonts w:ascii="Times New Roman" w:hAnsi="Times New Roman" w:cs="Times New Roman"/>
          <w:bCs/>
        </w:rPr>
        <w:t>Paragraphs</w:t>
      </w:r>
      <w:r w:rsidR="00BC69A1">
        <w:rPr>
          <w:rFonts w:ascii="Times New Roman" w:hAnsi="Times New Roman" w:cs="Times New Roman"/>
          <w:bCs/>
        </w:rPr>
        <w:t xml:space="preserve"> </w:t>
      </w:r>
      <w:r w:rsidR="00020705">
        <w:rPr>
          <w:rFonts w:ascii="Times New Roman" w:hAnsi="Times New Roman" w:cs="Times New Roman"/>
          <w:bCs/>
        </w:rPr>
        <w:t xml:space="preserve">5.92 and </w:t>
      </w:r>
      <w:r w:rsidR="00031048">
        <w:rPr>
          <w:rFonts w:ascii="Times New Roman" w:hAnsi="Times New Roman" w:cs="Times New Roman"/>
          <w:bCs/>
        </w:rPr>
        <w:t xml:space="preserve">5.93 </w:t>
      </w:r>
      <w:r w:rsidR="00531E4D">
        <w:rPr>
          <w:rFonts w:ascii="Times New Roman" w:hAnsi="Times New Roman" w:cs="Times New Roman"/>
          <w:bCs/>
        </w:rPr>
        <w:t>refer</w:t>
      </w:r>
      <w:r w:rsidR="00BC69A1">
        <w:rPr>
          <w:rFonts w:ascii="Times New Roman" w:hAnsi="Times New Roman" w:cs="Times New Roman"/>
          <w:bCs/>
        </w:rPr>
        <w:t xml:space="preserve"> to </w:t>
      </w:r>
      <w:r w:rsidR="003C0A6E">
        <w:rPr>
          <w:rFonts w:ascii="Times New Roman" w:hAnsi="Times New Roman" w:cs="Times New Roman"/>
          <w:bCs/>
        </w:rPr>
        <w:t>LP28,</w:t>
      </w:r>
      <w:r w:rsidR="00BC69A1">
        <w:rPr>
          <w:rFonts w:ascii="Times New Roman" w:hAnsi="Times New Roman" w:cs="Times New Roman"/>
          <w:bCs/>
        </w:rPr>
        <w:t xml:space="preserve"> </w:t>
      </w:r>
      <w:r w:rsidR="00020705">
        <w:rPr>
          <w:rFonts w:ascii="Times New Roman" w:hAnsi="Times New Roman" w:cs="Times New Roman"/>
          <w:bCs/>
        </w:rPr>
        <w:t>however</w:t>
      </w:r>
      <w:r w:rsidR="00BC69A1">
        <w:rPr>
          <w:rFonts w:ascii="Times New Roman" w:hAnsi="Times New Roman" w:cs="Times New Roman"/>
          <w:bCs/>
        </w:rPr>
        <w:t xml:space="preserve"> we could not find this </w:t>
      </w:r>
      <w:r w:rsidR="00020705">
        <w:rPr>
          <w:rFonts w:ascii="Times New Roman" w:hAnsi="Times New Roman" w:cs="Times New Roman"/>
          <w:bCs/>
        </w:rPr>
        <w:t>policy</w:t>
      </w:r>
      <w:r w:rsidR="00BC69A1">
        <w:rPr>
          <w:rFonts w:ascii="Times New Roman" w:hAnsi="Times New Roman" w:cs="Times New Roman"/>
          <w:bCs/>
        </w:rPr>
        <w:t xml:space="preserve"> and assume</w:t>
      </w:r>
      <w:r w:rsidR="00020705">
        <w:rPr>
          <w:rFonts w:ascii="Times New Roman" w:hAnsi="Times New Roman" w:cs="Times New Roman"/>
          <w:bCs/>
        </w:rPr>
        <w:t xml:space="preserve"> that the Council is referring to HOU21 on aff</w:t>
      </w:r>
      <w:r w:rsidR="00031048">
        <w:rPr>
          <w:rFonts w:ascii="Times New Roman" w:hAnsi="Times New Roman" w:cs="Times New Roman"/>
          <w:bCs/>
        </w:rPr>
        <w:t>ordable</w:t>
      </w:r>
      <w:r w:rsidR="00020705">
        <w:rPr>
          <w:rFonts w:ascii="Times New Roman" w:hAnsi="Times New Roman" w:cs="Times New Roman"/>
          <w:bCs/>
        </w:rPr>
        <w:t xml:space="preserve"> </w:t>
      </w:r>
      <w:r w:rsidR="00031048">
        <w:rPr>
          <w:rFonts w:ascii="Times New Roman" w:hAnsi="Times New Roman" w:cs="Times New Roman"/>
          <w:bCs/>
        </w:rPr>
        <w:t>housing.</w:t>
      </w:r>
      <w:r w:rsidR="00D20757">
        <w:rPr>
          <w:rFonts w:ascii="Times New Roman" w:hAnsi="Times New Roman" w:cs="Times New Roman"/>
          <w:bCs/>
        </w:rPr>
        <w:t xml:space="preserve"> The Local Plan Viability Testing (LPVT) report </w:t>
      </w:r>
      <w:r w:rsidR="00875E32">
        <w:rPr>
          <w:rFonts w:ascii="Times New Roman" w:hAnsi="Times New Roman" w:cs="Times New Roman"/>
          <w:bCs/>
        </w:rPr>
        <w:t xml:space="preserve">has tested a </w:t>
      </w:r>
      <w:r w:rsidR="00F55248">
        <w:rPr>
          <w:rFonts w:ascii="Times New Roman" w:hAnsi="Times New Roman" w:cs="Times New Roman"/>
          <w:bCs/>
        </w:rPr>
        <w:t>retirement</w:t>
      </w:r>
      <w:r w:rsidR="00875E32">
        <w:rPr>
          <w:rFonts w:ascii="Times New Roman" w:hAnsi="Times New Roman" w:cs="Times New Roman"/>
          <w:bCs/>
        </w:rPr>
        <w:t xml:space="preserve"> flats typology </w:t>
      </w:r>
      <w:r w:rsidR="00F55248">
        <w:rPr>
          <w:rFonts w:ascii="Times New Roman" w:hAnsi="Times New Roman" w:cs="Times New Roman"/>
          <w:bCs/>
        </w:rPr>
        <w:t>which shows that outside of value area 1 such development is viable</w:t>
      </w:r>
      <w:r w:rsidR="00AD1151">
        <w:rPr>
          <w:rFonts w:ascii="Times New Roman" w:hAnsi="Times New Roman" w:cs="Times New Roman"/>
          <w:bCs/>
        </w:rPr>
        <w:t xml:space="preserve"> with development in the lower value area </w:t>
      </w:r>
      <w:r w:rsidR="00531E4D">
        <w:rPr>
          <w:rFonts w:ascii="Times New Roman" w:hAnsi="Times New Roman" w:cs="Times New Roman"/>
          <w:bCs/>
        </w:rPr>
        <w:t>becoming</w:t>
      </w:r>
      <w:r w:rsidR="00AD1151">
        <w:rPr>
          <w:rFonts w:ascii="Times New Roman" w:hAnsi="Times New Roman" w:cs="Times New Roman"/>
          <w:bCs/>
        </w:rPr>
        <w:t xml:space="preserve"> </w:t>
      </w:r>
      <w:r w:rsidR="00531E4D">
        <w:rPr>
          <w:rFonts w:ascii="Times New Roman" w:hAnsi="Times New Roman" w:cs="Times New Roman"/>
          <w:bCs/>
        </w:rPr>
        <w:t>viable</w:t>
      </w:r>
      <w:r w:rsidR="00AD1151">
        <w:rPr>
          <w:rFonts w:ascii="Times New Roman" w:hAnsi="Times New Roman" w:cs="Times New Roman"/>
          <w:bCs/>
        </w:rPr>
        <w:t xml:space="preserve"> if </w:t>
      </w:r>
      <w:r w:rsidR="00531E4D">
        <w:rPr>
          <w:rFonts w:ascii="Times New Roman" w:hAnsi="Times New Roman" w:cs="Times New Roman"/>
          <w:bCs/>
        </w:rPr>
        <w:t xml:space="preserve">policy costs are reduced to £2,500 per unit. </w:t>
      </w:r>
      <w:r w:rsidR="00D45FAC">
        <w:rPr>
          <w:rFonts w:ascii="Times New Roman" w:hAnsi="Times New Roman" w:cs="Times New Roman"/>
          <w:bCs/>
        </w:rPr>
        <w:t>However</w:t>
      </w:r>
      <w:r w:rsidR="00566FA1">
        <w:rPr>
          <w:rFonts w:ascii="Times New Roman" w:hAnsi="Times New Roman" w:cs="Times New Roman"/>
          <w:bCs/>
        </w:rPr>
        <w:t xml:space="preserve">, HBF </w:t>
      </w:r>
      <w:r w:rsidR="008B08A3">
        <w:rPr>
          <w:rFonts w:ascii="Times New Roman" w:hAnsi="Times New Roman" w:cs="Times New Roman"/>
          <w:bCs/>
        </w:rPr>
        <w:t>has</w:t>
      </w:r>
      <w:r w:rsidR="00566FA1">
        <w:rPr>
          <w:rFonts w:ascii="Times New Roman" w:hAnsi="Times New Roman" w:cs="Times New Roman"/>
          <w:bCs/>
        </w:rPr>
        <w:t xml:space="preserve"> some concern regarding the approach to considering </w:t>
      </w:r>
      <w:r w:rsidR="00D45FAC">
        <w:rPr>
          <w:rFonts w:ascii="Times New Roman" w:hAnsi="Times New Roman" w:cs="Times New Roman"/>
          <w:bCs/>
        </w:rPr>
        <w:t>retirement</w:t>
      </w:r>
      <w:r w:rsidR="00566FA1">
        <w:rPr>
          <w:rFonts w:ascii="Times New Roman" w:hAnsi="Times New Roman" w:cs="Times New Roman"/>
          <w:bCs/>
        </w:rPr>
        <w:t xml:space="preserve"> </w:t>
      </w:r>
      <w:r w:rsidR="00D45FAC">
        <w:rPr>
          <w:rFonts w:ascii="Times New Roman" w:hAnsi="Times New Roman" w:cs="Times New Roman"/>
          <w:bCs/>
        </w:rPr>
        <w:t>schemes</w:t>
      </w:r>
      <w:r w:rsidR="00566FA1">
        <w:rPr>
          <w:rFonts w:ascii="Times New Roman" w:hAnsi="Times New Roman" w:cs="Times New Roman"/>
          <w:bCs/>
        </w:rPr>
        <w:t xml:space="preserve"> </w:t>
      </w:r>
      <w:r w:rsidR="00D45FAC">
        <w:rPr>
          <w:rFonts w:ascii="Times New Roman" w:hAnsi="Times New Roman" w:cs="Times New Roman"/>
          <w:bCs/>
        </w:rPr>
        <w:t>within the</w:t>
      </w:r>
      <w:r w:rsidR="00566FA1">
        <w:rPr>
          <w:rFonts w:ascii="Times New Roman" w:hAnsi="Times New Roman" w:cs="Times New Roman"/>
          <w:bCs/>
        </w:rPr>
        <w:t xml:space="preserve"> </w:t>
      </w:r>
      <w:r w:rsidR="00D45FAC">
        <w:rPr>
          <w:rFonts w:ascii="Times New Roman" w:hAnsi="Times New Roman" w:cs="Times New Roman"/>
          <w:bCs/>
        </w:rPr>
        <w:t xml:space="preserve">viability </w:t>
      </w:r>
      <w:r w:rsidR="00566FA1">
        <w:rPr>
          <w:rFonts w:ascii="Times New Roman" w:hAnsi="Times New Roman" w:cs="Times New Roman"/>
          <w:bCs/>
        </w:rPr>
        <w:t>evidence.</w:t>
      </w:r>
    </w:p>
    <w:p w14:paraId="42C8EB98" w14:textId="3D2AAD39" w:rsidR="00566FA1" w:rsidRDefault="00C0698D" w:rsidP="002F3E0C">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Pr>
          <w:rFonts w:ascii="Times New Roman" w:hAnsi="Times New Roman" w:cs="Times New Roman"/>
          <w:bCs/>
        </w:rPr>
        <w:t>Firstly,</w:t>
      </w:r>
      <w:r w:rsidR="00566FA1">
        <w:rPr>
          <w:rFonts w:ascii="Times New Roman" w:hAnsi="Times New Roman" w:cs="Times New Roman"/>
          <w:bCs/>
        </w:rPr>
        <w:t xml:space="preserve"> </w:t>
      </w:r>
      <w:r w:rsidR="00B42336">
        <w:rPr>
          <w:rFonts w:ascii="Times New Roman" w:hAnsi="Times New Roman" w:cs="Times New Roman"/>
          <w:bCs/>
        </w:rPr>
        <w:t xml:space="preserve">average dwelling size is too small. </w:t>
      </w:r>
      <w:r w:rsidR="00974015">
        <w:rPr>
          <w:rFonts w:ascii="Times New Roman" w:hAnsi="Times New Roman" w:cs="Times New Roman"/>
          <w:bCs/>
        </w:rPr>
        <w:t>O</w:t>
      </w:r>
      <w:r w:rsidR="00B42336">
        <w:rPr>
          <w:rFonts w:ascii="Times New Roman" w:hAnsi="Times New Roman" w:cs="Times New Roman"/>
          <w:bCs/>
        </w:rPr>
        <w:t xml:space="preserve">ur members </w:t>
      </w:r>
      <w:r>
        <w:rPr>
          <w:rFonts w:ascii="Times New Roman" w:hAnsi="Times New Roman" w:cs="Times New Roman"/>
          <w:bCs/>
        </w:rPr>
        <w:t>delivering</w:t>
      </w:r>
      <w:r w:rsidR="00B42336">
        <w:rPr>
          <w:rFonts w:ascii="Times New Roman" w:hAnsi="Times New Roman" w:cs="Times New Roman"/>
          <w:bCs/>
        </w:rPr>
        <w:t xml:space="preserve"> </w:t>
      </w:r>
      <w:r>
        <w:rPr>
          <w:rFonts w:ascii="Times New Roman" w:hAnsi="Times New Roman" w:cs="Times New Roman"/>
          <w:bCs/>
        </w:rPr>
        <w:t>retirement</w:t>
      </w:r>
      <w:r w:rsidR="00B42336">
        <w:rPr>
          <w:rFonts w:ascii="Times New Roman" w:hAnsi="Times New Roman" w:cs="Times New Roman"/>
          <w:bCs/>
        </w:rPr>
        <w:t xml:space="preserve"> housing suggest a </w:t>
      </w:r>
      <w:r w:rsidR="00A60C7C">
        <w:rPr>
          <w:rFonts w:ascii="Times New Roman" w:hAnsi="Times New Roman" w:cs="Times New Roman"/>
          <w:bCs/>
        </w:rPr>
        <w:t>minimum units</w:t>
      </w:r>
      <w:r w:rsidR="00B42336">
        <w:rPr>
          <w:rFonts w:ascii="Times New Roman" w:hAnsi="Times New Roman" w:cs="Times New Roman"/>
          <w:bCs/>
        </w:rPr>
        <w:t xml:space="preserve"> size for one bedroom is 55 sqm and for 2 </w:t>
      </w:r>
      <w:r>
        <w:rPr>
          <w:rFonts w:ascii="Times New Roman" w:hAnsi="Times New Roman" w:cs="Times New Roman"/>
          <w:bCs/>
        </w:rPr>
        <w:t>bedrooms it</w:t>
      </w:r>
      <w:r w:rsidR="00B42336">
        <w:rPr>
          <w:rFonts w:ascii="Times New Roman" w:hAnsi="Times New Roman" w:cs="Times New Roman"/>
          <w:bCs/>
        </w:rPr>
        <w:t xml:space="preserve"> is </w:t>
      </w:r>
      <w:r>
        <w:rPr>
          <w:rFonts w:ascii="Times New Roman" w:hAnsi="Times New Roman" w:cs="Times New Roman"/>
          <w:bCs/>
        </w:rPr>
        <w:t>78 sqm</w:t>
      </w:r>
      <w:r w:rsidR="007447AA">
        <w:rPr>
          <w:rFonts w:ascii="Times New Roman" w:hAnsi="Times New Roman" w:cs="Times New Roman"/>
          <w:bCs/>
        </w:rPr>
        <w:t xml:space="preserve"> and that there is a need to </w:t>
      </w:r>
      <w:r w:rsidR="004E7937">
        <w:rPr>
          <w:rFonts w:ascii="Times New Roman" w:hAnsi="Times New Roman" w:cs="Times New Roman"/>
          <w:bCs/>
        </w:rPr>
        <w:t>include</w:t>
      </w:r>
      <w:r w:rsidR="007447AA">
        <w:rPr>
          <w:rFonts w:ascii="Times New Roman" w:hAnsi="Times New Roman" w:cs="Times New Roman"/>
          <w:bCs/>
        </w:rPr>
        <w:t xml:space="preserve"> non-saleable </w:t>
      </w:r>
      <w:r w:rsidR="004800AA">
        <w:rPr>
          <w:rFonts w:ascii="Times New Roman" w:hAnsi="Times New Roman" w:cs="Times New Roman"/>
          <w:bCs/>
        </w:rPr>
        <w:t>floorspace</w:t>
      </w:r>
      <w:r w:rsidR="007447AA">
        <w:rPr>
          <w:rFonts w:ascii="Times New Roman" w:hAnsi="Times New Roman" w:cs="Times New Roman"/>
          <w:bCs/>
        </w:rPr>
        <w:t xml:space="preserve"> in the development of </w:t>
      </w:r>
      <w:r w:rsidR="004800AA">
        <w:rPr>
          <w:rFonts w:ascii="Times New Roman" w:hAnsi="Times New Roman" w:cs="Times New Roman"/>
          <w:bCs/>
        </w:rPr>
        <w:t xml:space="preserve">between 20% and 40% of total </w:t>
      </w:r>
      <w:r w:rsidR="004E7937">
        <w:rPr>
          <w:rFonts w:ascii="Times New Roman" w:hAnsi="Times New Roman" w:cs="Times New Roman"/>
          <w:bCs/>
        </w:rPr>
        <w:t>floorspace</w:t>
      </w:r>
      <w:r w:rsidR="004800AA">
        <w:rPr>
          <w:rFonts w:ascii="Times New Roman" w:hAnsi="Times New Roman" w:cs="Times New Roman"/>
          <w:bCs/>
        </w:rPr>
        <w:t xml:space="preserve">. </w:t>
      </w:r>
      <w:r w:rsidR="00A60C7C">
        <w:rPr>
          <w:rFonts w:ascii="Times New Roman" w:hAnsi="Times New Roman" w:cs="Times New Roman"/>
          <w:bCs/>
        </w:rPr>
        <w:t xml:space="preserve">Unless these </w:t>
      </w:r>
      <w:r w:rsidR="008B08A3">
        <w:rPr>
          <w:rFonts w:ascii="Times New Roman" w:hAnsi="Times New Roman" w:cs="Times New Roman"/>
          <w:bCs/>
        </w:rPr>
        <w:t>assumptions</w:t>
      </w:r>
      <w:r w:rsidR="00A60C7C">
        <w:rPr>
          <w:rFonts w:ascii="Times New Roman" w:hAnsi="Times New Roman" w:cs="Times New Roman"/>
          <w:bCs/>
        </w:rPr>
        <w:t xml:space="preserve"> are accurate the </w:t>
      </w:r>
      <w:r w:rsidR="008B08A3">
        <w:rPr>
          <w:rFonts w:ascii="Times New Roman" w:hAnsi="Times New Roman" w:cs="Times New Roman"/>
          <w:bCs/>
        </w:rPr>
        <w:t>viability</w:t>
      </w:r>
      <w:r w:rsidR="00A60C7C">
        <w:rPr>
          <w:rFonts w:ascii="Times New Roman" w:hAnsi="Times New Roman" w:cs="Times New Roman"/>
          <w:bCs/>
        </w:rPr>
        <w:t xml:space="preserve"> testing will</w:t>
      </w:r>
      <w:r w:rsidR="008B08A3">
        <w:rPr>
          <w:rFonts w:ascii="Times New Roman" w:hAnsi="Times New Roman" w:cs="Times New Roman"/>
          <w:bCs/>
        </w:rPr>
        <w:t xml:space="preserve"> significantly</w:t>
      </w:r>
      <w:r w:rsidR="00A60C7C">
        <w:rPr>
          <w:rFonts w:ascii="Times New Roman" w:hAnsi="Times New Roman" w:cs="Times New Roman"/>
          <w:bCs/>
        </w:rPr>
        <w:t xml:space="preserve"> </w:t>
      </w:r>
      <w:r w:rsidR="008B08A3">
        <w:rPr>
          <w:rFonts w:ascii="Times New Roman" w:hAnsi="Times New Roman" w:cs="Times New Roman"/>
          <w:bCs/>
        </w:rPr>
        <w:t>underestimate</w:t>
      </w:r>
      <w:r w:rsidR="00A60C7C">
        <w:rPr>
          <w:rFonts w:ascii="Times New Roman" w:hAnsi="Times New Roman" w:cs="Times New Roman"/>
          <w:bCs/>
        </w:rPr>
        <w:t xml:space="preserve"> </w:t>
      </w:r>
      <w:r w:rsidR="008B08A3">
        <w:rPr>
          <w:rFonts w:ascii="Times New Roman" w:hAnsi="Times New Roman" w:cs="Times New Roman"/>
          <w:bCs/>
        </w:rPr>
        <w:t xml:space="preserve">the build costs for retirement accommodation in Breckland. </w:t>
      </w:r>
      <w:r w:rsidR="00A4288A">
        <w:rPr>
          <w:rFonts w:ascii="Times New Roman" w:hAnsi="Times New Roman" w:cs="Times New Roman"/>
          <w:bCs/>
        </w:rPr>
        <w:t xml:space="preserve">While </w:t>
      </w:r>
      <w:r w:rsidR="00182986">
        <w:rPr>
          <w:rFonts w:ascii="Times New Roman" w:hAnsi="Times New Roman" w:cs="Times New Roman"/>
          <w:bCs/>
        </w:rPr>
        <w:t xml:space="preserve">HBF support the use of </w:t>
      </w:r>
      <w:r w:rsidR="000E5214">
        <w:rPr>
          <w:rFonts w:ascii="Times New Roman" w:hAnsi="Times New Roman" w:cs="Times New Roman"/>
          <w:bCs/>
        </w:rPr>
        <w:t>higher</w:t>
      </w:r>
      <w:r w:rsidR="00182986">
        <w:rPr>
          <w:rFonts w:ascii="Times New Roman" w:hAnsi="Times New Roman" w:cs="Times New Roman"/>
          <w:bCs/>
        </w:rPr>
        <w:t xml:space="preserve"> </w:t>
      </w:r>
      <w:r w:rsidR="000E5214">
        <w:rPr>
          <w:rFonts w:ascii="Times New Roman" w:hAnsi="Times New Roman" w:cs="Times New Roman"/>
          <w:bCs/>
        </w:rPr>
        <w:t>marketing</w:t>
      </w:r>
      <w:r w:rsidR="00182986">
        <w:rPr>
          <w:rFonts w:ascii="Times New Roman" w:hAnsi="Times New Roman" w:cs="Times New Roman"/>
          <w:bCs/>
        </w:rPr>
        <w:t xml:space="preserve"> costs for older people’s housing it would </w:t>
      </w:r>
      <w:r w:rsidR="005B2D81">
        <w:rPr>
          <w:rFonts w:ascii="Times New Roman" w:hAnsi="Times New Roman" w:cs="Times New Roman"/>
          <w:bCs/>
        </w:rPr>
        <w:t>appear</w:t>
      </w:r>
      <w:r w:rsidR="00182986">
        <w:rPr>
          <w:rFonts w:ascii="Times New Roman" w:hAnsi="Times New Roman" w:cs="Times New Roman"/>
          <w:bCs/>
        </w:rPr>
        <w:t xml:space="preserve"> </w:t>
      </w:r>
      <w:r w:rsidR="005264EA">
        <w:rPr>
          <w:rFonts w:ascii="Times New Roman" w:hAnsi="Times New Roman" w:cs="Times New Roman"/>
          <w:bCs/>
        </w:rPr>
        <w:t xml:space="preserve">from </w:t>
      </w:r>
      <w:r w:rsidR="007A2BAF">
        <w:rPr>
          <w:rFonts w:ascii="Times New Roman" w:hAnsi="Times New Roman" w:cs="Times New Roman"/>
          <w:bCs/>
        </w:rPr>
        <w:t xml:space="preserve">paragraph 6.14.5 </w:t>
      </w:r>
      <w:r w:rsidR="00182986">
        <w:rPr>
          <w:rFonts w:ascii="Times New Roman" w:hAnsi="Times New Roman" w:cs="Times New Roman"/>
          <w:bCs/>
        </w:rPr>
        <w:t xml:space="preserve">that the </w:t>
      </w:r>
      <w:r w:rsidR="005264EA">
        <w:rPr>
          <w:rFonts w:ascii="Times New Roman" w:hAnsi="Times New Roman" w:cs="Times New Roman"/>
          <w:bCs/>
        </w:rPr>
        <w:t xml:space="preserve">LPVT </w:t>
      </w:r>
      <w:r w:rsidR="00182986">
        <w:rPr>
          <w:rFonts w:ascii="Times New Roman" w:hAnsi="Times New Roman" w:cs="Times New Roman"/>
          <w:bCs/>
        </w:rPr>
        <w:t xml:space="preserve">consider </w:t>
      </w:r>
      <w:r w:rsidR="007A2BAF">
        <w:rPr>
          <w:rFonts w:ascii="Times New Roman" w:hAnsi="Times New Roman" w:cs="Times New Roman"/>
          <w:bCs/>
        </w:rPr>
        <w:t>the 6% marketing fee to also</w:t>
      </w:r>
      <w:r w:rsidR="005B2D81">
        <w:rPr>
          <w:rFonts w:ascii="Times New Roman" w:hAnsi="Times New Roman" w:cs="Times New Roman"/>
          <w:bCs/>
        </w:rPr>
        <w:t xml:space="preserve"> co</w:t>
      </w:r>
      <w:r w:rsidR="00182986">
        <w:rPr>
          <w:rFonts w:ascii="Times New Roman" w:hAnsi="Times New Roman" w:cs="Times New Roman"/>
          <w:bCs/>
        </w:rPr>
        <w:t xml:space="preserve">ver </w:t>
      </w:r>
      <w:r w:rsidR="00867E20">
        <w:rPr>
          <w:rFonts w:ascii="Times New Roman" w:hAnsi="Times New Roman" w:cs="Times New Roman"/>
          <w:bCs/>
        </w:rPr>
        <w:t xml:space="preserve">empty </w:t>
      </w:r>
      <w:r w:rsidR="000E5214">
        <w:rPr>
          <w:rFonts w:ascii="Times New Roman" w:hAnsi="Times New Roman" w:cs="Times New Roman"/>
          <w:bCs/>
        </w:rPr>
        <w:t>property</w:t>
      </w:r>
      <w:r w:rsidR="00867E20">
        <w:rPr>
          <w:rFonts w:ascii="Times New Roman" w:hAnsi="Times New Roman" w:cs="Times New Roman"/>
          <w:bCs/>
        </w:rPr>
        <w:t xml:space="preserve"> costs. Our members advise us that </w:t>
      </w:r>
      <w:r w:rsidR="005B2D81">
        <w:rPr>
          <w:rFonts w:ascii="Times New Roman" w:hAnsi="Times New Roman" w:cs="Times New Roman"/>
          <w:bCs/>
        </w:rPr>
        <w:t>this is</w:t>
      </w:r>
      <w:r w:rsidR="00867E20">
        <w:rPr>
          <w:rFonts w:ascii="Times New Roman" w:hAnsi="Times New Roman" w:cs="Times New Roman"/>
          <w:bCs/>
        </w:rPr>
        <w:t xml:space="preserve"> not the case and an additional £5,000 </w:t>
      </w:r>
      <w:r w:rsidR="000E5214">
        <w:rPr>
          <w:rFonts w:ascii="Times New Roman" w:hAnsi="Times New Roman" w:cs="Times New Roman"/>
          <w:bCs/>
        </w:rPr>
        <w:t>per unit cost should be applied to take account of the longer than average sales periods</w:t>
      </w:r>
      <w:r w:rsidR="005B2D81">
        <w:rPr>
          <w:rFonts w:ascii="Times New Roman" w:hAnsi="Times New Roman" w:cs="Times New Roman"/>
          <w:bCs/>
        </w:rPr>
        <w:t xml:space="preserve">. </w:t>
      </w:r>
      <w:r w:rsidR="00F222E2">
        <w:rPr>
          <w:rFonts w:ascii="Times New Roman" w:hAnsi="Times New Roman" w:cs="Times New Roman"/>
          <w:bCs/>
        </w:rPr>
        <w:t>HBF recommend that the viability assessment is amended to reflect these additional costs</w:t>
      </w:r>
      <w:r w:rsidR="003C0A6E">
        <w:rPr>
          <w:rFonts w:ascii="Times New Roman" w:hAnsi="Times New Roman" w:cs="Times New Roman"/>
          <w:bCs/>
        </w:rPr>
        <w:t xml:space="preserve"> before deciding as to whether </w:t>
      </w:r>
      <w:r w:rsidR="00B87578">
        <w:rPr>
          <w:rFonts w:ascii="Times New Roman" w:hAnsi="Times New Roman" w:cs="Times New Roman"/>
          <w:bCs/>
        </w:rPr>
        <w:t xml:space="preserve">accommodation for older people is subject to the affordable housing </w:t>
      </w:r>
      <w:r w:rsidR="008B1D02">
        <w:rPr>
          <w:rFonts w:ascii="Times New Roman" w:hAnsi="Times New Roman" w:cs="Times New Roman"/>
          <w:bCs/>
        </w:rPr>
        <w:t>policy</w:t>
      </w:r>
      <w:r w:rsidR="00B87578">
        <w:rPr>
          <w:rFonts w:ascii="Times New Roman" w:hAnsi="Times New Roman" w:cs="Times New Roman"/>
          <w:bCs/>
        </w:rPr>
        <w:t xml:space="preserve"> in HOU 21.</w:t>
      </w:r>
    </w:p>
    <w:p w14:paraId="3A346EA9" w14:textId="3F0F954C" w:rsidR="00563960" w:rsidRDefault="00D12913" w:rsidP="00D12913">
      <w:pPr>
        <w:spacing w:after="240" w:line="360" w:lineRule="auto"/>
        <w:rPr>
          <w:rFonts w:ascii="Times New Roman" w:hAnsi="Times New Roman" w:cs="Times New Roman"/>
          <w:bCs/>
        </w:rPr>
      </w:pPr>
      <w:r w:rsidRPr="00D12913">
        <w:rPr>
          <w:rFonts w:ascii="Times New Roman" w:hAnsi="Times New Roman" w:cs="Times New Roman"/>
          <w:b/>
          <w:bCs/>
          <w:lang w:val="en-GB"/>
        </w:rPr>
        <w:t>HOU 11: Self and Custom Build Homes</w:t>
      </w:r>
    </w:p>
    <w:p w14:paraId="2A6D986D" w14:textId="77777777" w:rsidR="001F65C1" w:rsidRDefault="00577BF7" w:rsidP="00AA4CFB">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Pr>
          <w:rFonts w:ascii="Times New Roman" w:hAnsi="Times New Roman" w:cs="Times New Roman"/>
          <w:bCs/>
        </w:rPr>
        <w:t>Parts 1 and 2 of t</w:t>
      </w:r>
      <w:r w:rsidR="00877491" w:rsidRPr="00877491">
        <w:rPr>
          <w:rFonts w:ascii="Times New Roman" w:hAnsi="Times New Roman" w:cs="Times New Roman"/>
          <w:bCs/>
        </w:rPr>
        <w:t xml:space="preserve">his policy </w:t>
      </w:r>
      <w:r w:rsidR="00BC0697">
        <w:rPr>
          <w:rFonts w:ascii="Times New Roman" w:hAnsi="Times New Roman" w:cs="Times New Roman"/>
          <w:bCs/>
        </w:rPr>
        <w:t xml:space="preserve">is supportive </w:t>
      </w:r>
      <w:r w:rsidR="00C443C7">
        <w:rPr>
          <w:rFonts w:ascii="Times New Roman" w:hAnsi="Times New Roman" w:cs="Times New Roman"/>
          <w:bCs/>
        </w:rPr>
        <w:t xml:space="preserve">of the delivery of </w:t>
      </w:r>
      <w:r>
        <w:rPr>
          <w:rFonts w:ascii="Times New Roman" w:hAnsi="Times New Roman" w:cs="Times New Roman"/>
          <w:bCs/>
        </w:rPr>
        <w:t>self-build</w:t>
      </w:r>
      <w:r w:rsidR="00C443C7">
        <w:rPr>
          <w:rFonts w:ascii="Times New Roman" w:hAnsi="Times New Roman" w:cs="Times New Roman"/>
          <w:bCs/>
        </w:rPr>
        <w:t xml:space="preserve"> homes on induvial plots or </w:t>
      </w:r>
      <w:r>
        <w:rPr>
          <w:rFonts w:ascii="Times New Roman" w:hAnsi="Times New Roman" w:cs="Times New Roman"/>
          <w:bCs/>
        </w:rPr>
        <w:t xml:space="preserve">on sites with multiple plots. These aspects of the policy are supported as such sites are more likely to meet the needs of </w:t>
      </w:r>
      <w:r w:rsidR="001F65C1">
        <w:rPr>
          <w:rFonts w:ascii="Times New Roman" w:hAnsi="Times New Roman" w:cs="Times New Roman"/>
          <w:bCs/>
        </w:rPr>
        <w:t xml:space="preserve">self-builders over the plan period. </w:t>
      </w:r>
    </w:p>
    <w:p w14:paraId="6D7EC989" w14:textId="555DC3C7" w:rsidR="00BF15FD" w:rsidRDefault="001F65C1" w:rsidP="00AA4CFB">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Pr>
          <w:rFonts w:ascii="Times New Roman" w:hAnsi="Times New Roman" w:cs="Times New Roman"/>
          <w:bCs/>
        </w:rPr>
        <w:t>However, in addition HOU 11</w:t>
      </w:r>
      <w:r w:rsidR="00577BF7">
        <w:rPr>
          <w:rFonts w:ascii="Times New Roman" w:hAnsi="Times New Roman" w:cs="Times New Roman"/>
          <w:bCs/>
        </w:rPr>
        <w:t xml:space="preserve"> </w:t>
      </w:r>
      <w:r w:rsidR="00877491" w:rsidRPr="00877491">
        <w:rPr>
          <w:rFonts w:ascii="Times New Roman" w:hAnsi="Times New Roman" w:cs="Times New Roman"/>
          <w:bCs/>
        </w:rPr>
        <w:t>requires development of 10</w:t>
      </w:r>
      <w:r w:rsidR="00877491">
        <w:rPr>
          <w:rFonts w:ascii="Times New Roman" w:hAnsi="Times New Roman" w:cs="Times New Roman"/>
          <w:bCs/>
        </w:rPr>
        <w:t>0</w:t>
      </w:r>
      <w:r w:rsidR="00877491" w:rsidRPr="00877491">
        <w:rPr>
          <w:rFonts w:ascii="Times New Roman" w:hAnsi="Times New Roman" w:cs="Times New Roman"/>
          <w:bCs/>
        </w:rPr>
        <w:t xml:space="preserve"> or more to offer 5% of the plots on site for self-builders. </w:t>
      </w:r>
      <w:r w:rsidR="007514AE">
        <w:rPr>
          <w:rFonts w:ascii="Times New Roman" w:hAnsi="Times New Roman" w:cs="Times New Roman"/>
          <w:bCs/>
        </w:rPr>
        <w:t xml:space="preserve">It is not clear </w:t>
      </w:r>
      <w:r w:rsidR="00213E7C">
        <w:rPr>
          <w:rFonts w:ascii="Times New Roman" w:hAnsi="Times New Roman" w:cs="Times New Roman"/>
          <w:bCs/>
        </w:rPr>
        <w:t xml:space="preserve">what the evidence is to support this </w:t>
      </w:r>
      <w:r w:rsidR="00BF15FD">
        <w:rPr>
          <w:rFonts w:ascii="Times New Roman" w:hAnsi="Times New Roman" w:cs="Times New Roman"/>
          <w:bCs/>
        </w:rPr>
        <w:t>aspect of the policy</w:t>
      </w:r>
      <w:r w:rsidR="00213E7C">
        <w:rPr>
          <w:rFonts w:ascii="Times New Roman" w:hAnsi="Times New Roman" w:cs="Times New Roman"/>
          <w:bCs/>
        </w:rPr>
        <w:t xml:space="preserve">. HBF note that the </w:t>
      </w:r>
      <w:r w:rsidR="00983EB3">
        <w:rPr>
          <w:rFonts w:ascii="Times New Roman" w:hAnsi="Times New Roman" w:cs="Times New Roman"/>
          <w:bCs/>
        </w:rPr>
        <w:t>self-build</w:t>
      </w:r>
      <w:r w:rsidR="00213E7C">
        <w:rPr>
          <w:rFonts w:ascii="Times New Roman" w:hAnsi="Times New Roman" w:cs="Times New Roman"/>
          <w:bCs/>
        </w:rPr>
        <w:t xml:space="preserve"> register indicates that </w:t>
      </w:r>
      <w:r w:rsidR="00C92B67">
        <w:rPr>
          <w:rFonts w:ascii="Times New Roman" w:hAnsi="Times New Roman" w:cs="Times New Roman"/>
          <w:bCs/>
        </w:rPr>
        <w:t>in 2023/24 there were 32</w:t>
      </w:r>
      <w:r w:rsidR="00852E38">
        <w:rPr>
          <w:rFonts w:ascii="Times New Roman" w:hAnsi="Times New Roman" w:cs="Times New Roman"/>
          <w:bCs/>
        </w:rPr>
        <w:t xml:space="preserve">9 individuals on the list but that in 2024/25 </w:t>
      </w:r>
      <w:r w:rsidR="00AB49C2">
        <w:rPr>
          <w:rFonts w:ascii="Times New Roman" w:hAnsi="Times New Roman" w:cs="Times New Roman"/>
          <w:bCs/>
        </w:rPr>
        <w:t xml:space="preserve">a refresh of the register was undertaken. HBF could not find the outcomes of this </w:t>
      </w:r>
      <w:r w:rsidR="00983EB3">
        <w:rPr>
          <w:rFonts w:ascii="Times New Roman" w:hAnsi="Times New Roman" w:cs="Times New Roman"/>
          <w:bCs/>
        </w:rPr>
        <w:t>refresh</w:t>
      </w:r>
      <w:r w:rsidR="00AB49C2">
        <w:rPr>
          <w:rFonts w:ascii="Times New Roman" w:hAnsi="Times New Roman" w:cs="Times New Roman"/>
          <w:bCs/>
        </w:rPr>
        <w:t xml:space="preserve"> and as such </w:t>
      </w:r>
      <w:r w:rsidR="00983EB3">
        <w:rPr>
          <w:rFonts w:ascii="Times New Roman" w:hAnsi="Times New Roman" w:cs="Times New Roman"/>
          <w:bCs/>
        </w:rPr>
        <w:t>it is not possible to say, on the basis of needs, whether this policy is justified</w:t>
      </w:r>
      <w:r w:rsidR="00AA4CFB">
        <w:rPr>
          <w:rFonts w:ascii="Times New Roman" w:hAnsi="Times New Roman" w:cs="Times New Roman"/>
          <w:bCs/>
        </w:rPr>
        <w:t xml:space="preserve">. </w:t>
      </w:r>
      <w:r w:rsidR="00BF15FD">
        <w:rPr>
          <w:rFonts w:ascii="Times New Roman" w:hAnsi="Times New Roman" w:cs="Times New Roman"/>
          <w:bCs/>
        </w:rPr>
        <w:t xml:space="preserve">The </w:t>
      </w:r>
      <w:r w:rsidR="00F53B3D">
        <w:rPr>
          <w:rFonts w:ascii="Times New Roman" w:hAnsi="Times New Roman" w:cs="Times New Roman"/>
          <w:bCs/>
        </w:rPr>
        <w:t>Council</w:t>
      </w:r>
      <w:r w:rsidR="00BF15FD">
        <w:rPr>
          <w:rFonts w:ascii="Times New Roman" w:hAnsi="Times New Roman" w:cs="Times New Roman"/>
          <w:bCs/>
        </w:rPr>
        <w:t xml:space="preserve"> will also need to consider how much windfall development will come forward as </w:t>
      </w:r>
      <w:r w:rsidR="00F53B3D">
        <w:rPr>
          <w:rFonts w:ascii="Times New Roman" w:hAnsi="Times New Roman" w:cs="Times New Roman"/>
          <w:bCs/>
        </w:rPr>
        <w:t>self-build</w:t>
      </w:r>
      <w:r w:rsidR="00BF15FD">
        <w:rPr>
          <w:rFonts w:ascii="Times New Roman" w:hAnsi="Times New Roman" w:cs="Times New Roman"/>
          <w:bCs/>
        </w:rPr>
        <w:t xml:space="preserve"> </w:t>
      </w:r>
      <w:r w:rsidR="00F53B3D">
        <w:rPr>
          <w:rFonts w:ascii="Times New Roman" w:hAnsi="Times New Roman" w:cs="Times New Roman"/>
          <w:bCs/>
        </w:rPr>
        <w:t xml:space="preserve">reducing the demand for plots on larger sites. </w:t>
      </w:r>
    </w:p>
    <w:p w14:paraId="3E96FE1A" w14:textId="7519672B" w:rsidR="00567905" w:rsidRPr="00D80113" w:rsidRDefault="00F44CE9" w:rsidP="00D80113">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Pr>
          <w:rFonts w:ascii="Times New Roman" w:hAnsi="Times New Roman" w:cs="Times New Roman"/>
          <w:bCs/>
        </w:rPr>
        <w:lastRenderedPageBreak/>
        <w:t xml:space="preserve">The </w:t>
      </w:r>
      <w:r w:rsidR="0085133A">
        <w:rPr>
          <w:rFonts w:ascii="Times New Roman" w:hAnsi="Times New Roman" w:cs="Times New Roman"/>
          <w:bCs/>
        </w:rPr>
        <w:t>Council</w:t>
      </w:r>
      <w:r>
        <w:rPr>
          <w:rFonts w:ascii="Times New Roman" w:hAnsi="Times New Roman" w:cs="Times New Roman"/>
          <w:bCs/>
        </w:rPr>
        <w:t xml:space="preserve"> will also need to consider the difficulties </w:t>
      </w:r>
      <w:r w:rsidR="0085133A">
        <w:rPr>
          <w:rFonts w:ascii="Times New Roman" w:hAnsi="Times New Roman" w:cs="Times New Roman"/>
          <w:bCs/>
        </w:rPr>
        <w:t>in providing self-build</w:t>
      </w:r>
      <w:r w:rsidR="00567905" w:rsidRPr="00AA4CFB">
        <w:rPr>
          <w:rFonts w:ascii="Times New Roman" w:hAnsi="Times New Roman" w:cs="Times New Roman"/>
          <w:bCs/>
        </w:rPr>
        <w:t xml:space="preserve"> plots on new housing developments </w:t>
      </w:r>
      <w:r w:rsidR="0085133A">
        <w:rPr>
          <w:rFonts w:ascii="Times New Roman" w:hAnsi="Times New Roman" w:cs="Times New Roman"/>
          <w:bCs/>
        </w:rPr>
        <w:t>and how there are</w:t>
      </w:r>
      <w:r w:rsidR="00567905" w:rsidRPr="00AA4CFB">
        <w:rPr>
          <w:rFonts w:ascii="Times New Roman" w:hAnsi="Times New Roman" w:cs="Times New Roman"/>
          <w:bCs/>
        </w:rPr>
        <w:t xml:space="preserve"> </w:t>
      </w:r>
      <w:r w:rsidR="0061146F" w:rsidRPr="00AA4CFB">
        <w:rPr>
          <w:rFonts w:ascii="Times New Roman" w:hAnsi="Times New Roman" w:cs="Times New Roman"/>
          <w:bCs/>
        </w:rPr>
        <w:t>coordinated</w:t>
      </w:r>
      <w:r w:rsidR="00567905" w:rsidRPr="00AA4CFB">
        <w:rPr>
          <w:rFonts w:ascii="Times New Roman" w:hAnsi="Times New Roman" w:cs="Times New Roman"/>
          <w:bCs/>
        </w:rPr>
        <w:t xml:space="preserve"> with the development of a wider site. At any one time, there are often multiple contractors and large machinery operating on-site and therefore from both a practical and health and safety perspective, it is difficult to envisage the development of single plots by individuals operating alongside this construction activity. </w:t>
      </w:r>
      <w:r w:rsidR="0085133A">
        <w:rPr>
          <w:rFonts w:ascii="Times New Roman" w:hAnsi="Times New Roman" w:cs="Times New Roman"/>
          <w:bCs/>
        </w:rPr>
        <w:t xml:space="preserve">Consideration will need to be given </w:t>
      </w:r>
      <w:r w:rsidR="00E86F3F">
        <w:rPr>
          <w:rFonts w:ascii="Times New Roman" w:hAnsi="Times New Roman" w:cs="Times New Roman"/>
          <w:bCs/>
        </w:rPr>
        <w:t xml:space="preserve">as to the feasibility of </w:t>
      </w:r>
      <w:r w:rsidR="00A717F8">
        <w:rPr>
          <w:rFonts w:ascii="Times New Roman" w:hAnsi="Times New Roman" w:cs="Times New Roman"/>
          <w:bCs/>
        </w:rPr>
        <w:t>developing</w:t>
      </w:r>
      <w:r w:rsidR="00E86F3F">
        <w:rPr>
          <w:rFonts w:ascii="Times New Roman" w:hAnsi="Times New Roman" w:cs="Times New Roman"/>
          <w:bCs/>
        </w:rPr>
        <w:t xml:space="preserve"> </w:t>
      </w:r>
      <w:r w:rsidR="00A717F8">
        <w:rPr>
          <w:rFonts w:ascii="Times New Roman" w:hAnsi="Times New Roman" w:cs="Times New Roman"/>
          <w:bCs/>
        </w:rPr>
        <w:t xml:space="preserve">self-build </w:t>
      </w:r>
      <w:r w:rsidR="00E86F3F">
        <w:rPr>
          <w:rFonts w:ascii="Times New Roman" w:hAnsi="Times New Roman" w:cs="Times New Roman"/>
          <w:bCs/>
        </w:rPr>
        <w:t xml:space="preserve">plots on sites taking into account topography and access and the degree to which </w:t>
      </w:r>
      <w:r w:rsidR="00A717F8">
        <w:rPr>
          <w:rFonts w:ascii="Times New Roman" w:hAnsi="Times New Roman" w:cs="Times New Roman"/>
          <w:bCs/>
        </w:rPr>
        <w:t>self-build</w:t>
      </w:r>
      <w:r w:rsidR="00E86F3F">
        <w:rPr>
          <w:rFonts w:ascii="Times New Roman" w:hAnsi="Times New Roman" w:cs="Times New Roman"/>
          <w:bCs/>
        </w:rPr>
        <w:t xml:space="preserve"> and the rest of the side can be </w:t>
      </w:r>
      <w:r w:rsidR="00A717F8">
        <w:rPr>
          <w:rFonts w:ascii="Times New Roman" w:hAnsi="Times New Roman" w:cs="Times New Roman"/>
          <w:bCs/>
        </w:rPr>
        <w:t xml:space="preserve">developed separately. </w:t>
      </w:r>
    </w:p>
    <w:p w14:paraId="2A833848" w14:textId="29148D43" w:rsidR="00877491" w:rsidRPr="00877491" w:rsidRDefault="00877491" w:rsidP="002F3E0C">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sidRPr="00877491">
        <w:rPr>
          <w:rFonts w:ascii="Times New Roman" w:hAnsi="Times New Roman" w:cs="Times New Roman"/>
          <w:bCs/>
        </w:rPr>
        <w:t>In conclusion HBF does not consider this policy to be justified or effective</w:t>
      </w:r>
      <w:r w:rsidR="00CD31C6">
        <w:rPr>
          <w:rFonts w:ascii="Times New Roman" w:hAnsi="Times New Roman" w:cs="Times New Roman"/>
          <w:bCs/>
        </w:rPr>
        <w:t xml:space="preserve"> at present. Without further evidence the</w:t>
      </w:r>
      <w:r w:rsidRPr="00877491">
        <w:rPr>
          <w:rFonts w:ascii="Times New Roman" w:hAnsi="Times New Roman" w:cs="Times New Roman"/>
          <w:bCs/>
        </w:rPr>
        <w:t xml:space="preserve"> HBF would suggest that the requirement for development of 10</w:t>
      </w:r>
      <w:r w:rsidR="00C54F6D">
        <w:rPr>
          <w:rFonts w:ascii="Times New Roman" w:hAnsi="Times New Roman" w:cs="Times New Roman"/>
          <w:bCs/>
        </w:rPr>
        <w:t>0</w:t>
      </w:r>
      <w:r w:rsidRPr="00877491">
        <w:rPr>
          <w:rFonts w:ascii="Times New Roman" w:hAnsi="Times New Roman" w:cs="Times New Roman"/>
          <w:bCs/>
        </w:rPr>
        <w:t xml:space="preserve"> or more units to deliver a set number of self-build plots is deleted. HBF still considers it necessary for the Council to support and encourage sites to come forward for self-build developers, as it does in part </w:t>
      </w:r>
      <w:r w:rsidR="00CD31C6">
        <w:rPr>
          <w:rFonts w:ascii="Times New Roman" w:hAnsi="Times New Roman" w:cs="Times New Roman"/>
          <w:bCs/>
        </w:rPr>
        <w:t xml:space="preserve">1 and 2 </w:t>
      </w:r>
      <w:r w:rsidRPr="00877491">
        <w:rPr>
          <w:rFonts w:ascii="Times New Roman" w:hAnsi="Times New Roman" w:cs="Times New Roman"/>
          <w:bCs/>
        </w:rPr>
        <w:t>of this policy. However, we would also suggest that the Council consider allocating specific sites for self-builders which are more likely to meet the needs of those households as well as avoiding the potentially harmful impacts of mixing the delivery of self-build units alongside commercial housebuilding.</w:t>
      </w:r>
    </w:p>
    <w:p w14:paraId="4D36E98A" w14:textId="7BB14638" w:rsidR="00E20EBB" w:rsidRDefault="00CD31C6" w:rsidP="002F3E0C">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Pr>
          <w:rFonts w:ascii="Times New Roman" w:hAnsi="Times New Roman" w:cs="Times New Roman"/>
          <w:bCs/>
        </w:rPr>
        <w:t xml:space="preserve">Finally, </w:t>
      </w:r>
      <w:r w:rsidR="00A351C0">
        <w:rPr>
          <w:rFonts w:ascii="Times New Roman" w:hAnsi="Times New Roman" w:cs="Times New Roman"/>
          <w:bCs/>
        </w:rPr>
        <w:t>in</w:t>
      </w:r>
      <w:r w:rsidR="00A351C0" w:rsidRPr="00A351C0">
        <w:rPr>
          <w:rFonts w:ascii="Times New Roman" w:hAnsi="Times New Roman" w:cs="Times New Roman"/>
          <w:bCs/>
        </w:rPr>
        <w:t xml:space="preserve"> </w:t>
      </w:r>
      <w:r w:rsidR="00A351C0">
        <w:rPr>
          <w:rFonts w:ascii="Times New Roman" w:hAnsi="Times New Roman" w:cs="Times New Roman"/>
          <w:bCs/>
        </w:rPr>
        <w:t xml:space="preserve">part </w:t>
      </w:r>
      <w:r w:rsidR="00BE0578">
        <w:rPr>
          <w:rFonts w:ascii="Times New Roman" w:hAnsi="Times New Roman" w:cs="Times New Roman"/>
          <w:bCs/>
        </w:rPr>
        <w:t>k)</w:t>
      </w:r>
      <w:r w:rsidR="00A351C0">
        <w:rPr>
          <w:rFonts w:ascii="Times New Roman" w:hAnsi="Times New Roman" w:cs="Times New Roman"/>
          <w:bCs/>
        </w:rPr>
        <w:t>iii</w:t>
      </w:r>
      <w:r w:rsidR="00BE0578">
        <w:rPr>
          <w:rFonts w:ascii="Times New Roman" w:hAnsi="Times New Roman" w:cs="Times New Roman"/>
          <w:bCs/>
        </w:rPr>
        <w:t xml:space="preserve"> the policy states</w:t>
      </w:r>
      <w:r w:rsidR="00A351C0">
        <w:rPr>
          <w:rFonts w:ascii="Times New Roman" w:hAnsi="Times New Roman" w:cs="Times New Roman"/>
          <w:bCs/>
        </w:rPr>
        <w:t xml:space="preserve"> </w:t>
      </w:r>
      <w:r w:rsidR="00A351C0" w:rsidRPr="00A351C0">
        <w:rPr>
          <w:rFonts w:ascii="Times New Roman" w:hAnsi="Times New Roman" w:cs="Times New Roman"/>
          <w:bCs/>
        </w:rPr>
        <w:t>that where self-build plots are not sold after 12 months of marketing they must remain on the open market or be offered to the Council or registered provider before being built out by the development for market housing. There is no justification for requiring plot sot be offered to registered providers or the council. These plots are for plots allocated for market housing and as such if there is no demand for this from self-builders after 12 months, they should automatically go back to the developer to be built out as market housing and reduce the delay in the delivery of much need new homes. HBF would also disagree that plots should remain on the market for self-build following 12 months of marketing. This provides too much uncertainty for the developer as to how those houses will be delivered and the need to schedule these into the build out of the site.</w:t>
      </w:r>
    </w:p>
    <w:p w14:paraId="20AD9388" w14:textId="4E2DC6F8" w:rsidR="009D77EA" w:rsidRDefault="006A1384" w:rsidP="006A1384">
      <w:pPr>
        <w:spacing w:after="240" w:line="360" w:lineRule="auto"/>
        <w:rPr>
          <w:rFonts w:ascii="Times New Roman" w:hAnsi="Times New Roman" w:cs="Times New Roman"/>
          <w:b/>
          <w:bCs/>
          <w:lang w:val="en-GB"/>
        </w:rPr>
      </w:pPr>
      <w:r w:rsidRPr="006A1384">
        <w:rPr>
          <w:rFonts w:ascii="Times New Roman" w:hAnsi="Times New Roman" w:cs="Times New Roman"/>
          <w:b/>
          <w:bCs/>
          <w:lang w:val="en-GB"/>
        </w:rPr>
        <w:t>HOU 16: Adaptable and Accessible Homes</w:t>
      </w:r>
    </w:p>
    <w:p w14:paraId="749CA7FA" w14:textId="77777777" w:rsidR="001B14A3" w:rsidRDefault="001B14A3" w:rsidP="001B14A3">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lang w:val="en-GB"/>
        </w:rPr>
      </w:pPr>
      <w:r w:rsidRPr="001B14A3">
        <w:rPr>
          <w:rFonts w:ascii="Times New Roman" w:hAnsi="Times New Roman" w:cs="Times New Roman"/>
          <w:lang w:val="en-GB"/>
        </w:rPr>
        <w:t xml:space="preserve">HBF recognise the need for some homes to be built to the higher accessibility standards. However, we would question the evidence supporting a 5% requirement with regard to part M4(3). The HEDNA indicates in paragraph 10.36 that around 25% of </w:t>
      </w:r>
      <w:r w:rsidRPr="001B14A3">
        <w:rPr>
          <w:rFonts w:ascii="Times New Roman" w:hAnsi="Times New Roman" w:cs="Times New Roman"/>
          <w:bCs/>
        </w:rPr>
        <w:t>wheelchair</w:t>
      </w:r>
      <w:r w:rsidRPr="001B14A3">
        <w:rPr>
          <w:rFonts w:ascii="Times New Roman" w:hAnsi="Times New Roman" w:cs="Times New Roman"/>
          <w:lang w:val="en-GB"/>
        </w:rPr>
        <w:t xml:space="preserve"> users live in a home that would either be problematic or unfeasible to make fully visitable. This is an appropriate step on the basis that PPG outlines that part of the evidence to support higher accessibility standards is a consideration of the accessibility and adaptability of existing housing stock. HBF would therefore have expected this to apply to current estimates of wheelchair households. However, in table 10.15 of the study then discounts the projected need but does not discount the current need by the same proportion in recognition of the fact that many of wheelchair users at present will live in a home that meets their needs and will impact on the number of wheelchair accessible homes needed in Breckland. This will need to be taken into account when considering the number of homes that should be built to part M4(3).</w:t>
      </w:r>
    </w:p>
    <w:p w14:paraId="4A7684FE" w14:textId="2B9F7E71" w:rsidR="001B14A3" w:rsidRDefault="001B14A3" w:rsidP="001B14A3">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lang w:val="en-GB"/>
        </w:rPr>
      </w:pPr>
      <w:r w:rsidRPr="001B14A3">
        <w:rPr>
          <w:rFonts w:ascii="Times New Roman" w:hAnsi="Times New Roman" w:cs="Times New Roman"/>
          <w:lang w:val="en-GB"/>
        </w:rPr>
        <w:lastRenderedPageBreak/>
        <w:t xml:space="preserve">There is also an error in the paragraph 5.124 </w:t>
      </w:r>
      <w:r>
        <w:rPr>
          <w:rFonts w:ascii="Times New Roman" w:hAnsi="Times New Roman" w:cs="Times New Roman"/>
          <w:lang w:val="en-GB"/>
        </w:rPr>
        <w:t xml:space="preserve">of the supporting text to this policy </w:t>
      </w:r>
      <w:r w:rsidRPr="001B14A3">
        <w:rPr>
          <w:rFonts w:ascii="Times New Roman" w:hAnsi="Times New Roman" w:cs="Times New Roman"/>
          <w:lang w:val="en-GB"/>
        </w:rPr>
        <w:t>which says that “</w:t>
      </w:r>
      <w:r w:rsidRPr="001B14A3">
        <w:rPr>
          <w:rFonts w:ascii="Times New Roman" w:hAnsi="Times New Roman" w:cs="Times New Roman"/>
          <w:i/>
          <w:iCs/>
          <w:lang w:val="en-GB"/>
        </w:rPr>
        <w:t>Planning Practice Guidance states that M4(3) (wheelchair adaptability) should only be applied to properties where the LPA is responsible for allocating or nominating a person to live in that dwelling</w:t>
      </w:r>
      <w:r w:rsidRPr="001B14A3">
        <w:rPr>
          <w:rFonts w:ascii="Times New Roman" w:hAnsi="Times New Roman" w:cs="Times New Roman"/>
          <w:lang w:val="en-GB"/>
        </w:rPr>
        <w:t xml:space="preserve">”. The reference in paragraph 56-009 of PPG is to wheelchair accessible housing not wheelchair adaptable housing. The Council must be clear as to what is required in both the supporting text and policy. </w:t>
      </w:r>
    </w:p>
    <w:p w14:paraId="649456F5" w14:textId="38E52984" w:rsidR="00585F4B" w:rsidRPr="00AF7DE5" w:rsidRDefault="00585F4B" w:rsidP="00AF7DE5">
      <w:pPr>
        <w:widowControl/>
        <w:suppressAutoHyphens w:val="0"/>
        <w:autoSpaceDE/>
        <w:spacing w:after="240" w:line="360" w:lineRule="auto"/>
        <w:jc w:val="both"/>
        <w:rPr>
          <w:rFonts w:ascii="Times New Roman" w:hAnsi="Times New Roman" w:cs="Times New Roman"/>
          <w:lang w:val="en-GB"/>
        </w:rPr>
      </w:pPr>
      <w:r w:rsidRPr="00AF7DE5">
        <w:rPr>
          <w:rFonts w:ascii="Times New Roman" w:hAnsi="Times New Roman" w:cs="Times New Roman"/>
          <w:b/>
          <w:bCs/>
          <w:lang w:val="en-GB"/>
        </w:rPr>
        <w:t>HOU 17: Water efficiency</w:t>
      </w:r>
    </w:p>
    <w:p w14:paraId="04852D75" w14:textId="2D9D4557" w:rsidR="009E3BCB" w:rsidRDefault="00FA18D1" w:rsidP="008B15EF">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lang w:val="en-GB"/>
        </w:rPr>
      </w:pPr>
      <w:r>
        <w:rPr>
          <w:rFonts w:ascii="Times New Roman" w:hAnsi="Times New Roman" w:cs="Times New Roman"/>
          <w:lang w:val="en-GB"/>
        </w:rPr>
        <w:t xml:space="preserve">This policy requires development </w:t>
      </w:r>
      <w:r w:rsidRPr="007E6A7A">
        <w:rPr>
          <w:rFonts w:ascii="Times New Roman" w:hAnsi="Times New Roman" w:cs="Times New Roman"/>
          <w:bCs/>
        </w:rPr>
        <w:t>to</w:t>
      </w:r>
      <w:r>
        <w:rPr>
          <w:rFonts w:ascii="Times New Roman" w:hAnsi="Times New Roman" w:cs="Times New Roman"/>
          <w:lang w:val="en-GB"/>
        </w:rPr>
        <w:t xml:space="preserve"> </w:t>
      </w:r>
      <w:r w:rsidR="007E6A7A">
        <w:rPr>
          <w:rFonts w:ascii="Times New Roman" w:hAnsi="Times New Roman" w:cs="Times New Roman"/>
          <w:lang w:val="en-GB"/>
        </w:rPr>
        <w:t>reduce</w:t>
      </w:r>
      <w:r>
        <w:rPr>
          <w:rFonts w:ascii="Times New Roman" w:hAnsi="Times New Roman" w:cs="Times New Roman"/>
          <w:lang w:val="en-GB"/>
        </w:rPr>
        <w:t xml:space="preserve"> water use per day to 85 litres per person per day (</w:t>
      </w:r>
      <w:r w:rsidR="00AB062C">
        <w:rPr>
          <w:rFonts w:ascii="Times New Roman" w:hAnsi="Times New Roman" w:cs="Times New Roman"/>
          <w:lang w:val="en-GB"/>
        </w:rPr>
        <w:t xml:space="preserve">lppd). This is 25 litres below the minimum optional standard </w:t>
      </w:r>
      <w:r w:rsidR="007E6A7A">
        <w:rPr>
          <w:rFonts w:ascii="Times New Roman" w:hAnsi="Times New Roman" w:cs="Times New Roman"/>
          <w:lang w:val="en-GB"/>
        </w:rPr>
        <w:t xml:space="preserve">allowed for by planning policy </w:t>
      </w:r>
      <w:r w:rsidR="004C5362">
        <w:rPr>
          <w:rFonts w:ascii="Times New Roman" w:hAnsi="Times New Roman" w:cs="Times New Roman"/>
          <w:lang w:val="en-GB"/>
        </w:rPr>
        <w:t xml:space="preserve">and is being promoted by Anglian Water. </w:t>
      </w:r>
      <w:r w:rsidR="001E4FF2">
        <w:rPr>
          <w:rFonts w:ascii="Times New Roman" w:hAnsi="Times New Roman" w:cs="Times New Roman"/>
          <w:lang w:val="en-GB"/>
        </w:rPr>
        <w:t xml:space="preserve">HBF recognises that there is a need for </w:t>
      </w:r>
      <w:r w:rsidR="00C61A6A">
        <w:rPr>
          <w:rFonts w:ascii="Times New Roman" w:hAnsi="Times New Roman" w:cs="Times New Roman"/>
          <w:lang w:val="en-GB"/>
        </w:rPr>
        <w:t>all new development seek to reduce the amount of water that is used however, this is most effectively achieved through the application of building regulations</w:t>
      </w:r>
      <w:r w:rsidR="00282C6C">
        <w:rPr>
          <w:rFonts w:ascii="Times New Roman" w:hAnsi="Times New Roman" w:cs="Times New Roman"/>
          <w:lang w:val="en-GB"/>
        </w:rPr>
        <w:t xml:space="preserve"> and the optional technical standards which are clear as to the level of reduction the Government considers to be necessary in a water stressed area. </w:t>
      </w:r>
      <w:r w:rsidR="002B5449">
        <w:rPr>
          <w:rFonts w:ascii="Times New Roman" w:hAnsi="Times New Roman" w:cs="Times New Roman"/>
          <w:lang w:val="en-GB"/>
        </w:rPr>
        <w:t>As there is an</w:t>
      </w:r>
      <w:r w:rsidR="001109BF">
        <w:rPr>
          <w:rFonts w:ascii="Times New Roman" w:hAnsi="Times New Roman" w:cs="Times New Roman"/>
          <w:lang w:val="en-GB"/>
        </w:rPr>
        <w:t xml:space="preserve"> </w:t>
      </w:r>
      <w:r w:rsidR="00282C6C">
        <w:rPr>
          <w:rFonts w:ascii="Times New Roman" w:hAnsi="Times New Roman" w:cs="Times New Roman"/>
          <w:lang w:val="en-GB"/>
        </w:rPr>
        <w:t xml:space="preserve">existing </w:t>
      </w:r>
      <w:r w:rsidR="00853142">
        <w:rPr>
          <w:rFonts w:ascii="Times New Roman" w:hAnsi="Times New Roman" w:cs="Times New Roman"/>
          <w:lang w:val="en-GB"/>
        </w:rPr>
        <w:t xml:space="preserve">national </w:t>
      </w:r>
      <w:r w:rsidR="00282C6C">
        <w:rPr>
          <w:rFonts w:ascii="Times New Roman" w:hAnsi="Times New Roman" w:cs="Times New Roman"/>
          <w:lang w:val="en-GB"/>
        </w:rPr>
        <w:t>standard</w:t>
      </w:r>
      <w:r w:rsidR="002B5449">
        <w:rPr>
          <w:rFonts w:ascii="Times New Roman" w:hAnsi="Times New Roman" w:cs="Times New Roman"/>
          <w:lang w:val="en-GB"/>
        </w:rPr>
        <w:t xml:space="preserve"> </w:t>
      </w:r>
      <w:r w:rsidR="00073B57">
        <w:rPr>
          <w:rFonts w:ascii="Times New Roman" w:hAnsi="Times New Roman" w:cs="Times New Roman"/>
          <w:lang w:val="en-GB"/>
        </w:rPr>
        <w:t>for such areas then the only sound approach is to apply that standard – which remains 110 lppd. This may change, and our understanding is that the Government are looking at a lower standard for water stressed areas</w:t>
      </w:r>
      <w:r w:rsidR="0070187B">
        <w:rPr>
          <w:rFonts w:ascii="Times New Roman" w:hAnsi="Times New Roman" w:cs="Times New Roman"/>
          <w:lang w:val="en-GB"/>
        </w:rPr>
        <w:t xml:space="preserve"> </w:t>
      </w:r>
      <w:r w:rsidR="001017AC">
        <w:rPr>
          <w:rFonts w:ascii="Times New Roman" w:hAnsi="Times New Roman" w:cs="Times New Roman"/>
          <w:lang w:val="en-GB"/>
        </w:rPr>
        <w:t xml:space="preserve">but, in the meantime, the only sound approach is to apply the optional technical standards. </w:t>
      </w:r>
      <w:r w:rsidR="00D12146" w:rsidRPr="008B15EF">
        <w:rPr>
          <w:rFonts w:ascii="Times New Roman" w:hAnsi="Times New Roman" w:cs="Times New Roman"/>
          <w:lang w:val="en-GB"/>
        </w:rPr>
        <w:t>Amending the water</w:t>
      </w:r>
      <w:r w:rsidR="008B15EF">
        <w:rPr>
          <w:rFonts w:ascii="Times New Roman" w:hAnsi="Times New Roman" w:cs="Times New Roman"/>
          <w:lang w:val="en-GB"/>
        </w:rPr>
        <w:t xml:space="preserve"> </w:t>
      </w:r>
      <w:r w:rsidR="00D12146" w:rsidRPr="008B15EF">
        <w:rPr>
          <w:rFonts w:ascii="Times New Roman" w:hAnsi="Times New Roman" w:cs="Times New Roman"/>
          <w:lang w:val="en-GB"/>
        </w:rPr>
        <w:t xml:space="preserve">use standard will also </w:t>
      </w:r>
      <w:r w:rsidR="008B15EF" w:rsidRPr="008B15EF">
        <w:rPr>
          <w:rFonts w:ascii="Times New Roman" w:hAnsi="Times New Roman" w:cs="Times New Roman"/>
          <w:lang w:val="en-GB"/>
        </w:rPr>
        <w:t>remove</w:t>
      </w:r>
      <w:r w:rsidR="00D12146" w:rsidRPr="008B15EF">
        <w:rPr>
          <w:rFonts w:ascii="Times New Roman" w:hAnsi="Times New Roman" w:cs="Times New Roman"/>
          <w:lang w:val="en-GB"/>
        </w:rPr>
        <w:t xml:space="preserve"> the need for </w:t>
      </w:r>
      <w:r w:rsidR="00882221" w:rsidRPr="008B15EF">
        <w:rPr>
          <w:rFonts w:ascii="Times New Roman" w:hAnsi="Times New Roman" w:cs="Times New Roman"/>
          <w:lang w:val="en-GB"/>
        </w:rPr>
        <w:t xml:space="preserve">the </w:t>
      </w:r>
      <w:r w:rsidR="008B15EF" w:rsidRPr="008B15EF">
        <w:rPr>
          <w:rFonts w:ascii="Times New Roman" w:hAnsi="Times New Roman" w:cs="Times New Roman"/>
          <w:lang w:val="en-GB"/>
        </w:rPr>
        <w:t>water</w:t>
      </w:r>
      <w:r w:rsidR="00882221" w:rsidRPr="008B15EF">
        <w:rPr>
          <w:rFonts w:ascii="Times New Roman" w:hAnsi="Times New Roman" w:cs="Times New Roman"/>
          <w:lang w:val="en-GB"/>
        </w:rPr>
        <w:t xml:space="preserve"> </w:t>
      </w:r>
      <w:r w:rsidR="008B15EF" w:rsidRPr="008B15EF">
        <w:rPr>
          <w:rFonts w:ascii="Times New Roman" w:hAnsi="Times New Roman" w:cs="Times New Roman"/>
          <w:lang w:val="en-GB"/>
        </w:rPr>
        <w:t>efficient</w:t>
      </w:r>
      <w:r w:rsidR="00882221" w:rsidRPr="008B15EF">
        <w:rPr>
          <w:rFonts w:ascii="Times New Roman" w:hAnsi="Times New Roman" w:cs="Times New Roman"/>
          <w:lang w:val="en-GB"/>
        </w:rPr>
        <w:t xml:space="preserve"> design statement</w:t>
      </w:r>
      <w:r w:rsidR="008B15EF">
        <w:rPr>
          <w:rFonts w:ascii="Times New Roman" w:hAnsi="Times New Roman" w:cs="Times New Roman"/>
          <w:lang w:val="en-GB"/>
        </w:rPr>
        <w:t xml:space="preserve"> set out in part 2 of the policy</w:t>
      </w:r>
      <w:r w:rsidR="00882221" w:rsidRPr="008B15EF">
        <w:rPr>
          <w:rFonts w:ascii="Times New Roman" w:hAnsi="Times New Roman" w:cs="Times New Roman"/>
          <w:lang w:val="en-GB"/>
        </w:rPr>
        <w:t xml:space="preserve"> as compliance with the standard </w:t>
      </w:r>
      <w:r w:rsidR="008B15EF" w:rsidRPr="008B15EF">
        <w:rPr>
          <w:rFonts w:ascii="Times New Roman" w:hAnsi="Times New Roman" w:cs="Times New Roman"/>
          <w:lang w:val="en-GB"/>
        </w:rPr>
        <w:t>will</w:t>
      </w:r>
      <w:r w:rsidR="00882221" w:rsidRPr="008B15EF">
        <w:rPr>
          <w:rFonts w:ascii="Times New Roman" w:hAnsi="Times New Roman" w:cs="Times New Roman"/>
          <w:lang w:val="en-GB"/>
        </w:rPr>
        <w:t xml:space="preserve"> be addressed </w:t>
      </w:r>
      <w:r w:rsidR="008B15EF" w:rsidRPr="008B15EF">
        <w:rPr>
          <w:rFonts w:ascii="Times New Roman" w:hAnsi="Times New Roman" w:cs="Times New Roman"/>
          <w:lang w:val="en-GB"/>
        </w:rPr>
        <w:t xml:space="preserve">through building control. </w:t>
      </w:r>
    </w:p>
    <w:p w14:paraId="652DC03D" w14:textId="02A3111A" w:rsidR="00AF7DE5" w:rsidRPr="00996422" w:rsidRDefault="00AF7DE5" w:rsidP="00996422">
      <w:pPr>
        <w:widowControl/>
        <w:suppressAutoHyphens w:val="0"/>
        <w:autoSpaceDE/>
        <w:spacing w:after="240" w:line="360" w:lineRule="auto"/>
        <w:jc w:val="both"/>
        <w:rPr>
          <w:rFonts w:ascii="Times New Roman" w:hAnsi="Times New Roman" w:cs="Times New Roman"/>
          <w:b/>
          <w:bCs/>
          <w:lang w:val="en-GB"/>
        </w:rPr>
      </w:pPr>
      <w:r w:rsidRPr="00996422">
        <w:rPr>
          <w:rFonts w:ascii="Times New Roman" w:hAnsi="Times New Roman" w:cs="Times New Roman"/>
          <w:b/>
          <w:bCs/>
          <w:lang w:val="en-GB"/>
        </w:rPr>
        <w:t>HOU</w:t>
      </w:r>
      <w:r w:rsidR="00996422" w:rsidRPr="00996422">
        <w:rPr>
          <w:rFonts w:ascii="Times New Roman" w:hAnsi="Times New Roman" w:cs="Times New Roman"/>
          <w:b/>
          <w:bCs/>
          <w:lang w:val="en-GB"/>
        </w:rPr>
        <w:t xml:space="preserve"> 18: Securing a mix of housing</w:t>
      </w:r>
    </w:p>
    <w:p w14:paraId="0AB05F2B" w14:textId="03C6C8D3" w:rsidR="00996422" w:rsidRPr="008B15EF" w:rsidRDefault="00EE066F" w:rsidP="008B15EF">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lang w:val="en-GB"/>
        </w:rPr>
      </w:pPr>
      <w:r>
        <w:rPr>
          <w:rFonts w:ascii="Times New Roman" w:hAnsi="Times New Roman" w:cs="Times New Roman"/>
          <w:lang w:val="en-GB"/>
        </w:rPr>
        <w:t xml:space="preserve">The policy states that the mix of </w:t>
      </w:r>
      <w:r w:rsidR="00AC1800">
        <w:rPr>
          <w:rFonts w:ascii="Times New Roman" w:hAnsi="Times New Roman" w:cs="Times New Roman"/>
          <w:lang w:val="en-GB"/>
        </w:rPr>
        <w:t xml:space="preserve">housing </w:t>
      </w:r>
      <w:r w:rsidR="0070501D">
        <w:rPr>
          <w:rFonts w:ascii="Times New Roman" w:hAnsi="Times New Roman" w:cs="Times New Roman"/>
          <w:lang w:val="en-GB"/>
        </w:rPr>
        <w:t>types</w:t>
      </w:r>
      <w:r w:rsidR="00AC1800">
        <w:rPr>
          <w:rFonts w:ascii="Times New Roman" w:hAnsi="Times New Roman" w:cs="Times New Roman"/>
          <w:lang w:val="en-GB"/>
        </w:rPr>
        <w:t xml:space="preserve"> and </w:t>
      </w:r>
      <w:r w:rsidR="0070501D">
        <w:rPr>
          <w:rFonts w:ascii="Times New Roman" w:hAnsi="Times New Roman" w:cs="Times New Roman"/>
          <w:lang w:val="en-GB"/>
        </w:rPr>
        <w:t>size</w:t>
      </w:r>
      <w:r w:rsidR="00AC1800">
        <w:rPr>
          <w:rFonts w:ascii="Times New Roman" w:hAnsi="Times New Roman" w:cs="Times New Roman"/>
          <w:lang w:val="en-GB"/>
        </w:rPr>
        <w:t xml:space="preserve"> must be in </w:t>
      </w:r>
      <w:r w:rsidR="0070501D">
        <w:rPr>
          <w:rFonts w:ascii="Times New Roman" w:hAnsi="Times New Roman" w:cs="Times New Roman"/>
          <w:lang w:val="en-GB"/>
        </w:rPr>
        <w:t>accordance</w:t>
      </w:r>
      <w:r w:rsidR="00AC1800">
        <w:rPr>
          <w:rFonts w:ascii="Times New Roman" w:hAnsi="Times New Roman" w:cs="Times New Roman"/>
          <w:lang w:val="en-GB"/>
        </w:rPr>
        <w:t xml:space="preserve"> with the latest HEDNA. This is not sound as the Council cannot </w:t>
      </w:r>
      <w:r w:rsidR="0070501D">
        <w:rPr>
          <w:rFonts w:ascii="Times New Roman" w:hAnsi="Times New Roman" w:cs="Times New Roman"/>
          <w:lang w:val="en-GB"/>
        </w:rPr>
        <w:t>require</w:t>
      </w:r>
      <w:r w:rsidR="00AC1800">
        <w:rPr>
          <w:rFonts w:ascii="Times New Roman" w:hAnsi="Times New Roman" w:cs="Times New Roman"/>
          <w:lang w:val="en-GB"/>
        </w:rPr>
        <w:t xml:space="preserve"> development to </w:t>
      </w:r>
      <w:r w:rsidR="0070501D">
        <w:rPr>
          <w:rFonts w:ascii="Times New Roman" w:hAnsi="Times New Roman" w:cs="Times New Roman"/>
          <w:lang w:val="en-GB"/>
        </w:rPr>
        <w:t xml:space="preserve">meet a standard that is set outside of the local plan. The policy should state that </w:t>
      </w:r>
      <w:r w:rsidR="00554301">
        <w:rPr>
          <w:rFonts w:ascii="Times New Roman" w:hAnsi="Times New Roman" w:cs="Times New Roman"/>
          <w:lang w:val="en-GB"/>
        </w:rPr>
        <w:t xml:space="preserve">in setting the housing mix development </w:t>
      </w:r>
      <w:r w:rsidR="005D6391">
        <w:rPr>
          <w:rFonts w:ascii="Times New Roman" w:hAnsi="Times New Roman" w:cs="Times New Roman"/>
          <w:lang w:val="en-GB"/>
        </w:rPr>
        <w:t>should</w:t>
      </w:r>
      <w:r w:rsidR="00554301">
        <w:rPr>
          <w:rFonts w:ascii="Times New Roman" w:hAnsi="Times New Roman" w:cs="Times New Roman"/>
          <w:lang w:val="en-GB"/>
        </w:rPr>
        <w:t xml:space="preserve"> </w:t>
      </w:r>
      <w:r w:rsidR="005D6391">
        <w:rPr>
          <w:rFonts w:ascii="Times New Roman" w:hAnsi="Times New Roman" w:cs="Times New Roman"/>
          <w:lang w:val="en-GB"/>
        </w:rPr>
        <w:t>have</w:t>
      </w:r>
      <w:r w:rsidR="00554301">
        <w:rPr>
          <w:rFonts w:ascii="Times New Roman" w:hAnsi="Times New Roman" w:cs="Times New Roman"/>
          <w:lang w:val="en-GB"/>
        </w:rPr>
        <w:t xml:space="preserve"> </w:t>
      </w:r>
      <w:r w:rsidR="005D6391">
        <w:rPr>
          <w:rFonts w:ascii="Times New Roman" w:hAnsi="Times New Roman" w:cs="Times New Roman"/>
          <w:lang w:val="en-GB"/>
        </w:rPr>
        <w:t>regard</w:t>
      </w:r>
      <w:r w:rsidR="00554301">
        <w:rPr>
          <w:rFonts w:ascii="Times New Roman" w:hAnsi="Times New Roman" w:cs="Times New Roman"/>
          <w:lang w:val="en-GB"/>
        </w:rPr>
        <w:t xml:space="preserve"> to the HDNA. In </w:t>
      </w:r>
      <w:r w:rsidR="009B329D">
        <w:rPr>
          <w:rFonts w:ascii="Times New Roman" w:hAnsi="Times New Roman" w:cs="Times New Roman"/>
          <w:lang w:val="en-GB"/>
        </w:rPr>
        <w:t>addition,</w:t>
      </w:r>
      <w:r w:rsidR="00554301">
        <w:rPr>
          <w:rFonts w:ascii="Times New Roman" w:hAnsi="Times New Roman" w:cs="Times New Roman"/>
          <w:lang w:val="en-GB"/>
        </w:rPr>
        <w:t xml:space="preserve"> HBF would recommend</w:t>
      </w:r>
      <w:r w:rsidR="00857C47">
        <w:rPr>
          <w:rFonts w:ascii="Times New Roman" w:hAnsi="Times New Roman" w:cs="Times New Roman"/>
          <w:lang w:val="en-GB"/>
        </w:rPr>
        <w:t xml:space="preserve"> that the </w:t>
      </w:r>
      <w:r w:rsidR="005D6391">
        <w:rPr>
          <w:rFonts w:ascii="Times New Roman" w:hAnsi="Times New Roman" w:cs="Times New Roman"/>
          <w:lang w:val="en-GB"/>
        </w:rPr>
        <w:t>policy</w:t>
      </w:r>
      <w:r w:rsidR="00857C47">
        <w:rPr>
          <w:rFonts w:ascii="Times New Roman" w:hAnsi="Times New Roman" w:cs="Times New Roman"/>
          <w:lang w:val="en-GB"/>
        </w:rPr>
        <w:t xml:space="preserve"> states</w:t>
      </w:r>
      <w:r w:rsidR="005D6391">
        <w:rPr>
          <w:rFonts w:ascii="Times New Roman" w:hAnsi="Times New Roman" w:cs="Times New Roman"/>
          <w:lang w:val="en-GB"/>
        </w:rPr>
        <w:t xml:space="preserve"> </w:t>
      </w:r>
      <w:r w:rsidR="00857C47">
        <w:rPr>
          <w:rFonts w:ascii="Times New Roman" w:hAnsi="Times New Roman" w:cs="Times New Roman"/>
          <w:lang w:val="en-GB"/>
        </w:rPr>
        <w:t>that others local evidence suggesting an alternative mix to that proposed by the HEDNA will al</w:t>
      </w:r>
      <w:r w:rsidR="005D6391">
        <w:rPr>
          <w:rFonts w:ascii="Times New Roman" w:hAnsi="Times New Roman" w:cs="Times New Roman"/>
          <w:lang w:val="en-GB"/>
        </w:rPr>
        <w:t xml:space="preserve">so be considered when establishing the mix of homes to be delivered. This </w:t>
      </w:r>
      <w:r w:rsidR="009B329D">
        <w:rPr>
          <w:rFonts w:ascii="Times New Roman" w:hAnsi="Times New Roman" w:cs="Times New Roman"/>
          <w:lang w:val="en-GB"/>
        </w:rPr>
        <w:t>recognises</w:t>
      </w:r>
      <w:r w:rsidR="005D6391">
        <w:rPr>
          <w:rFonts w:ascii="Times New Roman" w:hAnsi="Times New Roman" w:cs="Times New Roman"/>
          <w:lang w:val="en-GB"/>
        </w:rPr>
        <w:t xml:space="preserve"> that</w:t>
      </w:r>
      <w:r w:rsidR="00FC4311">
        <w:rPr>
          <w:rFonts w:ascii="Times New Roman" w:hAnsi="Times New Roman" w:cs="Times New Roman"/>
          <w:lang w:val="en-GB"/>
        </w:rPr>
        <w:t xml:space="preserve"> the HEDNA is an assessment of a point in time</w:t>
      </w:r>
      <w:r w:rsidR="009B329D">
        <w:rPr>
          <w:rFonts w:ascii="Times New Roman" w:hAnsi="Times New Roman" w:cs="Times New Roman"/>
          <w:lang w:val="en-GB"/>
        </w:rPr>
        <w:t xml:space="preserve"> (and often not regularly updated)</w:t>
      </w:r>
      <w:r w:rsidR="00FC4311">
        <w:rPr>
          <w:rFonts w:ascii="Times New Roman" w:hAnsi="Times New Roman" w:cs="Times New Roman"/>
          <w:lang w:val="en-GB"/>
        </w:rPr>
        <w:t xml:space="preserve"> and where more </w:t>
      </w:r>
      <w:r w:rsidR="009B329D">
        <w:rPr>
          <w:rFonts w:ascii="Times New Roman" w:hAnsi="Times New Roman" w:cs="Times New Roman"/>
          <w:lang w:val="en-GB"/>
        </w:rPr>
        <w:t>up</w:t>
      </w:r>
      <w:r w:rsidR="00FC4311">
        <w:rPr>
          <w:rFonts w:ascii="Times New Roman" w:hAnsi="Times New Roman" w:cs="Times New Roman"/>
          <w:lang w:val="en-GB"/>
        </w:rPr>
        <w:t xml:space="preserve"> to date and relevant </w:t>
      </w:r>
      <w:r w:rsidR="009B329D">
        <w:rPr>
          <w:rFonts w:ascii="Times New Roman" w:hAnsi="Times New Roman" w:cs="Times New Roman"/>
          <w:lang w:val="en-GB"/>
        </w:rPr>
        <w:t>information</w:t>
      </w:r>
      <w:r w:rsidR="00FC4311">
        <w:rPr>
          <w:rFonts w:ascii="Times New Roman" w:hAnsi="Times New Roman" w:cs="Times New Roman"/>
          <w:lang w:val="en-GB"/>
        </w:rPr>
        <w:t xml:space="preserve"> is available </w:t>
      </w:r>
      <w:r w:rsidR="009B329D">
        <w:rPr>
          <w:rFonts w:ascii="Times New Roman" w:hAnsi="Times New Roman" w:cs="Times New Roman"/>
          <w:lang w:val="en-GB"/>
        </w:rPr>
        <w:t>that this can be used to inform housing mix.</w:t>
      </w:r>
    </w:p>
    <w:p w14:paraId="70DDC337" w14:textId="11915451" w:rsidR="00EC6BD7" w:rsidRPr="00EC6BD7" w:rsidRDefault="00EC6BD7" w:rsidP="00585F4B">
      <w:pPr>
        <w:spacing w:after="240" w:line="360" w:lineRule="auto"/>
        <w:rPr>
          <w:rFonts w:ascii="Times New Roman" w:hAnsi="Times New Roman" w:cs="Times New Roman"/>
          <w:b/>
          <w:bCs/>
          <w:lang w:val="en-GB"/>
        </w:rPr>
      </w:pPr>
      <w:r w:rsidRPr="00EC6BD7">
        <w:rPr>
          <w:rFonts w:ascii="Times New Roman" w:hAnsi="Times New Roman" w:cs="Times New Roman"/>
          <w:b/>
          <w:bCs/>
          <w:lang w:val="en-GB"/>
        </w:rPr>
        <w:t>HOU 21: Affordable housing</w:t>
      </w:r>
    </w:p>
    <w:p w14:paraId="3FB54538" w14:textId="16CAA137" w:rsidR="00EC6BD7" w:rsidRDefault="007C70D5" w:rsidP="002A2292">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rPr>
      </w:pPr>
      <w:r>
        <w:rPr>
          <w:rFonts w:ascii="Times New Roman" w:hAnsi="Times New Roman" w:cs="Times New Roman"/>
        </w:rPr>
        <w:t>Th</w:t>
      </w:r>
      <w:r w:rsidR="00FA3CFD">
        <w:rPr>
          <w:rFonts w:ascii="Times New Roman" w:hAnsi="Times New Roman" w:cs="Times New Roman"/>
        </w:rPr>
        <w:t xml:space="preserve">is </w:t>
      </w:r>
      <w:r w:rsidR="0079422C">
        <w:rPr>
          <w:rFonts w:ascii="Times New Roman" w:hAnsi="Times New Roman" w:cs="Times New Roman"/>
        </w:rPr>
        <w:t>policy</w:t>
      </w:r>
      <w:r w:rsidR="00FA3CFD">
        <w:rPr>
          <w:rFonts w:ascii="Times New Roman" w:hAnsi="Times New Roman" w:cs="Times New Roman"/>
        </w:rPr>
        <w:t xml:space="preserve"> places a requirement that all development of 10 or mor units or over 0.5 ha </w:t>
      </w:r>
      <w:r w:rsidR="0079422C">
        <w:rPr>
          <w:rFonts w:ascii="Times New Roman" w:hAnsi="Times New Roman" w:cs="Times New Roman"/>
        </w:rPr>
        <w:t xml:space="preserve">to deliver </w:t>
      </w:r>
      <w:r w:rsidR="00FA3CFD">
        <w:rPr>
          <w:rFonts w:ascii="Times New Roman" w:hAnsi="Times New Roman" w:cs="Times New Roman"/>
        </w:rPr>
        <w:t xml:space="preserve">of </w:t>
      </w:r>
      <w:r w:rsidR="00EC6BD7">
        <w:rPr>
          <w:rFonts w:ascii="Times New Roman" w:hAnsi="Times New Roman" w:cs="Times New Roman"/>
        </w:rPr>
        <w:t xml:space="preserve">25% </w:t>
      </w:r>
      <w:r w:rsidR="0079422C">
        <w:rPr>
          <w:rFonts w:ascii="Times New Roman" w:hAnsi="Times New Roman" w:cs="Times New Roman"/>
        </w:rPr>
        <w:t xml:space="preserve">of units as affordable homes. </w:t>
      </w:r>
      <w:r w:rsidR="00F05012" w:rsidRPr="002A2292">
        <w:rPr>
          <w:rFonts w:ascii="Times New Roman" w:hAnsi="Times New Roman" w:cs="Times New Roman"/>
          <w:lang w:val="en-GB"/>
        </w:rPr>
        <w:t>Firstly</w:t>
      </w:r>
      <w:r w:rsidR="00F05012">
        <w:rPr>
          <w:rFonts w:ascii="Times New Roman" w:hAnsi="Times New Roman" w:cs="Times New Roman"/>
        </w:rPr>
        <w:t>,</w:t>
      </w:r>
      <w:r w:rsidR="006A190F">
        <w:rPr>
          <w:rFonts w:ascii="Times New Roman" w:hAnsi="Times New Roman" w:cs="Times New Roman"/>
        </w:rPr>
        <w:t xml:space="preserve"> it is notable that smaller developments </w:t>
      </w:r>
      <w:r w:rsidR="00AC4B4D">
        <w:rPr>
          <w:rFonts w:ascii="Times New Roman" w:hAnsi="Times New Roman" w:cs="Times New Roman"/>
        </w:rPr>
        <w:t xml:space="preserve">of between 10 and </w:t>
      </w:r>
      <w:r w:rsidR="004563E1">
        <w:rPr>
          <w:rFonts w:ascii="Times New Roman" w:hAnsi="Times New Roman" w:cs="Times New Roman"/>
        </w:rPr>
        <w:t xml:space="preserve">20 units are not considered </w:t>
      </w:r>
      <w:proofErr w:type="spellStart"/>
      <w:r w:rsidR="004563E1">
        <w:rPr>
          <w:rFonts w:ascii="Times New Roman" w:hAnsi="Times New Roman" w:cs="Times New Roman"/>
        </w:rPr>
        <w:t>ot</w:t>
      </w:r>
      <w:proofErr w:type="spellEnd"/>
      <w:r w:rsidR="004563E1">
        <w:rPr>
          <w:rFonts w:ascii="Times New Roman" w:hAnsi="Times New Roman" w:cs="Times New Roman"/>
        </w:rPr>
        <w:t xml:space="preserve"> be </w:t>
      </w:r>
      <w:r w:rsidR="00845D62">
        <w:rPr>
          <w:rFonts w:ascii="Times New Roman" w:hAnsi="Times New Roman" w:cs="Times New Roman"/>
        </w:rPr>
        <w:t>viable</w:t>
      </w:r>
      <w:r w:rsidR="004563E1">
        <w:rPr>
          <w:rFonts w:ascii="Times New Roman" w:hAnsi="Times New Roman" w:cs="Times New Roman"/>
        </w:rPr>
        <w:t xml:space="preserve"> at this level of </w:t>
      </w:r>
      <w:r w:rsidR="00845D62">
        <w:rPr>
          <w:rFonts w:ascii="Times New Roman" w:hAnsi="Times New Roman" w:cs="Times New Roman"/>
        </w:rPr>
        <w:t>affordable</w:t>
      </w:r>
      <w:r w:rsidR="004563E1">
        <w:rPr>
          <w:rFonts w:ascii="Times New Roman" w:hAnsi="Times New Roman" w:cs="Times New Roman"/>
        </w:rPr>
        <w:t xml:space="preserve"> </w:t>
      </w:r>
      <w:r w:rsidR="00845D62">
        <w:rPr>
          <w:rFonts w:ascii="Times New Roman" w:hAnsi="Times New Roman" w:cs="Times New Roman"/>
        </w:rPr>
        <w:t>housing</w:t>
      </w:r>
      <w:r w:rsidR="004563E1">
        <w:rPr>
          <w:rFonts w:ascii="Times New Roman" w:hAnsi="Times New Roman" w:cs="Times New Roman"/>
        </w:rPr>
        <w:t xml:space="preserve"> delivery, </w:t>
      </w:r>
      <w:r w:rsidR="00845D62">
        <w:rPr>
          <w:rFonts w:ascii="Times New Roman" w:hAnsi="Times New Roman" w:cs="Times New Roman"/>
        </w:rPr>
        <w:t>alongside</w:t>
      </w:r>
      <w:r w:rsidR="004563E1">
        <w:rPr>
          <w:rFonts w:ascii="Times New Roman" w:hAnsi="Times New Roman" w:cs="Times New Roman"/>
        </w:rPr>
        <w:t xml:space="preserve"> the other </w:t>
      </w:r>
      <w:r w:rsidR="00845D62">
        <w:rPr>
          <w:rFonts w:ascii="Times New Roman" w:hAnsi="Times New Roman" w:cs="Times New Roman"/>
        </w:rPr>
        <w:t xml:space="preserve">policy costs imposed on new development through this local plan. </w:t>
      </w:r>
      <w:r w:rsidR="00991D28">
        <w:rPr>
          <w:rFonts w:ascii="Times New Roman" w:hAnsi="Times New Roman" w:cs="Times New Roman"/>
        </w:rPr>
        <w:t>Sensitivity</w:t>
      </w:r>
      <w:r w:rsidR="002E6D5E">
        <w:rPr>
          <w:rFonts w:ascii="Times New Roman" w:hAnsi="Times New Roman" w:cs="Times New Roman"/>
        </w:rPr>
        <w:t xml:space="preserve"> </w:t>
      </w:r>
      <w:r w:rsidR="00991D28">
        <w:rPr>
          <w:rFonts w:ascii="Times New Roman" w:hAnsi="Times New Roman" w:cs="Times New Roman"/>
        </w:rPr>
        <w:t>testing</w:t>
      </w:r>
      <w:r w:rsidR="002E6D5E">
        <w:rPr>
          <w:rFonts w:ascii="Times New Roman" w:hAnsi="Times New Roman" w:cs="Times New Roman"/>
        </w:rPr>
        <w:t xml:space="preserve"> in the LPVT indicates that a lower level </w:t>
      </w:r>
      <w:r w:rsidR="00991D28">
        <w:rPr>
          <w:rFonts w:ascii="Times New Roman" w:hAnsi="Times New Roman" w:cs="Times New Roman"/>
        </w:rPr>
        <w:t>of</w:t>
      </w:r>
      <w:r w:rsidR="002E6D5E">
        <w:rPr>
          <w:rFonts w:ascii="Times New Roman" w:hAnsi="Times New Roman" w:cs="Times New Roman"/>
        </w:rPr>
        <w:t xml:space="preserve"> </w:t>
      </w:r>
      <w:r w:rsidR="00991D28">
        <w:rPr>
          <w:rFonts w:ascii="Times New Roman" w:hAnsi="Times New Roman" w:cs="Times New Roman"/>
        </w:rPr>
        <w:t>affordable</w:t>
      </w:r>
      <w:r w:rsidR="002E6D5E">
        <w:rPr>
          <w:rFonts w:ascii="Times New Roman" w:hAnsi="Times New Roman" w:cs="Times New Roman"/>
        </w:rPr>
        <w:t xml:space="preserve"> might be </w:t>
      </w:r>
      <w:r w:rsidR="00F05012">
        <w:rPr>
          <w:rFonts w:ascii="Times New Roman" w:hAnsi="Times New Roman" w:cs="Times New Roman"/>
        </w:rPr>
        <w:t>deliverable</w:t>
      </w:r>
      <w:r w:rsidR="002E6D5E">
        <w:rPr>
          <w:rFonts w:ascii="Times New Roman" w:hAnsi="Times New Roman" w:cs="Times New Roman"/>
        </w:rPr>
        <w:t xml:space="preserve"> and </w:t>
      </w:r>
      <w:r w:rsidR="00991D28">
        <w:rPr>
          <w:rFonts w:ascii="Times New Roman" w:hAnsi="Times New Roman" w:cs="Times New Roman"/>
        </w:rPr>
        <w:t>consideration</w:t>
      </w:r>
      <w:r w:rsidR="002E6D5E">
        <w:rPr>
          <w:rFonts w:ascii="Times New Roman" w:hAnsi="Times New Roman" w:cs="Times New Roman"/>
        </w:rPr>
        <w:t xml:space="preserve"> </w:t>
      </w:r>
      <w:r w:rsidR="00991D28">
        <w:rPr>
          <w:rFonts w:ascii="Times New Roman" w:hAnsi="Times New Roman" w:cs="Times New Roman"/>
        </w:rPr>
        <w:t>should</w:t>
      </w:r>
      <w:r w:rsidR="002E6D5E">
        <w:rPr>
          <w:rFonts w:ascii="Times New Roman" w:hAnsi="Times New Roman" w:cs="Times New Roman"/>
        </w:rPr>
        <w:t xml:space="preserve"> be </w:t>
      </w:r>
      <w:r w:rsidR="00991D28">
        <w:rPr>
          <w:rFonts w:ascii="Times New Roman" w:hAnsi="Times New Roman" w:cs="Times New Roman"/>
        </w:rPr>
        <w:t>given</w:t>
      </w:r>
      <w:r w:rsidR="002E6D5E">
        <w:rPr>
          <w:rFonts w:ascii="Times New Roman" w:hAnsi="Times New Roman" w:cs="Times New Roman"/>
        </w:rPr>
        <w:t xml:space="preserve"> </w:t>
      </w:r>
      <w:r w:rsidR="00F05012">
        <w:rPr>
          <w:rFonts w:ascii="Times New Roman" w:hAnsi="Times New Roman" w:cs="Times New Roman"/>
        </w:rPr>
        <w:t>to</w:t>
      </w:r>
      <w:r w:rsidR="002E6D5E">
        <w:rPr>
          <w:rFonts w:ascii="Times New Roman" w:hAnsi="Times New Roman" w:cs="Times New Roman"/>
        </w:rPr>
        <w:t xml:space="preserve"> reducing the </w:t>
      </w:r>
      <w:r w:rsidR="00991D28">
        <w:rPr>
          <w:rFonts w:ascii="Times New Roman" w:hAnsi="Times New Roman" w:cs="Times New Roman"/>
        </w:rPr>
        <w:t>affordable</w:t>
      </w:r>
      <w:r w:rsidR="002E6D5E">
        <w:rPr>
          <w:rFonts w:ascii="Times New Roman" w:hAnsi="Times New Roman" w:cs="Times New Roman"/>
        </w:rPr>
        <w:t xml:space="preserve"> </w:t>
      </w:r>
      <w:r w:rsidR="00991D28">
        <w:rPr>
          <w:rFonts w:ascii="Times New Roman" w:hAnsi="Times New Roman" w:cs="Times New Roman"/>
        </w:rPr>
        <w:t>housing</w:t>
      </w:r>
      <w:r w:rsidR="002E6D5E">
        <w:rPr>
          <w:rFonts w:ascii="Times New Roman" w:hAnsi="Times New Roman" w:cs="Times New Roman"/>
        </w:rPr>
        <w:t xml:space="preserve"> </w:t>
      </w:r>
      <w:r w:rsidR="00991D28">
        <w:rPr>
          <w:rFonts w:ascii="Times New Roman" w:hAnsi="Times New Roman" w:cs="Times New Roman"/>
        </w:rPr>
        <w:t>contribution</w:t>
      </w:r>
      <w:r w:rsidR="002E6D5E">
        <w:rPr>
          <w:rFonts w:ascii="Times New Roman" w:hAnsi="Times New Roman" w:cs="Times New Roman"/>
        </w:rPr>
        <w:t xml:space="preserve"> smaller </w:t>
      </w:r>
      <w:r w:rsidR="00F05012">
        <w:rPr>
          <w:rFonts w:ascii="Times New Roman" w:hAnsi="Times New Roman" w:cs="Times New Roman"/>
        </w:rPr>
        <w:t>sites</w:t>
      </w:r>
      <w:r w:rsidR="00991D28">
        <w:rPr>
          <w:rFonts w:ascii="Times New Roman" w:hAnsi="Times New Roman" w:cs="Times New Roman"/>
        </w:rPr>
        <w:t>.</w:t>
      </w:r>
    </w:p>
    <w:p w14:paraId="307630A1" w14:textId="7B3A6CDC" w:rsidR="00EC6BD7" w:rsidRPr="00B449D3" w:rsidRDefault="00DF0449" w:rsidP="00B449D3">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rPr>
      </w:pPr>
      <w:r>
        <w:rPr>
          <w:rFonts w:ascii="Times New Roman" w:hAnsi="Times New Roman" w:cs="Times New Roman"/>
        </w:rPr>
        <w:lastRenderedPageBreak/>
        <w:t xml:space="preserve">HBF also note that some of </w:t>
      </w:r>
      <w:r w:rsidRPr="002A2292">
        <w:rPr>
          <w:rFonts w:ascii="Times New Roman" w:hAnsi="Times New Roman" w:cs="Times New Roman"/>
          <w:lang w:val="en-GB"/>
        </w:rPr>
        <w:t>the</w:t>
      </w:r>
      <w:r>
        <w:rPr>
          <w:rFonts w:ascii="Times New Roman" w:hAnsi="Times New Roman" w:cs="Times New Roman"/>
        </w:rPr>
        <w:t xml:space="preserve"> costs used in the viability study are low. </w:t>
      </w:r>
      <w:r w:rsidR="00C5780B">
        <w:rPr>
          <w:rFonts w:ascii="Times New Roman" w:hAnsi="Times New Roman" w:cs="Times New Roman"/>
        </w:rPr>
        <w:t>The cost of meeting the new Future Homes Standard has been set at £4,000. However, the latest government consultation</w:t>
      </w:r>
      <w:r w:rsidR="003A32AC">
        <w:rPr>
          <w:rStyle w:val="FootnoteReference"/>
          <w:rFonts w:ascii="Times New Roman" w:hAnsi="Times New Roman" w:cs="Times New Roman"/>
        </w:rPr>
        <w:footnoteReference w:id="3"/>
      </w:r>
      <w:r w:rsidR="00C5780B">
        <w:rPr>
          <w:rFonts w:ascii="Times New Roman" w:hAnsi="Times New Roman" w:cs="Times New Roman"/>
        </w:rPr>
        <w:t xml:space="preserve"> indicates that </w:t>
      </w:r>
      <w:r w:rsidR="0085339C">
        <w:rPr>
          <w:rFonts w:ascii="Times New Roman" w:hAnsi="Times New Roman" w:cs="Times New Roman"/>
        </w:rPr>
        <w:t xml:space="preserve">the cost of Option 1 – which includes solar panels and is the most likely option to be taken forward – expects the cost </w:t>
      </w:r>
      <w:r w:rsidR="004B59B7">
        <w:rPr>
          <w:rFonts w:ascii="Times New Roman" w:hAnsi="Times New Roman" w:cs="Times New Roman"/>
        </w:rPr>
        <w:t xml:space="preserve">increase to be around £6,200. </w:t>
      </w:r>
      <w:r w:rsidR="003B367D">
        <w:rPr>
          <w:rFonts w:ascii="Times New Roman" w:hAnsi="Times New Roman" w:cs="Times New Roman"/>
        </w:rPr>
        <w:t xml:space="preserve">The cost of </w:t>
      </w:r>
      <w:r w:rsidR="00927D9B">
        <w:rPr>
          <w:rFonts w:ascii="Times New Roman" w:hAnsi="Times New Roman" w:cs="Times New Roman"/>
        </w:rPr>
        <w:t>achieving</w:t>
      </w:r>
      <w:r w:rsidR="003B367D">
        <w:rPr>
          <w:rFonts w:ascii="Times New Roman" w:hAnsi="Times New Roman" w:cs="Times New Roman"/>
        </w:rPr>
        <w:t xml:space="preserve"> 85 lppd is also low at £500 per unit. We note that this is taken from </w:t>
      </w:r>
      <w:r w:rsidR="00160341">
        <w:rPr>
          <w:rFonts w:ascii="Times New Roman" w:hAnsi="Times New Roman" w:cs="Times New Roman"/>
        </w:rPr>
        <w:t xml:space="preserve">the evidence supporting the Sussex North Water Neutrality Study. </w:t>
      </w:r>
      <w:r w:rsidR="00927D9B">
        <w:rPr>
          <w:rFonts w:ascii="Times New Roman" w:hAnsi="Times New Roman" w:cs="Times New Roman"/>
        </w:rPr>
        <w:t>However,</w:t>
      </w:r>
      <w:r w:rsidR="00160341">
        <w:rPr>
          <w:rFonts w:ascii="Times New Roman" w:hAnsi="Times New Roman" w:cs="Times New Roman"/>
        </w:rPr>
        <w:t xml:space="preserve"> </w:t>
      </w:r>
      <w:r w:rsidR="00927D9B">
        <w:rPr>
          <w:rFonts w:ascii="Times New Roman" w:hAnsi="Times New Roman" w:cs="Times New Roman"/>
        </w:rPr>
        <w:t xml:space="preserve">there is uncertainty as to how much </w:t>
      </w:r>
      <w:r w:rsidR="004D7A92">
        <w:rPr>
          <w:rFonts w:ascii="Times New Roman" w:hAnsi="Times New Roman" w:cs="Times New Roman"/>
        </w:rPr>
        <w:t xml:space="preserve">it will cost to achieve this standard and whether some degree of grey water recycling or rain water </w:t>
      </w:r>
      <w:r w:rsidR="00FF6C60">
        <w:rPr>
          <w:rFonts w:ascii="Times New Roman" w:hAnsi="Times New Roman" w:cs="Times New Roman"/>
        </w:rPr>
        <w:t>harvesting</w:t>
      </w:r>
      <w:r w:rsidR="004D7A92">
        <w:rPr>
          <w:rFonts w:ascii="Times New Roman" w:hAnsi="Times New Roman" w:cs="Times New Roman"/>
        </w:rPr>
        <w:t xml:space="preserve"> </w:t>
      </w:r>
      <w:r w:rsidR="00FF6C60">
        <w:rPr>
          <w:rFonts w:ascii="Times New Roman" w:hAnsi="Times New Roman" w:cs="Times New Roman"/>
        </w:rPr>
        <w:t>will</w:t>
      </w:r>
      <w:r w:rsidR="004D7A92">
        <w:rPr>
          <w:rFonts w:ascii="Times New Roman" w:hAnsi="Times New Roman" w:cs="Times New Roman"/>
        </w:rPr>
        <w:t xml:space="preserve"> be required</w:t>
      </w:r>
      <w:r w:rsidR="00FF6C60">
        <w:rPr>
          <w:rFonts w:ascii="Times New Roman" w:hAnsi="Times New Roman" w:cs="Times New Roman"/>
        </w:rPr>
        <w:t xml:space="preserve"> which substantially increases costs. It is notable that </w:t>
      </w:r>
      <w:r w:rsidR="00160341">
        <w:rPr>
          <w:rFonts w:ascii="Times New Roman" w:hAnsi="Times New Roman" w:cs="Times New Roman"/>
        </w:rPr>
        <w:t xml:space="preserve">the costs used by the LPAs in that study </w:t>
      </w:r>
      <w:r w:rsidR="00927D9B">
        <w:rPr>
          <w:rFonts w:ascii="Times New Roman" w:hAnsi="Times New Roman" w:cs="Times New Roman"/>
        </w:rPr>
        <w:t>were set at £2,000.</w:t>
      </w:r>
      <w:r w:rsidR="00471618">
        <w:rPr>
          <w:rFonts w:ascii="Times New Roman" w:hAnsi="Times New Roman" w:cs="Times New Roman"/>
        </w:rPr>
        <w:t xml:space="preserve"> </w:t>
      </w:r>
      <w:r w:rsidR="00852D38">
        <w:rPr>
          <w:rFonts w:ascii="Times New Roman" w:hAnsi="Times New Roman" w:cs="Times New Roman"/>
        </w:rPr>
        <w:t>Finally,</w:t>
      </w:r>
      <w:r w:rsidR="00471618">
        <w:rPr>
          <w:rFonts w:ascii="Times New Roman" w:hAnsi="Times New Roman" w:cs="Times New Roman"/>
        </w:rPr>
        <w:t xml:space="preserve"> the study needs to include the cost of </w:t>
      </w:r>
      <w:r w:rsidR="009B2CBF">
        <w:rPr>
          <w:rFonts w:ascii="Times New Roman" w:hAnsi="Times New Roman" w:cs="Times New Roman"/>
        </w:rPr>
        <w:t>building safety levy</w:t>
      </w:r>
      <w:r w:rsidR="00852D38">
        <w:rPr>
          <w:rFonts w:ascii="Times New Roman" w:hAnsi="Times New Roman" w:cs="Times New Roman"/>
        </w:rPr>
        <w:t xml:space="preserve"> which </w:t>
      </w:r>
      <w:r w:rsidR="00AB39B3">
        <w:rPr>
          <w:rFonts w:ascii="Times New Roman" w:hAnsi="Times New Roman" w:cs="Times New Roman"/>
        </w:rPr>
        <w:t xml:space="preserve">will </w:t>
      </w:r>
      <w:r w:rsidR="00557475">
        <w:rPr>
          <w:rFonts w:ascii="Times New Roman" w:hAnsi="Times New Roman" w:cs="Times New Roman"/>
        </w:rPr>
        <w:t>cost £12.21 per m</w:t>
      </w:r>
      <w:r w:rsidR="00557475" w:rsidRPr="008954E4">
        <w:rPr>
          <w:rFonts w:ascii="Times New Roman" w:hAnsi="Times New Roman" w:cs="Times New Roman"/>
          <w:vertAlign w:val="superscript"/>
        </w:rPr>
        <w:t>2</w:t>
      </w:r>
      <w:r w:rsidR="008954E4">
        <w:rPr>
          <w:rFonts w:ascii="Times New Roman" w:hAnsi="Times New Roman" w:cs="Times New Roman"/>
        </w:rPr>
        <w:t xml:space="preserve"> on PDL and £24.24</w:t>
      </w:r>
      <w:r w:rsidR="00AB39B3">
        <w:rPr>
          <w:rFonts w:ascii="Times New Roman" w:hAnsi="Times New Roman" w:cs="Times New Roman"/>
        </w:rPr>
        <w:t xml:space="preserve"> </w:t>
      </w:r>
      <w:r w:rsidR="008954E4">
        <w:rPr>
          <w:rFonts w:ascii="Times New Roman" w:hAnsi="Times New Roman" w:cs="Times New Roman"/>
        </w:rPr>
        <w:t>per m</w:t>
      </w:r>
      <w:r w:rsidR="008954E4" w:rsidRPr="008954E4">
        <w:rPr>
          <w:rFonts w:ascii="Times New Roman" w:hAnsi="Times New Roman" w:cs="Times New Roman"/>
          <w:vertAlign w:val="superscript"/>
        </w:rPr>
        <w:t>2</w:t>
      </w:r>
      <w:r w:rsidR="008954E4">
        <w:rPr>
          <w:rFonts w:ascii="Times New Roman" w:hAnsi="Times New Roman" w:cs="Times New Roman"/>
        </w:rPr>
        <w:t xml:space="preserve"> on non PDL. </w:t>
      </w:r>
      <w:r w:rsidR="006F5B70">
        <w:rPr>
          <w:rFonts w:ascii="Times New Roman" w:hAnsi="Times New Roman" w:cs="Times New Roman"/>
        </w:rPr>
        <w:t>These higher costs should be incorporated into the LPVT</w:t>
      </w:r>
      <w:r w:rsidR="008954E4">
        <w:rPr>
          <w:rFonts w:ascii="Times New Roman" w:hAnsi="Times New Roman" w:cs="Times New Roman"/>
        </w:rPr>
        <w:t>.</w:t>
      </w:r>
    </w:p>
    <w:p w14:paraId="0DC29FA5" w14:textId="47E3F66A" w:rsidR="00602801" w:rsidRDefault="00602801" w:rsidP="00585F4B">
      <w:pPr>
        <w:spacing w:after="240" w:line="360" w:lineRule="auto"/>
        <w:rPr>
          <w:rFonts w:ascii="Times New Roman" w:hAnsi="Times New Roman" w:cs="Times New Roman"/>
          <w:b/>
          <w:bCs/>
          <w:lang w:val="en-GB"/>
        </w:rPr>
      </w:pPr>
      <w:r w:rsidRPr="00602801">
        <w:rPr>
          <w:rFonts w:ascii="Times New Roman" w:hAnsi="Times New Roman" w:cs="Times New Roman"/>
          <w:b/>
          <w:bCs/>
          <w:lang w:val="en-GB"/>
        </w:rPr>
        <w:t>ENV 03: Improving Biodiversity</w:t>
      </w:r>
    </w:p>
    <w:p w14:paraId="70CFFB55" w14:textId="7A2DC3C5" w:rsidR="007F2148" w:rsidRDefault="007F2148" w:rsidP="007F2148">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i/>
          <w:iCs/>
        </w:rPr>
      </w:pPr>
      <w:r>
        <w:rPr>
          <w:rFonts w:ascii="Times New Roman" w:hAnsi="Times New Roman" w:cs="Times New Roman"/>
          <w:bCs/>
        </w:rPr>
        <w:t xml:space="preserve">HBF would suggest that the Council give consideration as to whether a policy on BNG is needed given that the process for considering and delivering BNG is set out in legislation and regulation. The HBF notes that one the introduction of mandatory Biodiversity Net Gain (BNG) relevant updates where made to the PPG, and in particular stated that: </w:t>
      </w:r>
    </w:p>
    <w:p w14:paraId="70188BB7" w14:textId="77777777" w:rsidR="007F2148" w:rsidRDefault="007F2148" w:rsidP="007F2148">
      <w:pPr>
        <w:pStyle w:val="ListParagraph"/>
        <w:widowControl/>
        <w:suppressAutoHyphens w:val="0"/>
        <w:autoSpaceDE/>
        <w:spacing w:after="240" w:line="360" w:lineRule="auto"/>
        <w:ind w:left="993" w:right="571"/>
        <w:jc w:val="both"/>
        <w:rPr>
          <w:rFonts w:ascii="Times New Roman" w:hAnsi="Times New Roman" w:cs="Times New Roman"/>
          <w:bCs/>
          <w:i/>
          <w:iCs/>
        </w:rPr>
      </w:pPr>
      <w:r>
        <w:rPr>
          <w:rFonts w:ascii="Times New Roman" w:hAnsi="Times New Roman" w:cs="Times New Roman"/>
          <w:bCs/>
        </w:rPr>
        <w:t>“</w:t>
      </w:r>
      <w:r>
        <w:rPr>
          <w:rFonts w:ascii="Times New Roman" w:hAnsi="Times New Roman" w:cs="Times New Roman"/>
          <w:bCs/>
          <w:i/>
          <w:iCs/>
        </w:rPr>
        <w:t>Plan-makers should be aware of the statutory framework for biodiversity net gain, but they do not need to include policies which duplicate the detailed provisions of this statutory framework. It will also be inappropriate for plans or supplementary planning documents to include policies or guidance which are incompatible with this framework, for instance by applying biodiversity net gain to exempt categories of development or encouraging the use of a different biodiversity metric or biodiversity gain hierarchy.</w:t>
      </w:r>
    </w:p>
    <w:p w14:paraId="0C152B84" w14:textId="187C3561" w:rsidR="007F2148" w:rsidRPr="007F2148" w:rsidRDefault="007F2148" w:rsidP="007F2148">
      <w:pPr>
        <w:pStyle w:val="ListParagraph"/>
        <w:widowControl/>
        <w:suppressAutoHyphens w:val="0"/>
        <w:autoSpaceDE/>
        <w:spacing w:after="240" w:line="360" w:lineRule="auto"/>
        <w:ind w:left="993" w:right="571"/>
        <w:jc w:val="both"/>
        <w:rPr>
          <w:rFonts w:ascii="Times New Roman" w:hAnsi="Times New Roman" w:cs="Times New Roman"/>
          <w:bCs/>
          <w:i/>
          <w:iCs/>
        </w:rPr>
      </w:pPr>
      <w:r w:rsidRPr="007F2148">
        <w:rPr>
          <w:rFonts w:ascii="Times New Roman" w:hAnsi="Times New Roman" w:cs="Times New Roman"/>
          <w:bCs/>
          <w:i/>
          <w:iCs/>
        </w:rPr>
        <w:t>Plan-makers can complement the statutory framework for biodiversity net gain by, for instance, including policies which support appropriate local offsite biodiversity sites, including whether specific allocated sites for development should include biodiversity enhancements to support other developments meet their net gain objectives in line with Local Nature Recovery Strategies.</w:t>
      </w:r>
      <w:r w:rsidRPr="007F2148">
        <w:rPr>
          <w:rFonts w:ascii="Times New Roman" w:hAnsi="Times New Roman" w:cs="Times New Roman"/>
          <w:bCs/>
        </w:rPr>
        <w:t>” (Reference ID: 74-006-20240214).</w:t>
      </w:r>
    </w:p>
    <w:p w14:paraId="4218E4F0" w14:textId="77777777" w:rsidR="0070479B" w:rsidRDefault="00876CE4" w:rsidP="007F2148">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lang w:val="en-GB"/>
        </w:rPr>
      </w:pPr>
      <w:r>
        <w:rPr>
          <w:rFonts w:ascii="Times New Roman" w:hAnsi="Times New Roman" w:cs="Times New Roman"/>
          <w:lang w:val="en-GB"/>
        </w:rPr>
        <w:t xml:space="preserve">HBF </w:t>
      </w:r>
      <w:r w:rsidR="007F2148">
        <w:rPr>
          <w:rFonts w:ascii="Times New Roman" w:hAnsi="Times New Roman" w:cs="Times New Roman"/>
          <w:lang w:val="en-GB"/>
        </w:rPr>
        <w:t xml:space="preserve">therefore </w:t>
      </w:r>
      <w:r w:rsidR="00C41963">
        <w:rPr>
          <w:rFonts w:ascii="Times New Roman" w:hAnsi="Times New Roman" w:cs="Times New Roman"/>
          <w:lang w:val="en-GB"/>
        </w:rPr>
        <w:t>consider</w:t>
      </w:r>
      <w:r>
        <w:rPr>
          <w:rFonts w:ascii="Times New Roman" w:hAnsi="Times New Roman" w:cs="Times New Roman"/>
          <w:lang w:val="en-GB"/>
        </w:rPr>
        <w:t xml:space="preserve"> it </w:t>
      </w:r>
      <w:r w:rsidR="00C41963">
        <w:rPr>
          <w:rFonts w:ascii="Times New Roman" w:hAnsi="Times New Roman" w:cs="Times New Roman"/>
          <w:lang w:val="en-GB"/>
        </w:rPr>
        <w:t>unnecessary</w:t>
      </w:r>
      <w:r>
        <w:rPr>
          <w:rFonts w:ascii="Times New Roman" w:hAnsi="Times New Roman" w:cs="Times New Roman"/>
          <w:lang w:val="en-GB"/>
        </w:rPr>
        <w:t xml:space="preserve"> for the </w:t>
      </w:r>
      <w:r w:rsidR="00C41963">
        <w:rPr>
          <w:rFonts w:ascii="Times New Roman" w:hAnsi="Times New Roman" w:cs="Times New Roman"/>
          <w:lang w:val="en-GB"/>
        </w:rPr>
        <w:t>Council</w:t>
      </w:r>
      <w:r>
        <w:rPr>
          <w:rFonts w:ascii="Times New Roman" w:hAnsi="Times New Roman" w:cs="Times New Roman"/>
          <w:lang w:val="en-GB"/>
        </w:rPr>
        <w:t xml:space="preserve"> t</w:t>
      </w:r>
      <w:r w:rsidR="00C41963">
        <w:rPr>
          <w:rFonts w:ascii="Times New Roman" w:hAnsi="Times New Roman" w:cs="Times New Roman"/>
          <w:lang w:val="en-GB"/>
        </w:rPr>
        <w:t xml:space="preserve">o restate in a local plan policy a requirement that is already required by legislation and has a significant amount of supporting guidance. </w:t>
      </w:r>
    </w:p>
    <w:p w14:paraId="33889DB8" w14:textId="2958ED85" w:rsidR="008918AF" w:rsidRDefault="0070479B" w:rsidP="007F2148">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lang w:val="en-GB"/>
        </w:rPr>
      </w:pPr>
      <w:r>
        <w:rPr>
          <w:rFonts w:ascii="Times New Roman" w:hAnsi="Times New Roman" w:cs="Times New Roman"/>
          <w:lang w:val="en-GB"/>
        </w:rPr>
        <w:t xml:space="preserve">HBF also </w:t>
      </w:r>
      <w:r w:rsidR="00DC3803">
        <w:rPr>
          <w:rFonts w:ascii="Times New Roman" w:hAnsi="Times New Roman" w:cs="Times New Roman"/>
          <w:lang w:val="en-GB"/>
        </w:rPr>
        <w:t>understand</w:t>
      </w:r>
      <w:r>
        <w:rPr>
          <w:rFonts w:ascii="Times New Roman" w:hAnsi="Times New Roman" w:cs="Times New Roman"/>
          <w:lang w:val="en-GB"/>
        </w:rPr>
        <w:t>s</w:t>
      </w:r>
      <w:r w:rsidR="00DC3803">
        <w:rPr>
          <w:rFonts w:ascii="Times New Roman" w:hAnsi="Times New Roman" w:cs="Times New Roman"/>
          <w:lang w:val="en-GB"/>
        </w:rPr>
        <w:t xml:space="preserve"> th</w:t>
      </w:r>
      <w:r w:rsidR="008C0DC2">
        <w:rPr>
          <w:rFonts w:ascii="Times New Roman" w:hAnsi="Times New Roman" w:cs="Times New Roman"/>
          <w:lang w:val="en-GB"/>
        </w:rPr>
        <w:t xml:space="preserve">e Council’s desire for development to go beyond 10% </w:t>
      </w:r>
      <w:r w:rsidR="000526B0">
        <w:rPr>
          <w:rFonts w:ascii="Times New Roman" w:hAnsi="Times New Roman" w:cs="Times New Roman"/>
          <w:lang w:val="en-GB"/>
        </w:rPr>
        <w:t xml:space="preserve">and we are </w:t>
      </w:r>
      <w:r w:rsidR="00F06F63">
        <w:rPr>
          <w:rFonts w:ascii="Times New Roman" w:hAnsi="Times New Roman" w:cs="Times New Roman"/>
          <w:lang w:val="en-GB"/>
        </w:rPr>
        <w:t>concerned</w:t>
      </w:r>
      <w:r w:rsidR="000526B0">
        <w:rPr>
          <w:rFonts w:ascii="Times New Roman" w:hAnsi="Times New Roman" w:cs="Times New Roman"/>
          <w:lang w:val="en-GB"/>
        </w:rPr>
        <w:t xml:space="preserve"> that in </w:t>
      </w:r>
      <w:r w:rsidR="00F06F63">
        <w:rPr>
          <w:rFonts w:ascii="Times New Roman" w:hAnsi="Times New Roman" w:cs="Times New Roman"/>
          <w:lang w:val="en-GB"/>
        </w:rPr>
        <w:t>encouraging</w:t>
      </w:r>
      <w:r w:rsidR="00F16D33">
        <w:rPr>
          <w:rFonts w:ascii="Times New Roman" w:hAnsi="Times New Roman" w:cs="Times New Roman"/>
          <w:lang w:val="en-GB"/>
        </w:rPr>
        <w:t xml:space="preserve"> development to </w:t>
      </w:r>
      <w:r w:rsidR="00F06F63">
        <w:rPr>
          <w:rFonts w:ascii="Times New Roman" w:hAnsi="Times New Roman" w:cs="Times New Roman"/>
          <w:lang w:val="en-GB"/>
        </w:rPr>
        <w:t>achieve</w:t>
      </w:r>
      <w:r w:rsidR="00F16D33">
        <w:rPr>
          <w:rFonts w:ascii="Times New Roman" w:hAnsi="Times New Roman" w:cs="Times New Roman"/>
          <w:lang w:val="en-GB"/>
        </w:rPr>
        <w:t xml:space="preserve"> a 20% net gain in biodiversity this could </w:t>
      </w:r>
      <w:r w:rsidR="00F06F63">
        <w:rPr>
          <w:rFonts w:ascii="Times New Roman" w:hAnsi="Times New Roman" w:cs="Times New Roman"/>
          <w:lang w:val="en-GB"/>
        </w:rPr>
        <w:t xml:space="preserve">be used by decision makers to ask for higher standards in all cases. </w:t>
      </w:r>
      <w:r w:rsidR="00623003">
        <w:rPr>
          <w:rFonts w:ascii="Times New Roman" w:hAnsi="Times New Roman" w:cs="Times New Roman"/>
          <w:lang w:val="en-GB"/>
        </w:rPr>
        <w:t xml:space="preserve">It </w:t>
      </w:r>
      <w:proofErr w:type="spellStart"/>
      <w:r w:rsidR="00623003" w:rsidRPr="00623003">
        <w:rPr>
          <w:rFonts w:ascii="Times New Roman" w:hAnsi="Times New Roman" w:cs="Times New Roman"/>
          <w:lang w:val="en-GB"/>
        </w:rPr>
        <w:t>it</w:t>
      </w:r>
      <w:proofErr w:type="spellEnd"/>
      <w:r w:rsidR="00623003" w:rsidRPr="00623003">
        <w:rPr>
          <w:rFonts w:ascii="Times New Roman" w:hAnsi="Times New Roman" w:cs="Times New Roman"/>
          <w:lang w:val="en-GB"/>
        </w:rPr>
        <w:t xml:space="preserve"> will be the case that the majority of development will deliver in excess of 10%</w:t>
      </w:r>
      <w:r w:rsidR="00623003">
        <w:rPr>
          <w:rFonts w:ascii="Times New Roman" w:hAnsi="Times New Roman" w:cs="Times New Roman"/>
          <w:lang w:val="en-GB"/>
        </w:rPr>
        <w:t xml:space="preserve"> net gains in order to be certain of achieving the target. As such it is necessary to make either of these </w:t>
      </w:r>
      <w:r w:rsidR="00623003">
        <w:rPr>
          <w:rFonts w:ascii="Times New Roman" w:hAnsi="Times New Roman" w:cs="Times New Roman"/>
          <w:lang w:val="en-GB"/>
        </w:rPr>
        <w:lastRenderedPageBreak/>
        <w:t xml:space="preserve">requests and we would suggest that the first half of policy </w:t>
      </w:r>
      <w:r w:rsidR="008D6595">
        <w:rPr>
          <w:rFonts w:ascii="Times New Roman" w:hAnsi="Times New Roman" w:cs="Times New Roman"/>
          <w:lang w:val="en-GB"/>
        </w:rPr>
        <w:t xml:space="preserve">which relates to a clearly defined legal requirement </w:t>
      </w:r>
      <w:r w:rsidR="00623003">
        <w:rPr>
          <w:rFonts w:ascii="Times New Roman" w:hAnsi="Times New Roman" w:cs="Times New Roman"/>
          <w:lang w:val="en-GB"/>
        </w:rPr>
        <w:t xml:space="preserve">is deleted. </w:t>
      </w:r>
    </w:p>
    <w:p w14:paraId="6F01F18C" w14:textId="260DF803" w:rsidR="00EE3E55" w:rsidRDefault="00D12853" w:rsidP="00B449D3">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lang w:val="en-GB"/>
        </w:rPr>
      </w:pPr>
      <w:r>
        <w:rPr>
          <w:rFonts w:ascii="Times New Roman" w:hAnsi="Times New Roman" w:cs="Times New Roman"/>
          <w:lang w:val="en-GB"/>
        </w:rPr>
        <w:t xml:space="preserve">The </w:t>
      </w:r>
      <w:r w:rsidR="00A44919">
        <w:rPr>
          <w:rFonts w:ascii="Times New Roman" w:hAnsi="Times New Roman" w:cs="Times New Roman"/>
          <w:lang w:val="en-GB"/>
        </w:rPr>
        <w:t>Council</w:t>
      </w:r>
      <w:r>
        <w:rPr>
          <w:rFonts w:ascii="Times New Roman" w:hAnsi="Times New Roman" w:cs="Times New Roman"/>
          <w:lang w:val="en-GB"/>
        </w:rPr>
        <w:t xml:space="preserve"> must amend p</w:t>
      </w:r>
      <w:r w:rsidR="00EE3E55">
        <w:rPr>
          <w:rFonts w:ascii="Times New Roman" w:hAnsi="Times New Roman" w:cs="Times New Roman"/>
          <w:lang w:val="en-GB"/>
        </w:rPr>
        <w:t>ara 8.29</w:t>
      </w:r>
      <w:r>
        <w:rPr>
          <w:rFonts w:ascii="Times New Roman" w:hAnsi="Times New Roman" w:cs="Times New Roman"/>
          <w:lang w:val="en-GB"/>
        </w:rPr>
        <w:t xml:space="preserve"> in the supporting text which </w:t>
      </w:r>
      <w:r w:rsidR="00A44919">
        <w:rPr>
          <w:rFonts w:ascii="Times New Roman" w:hAnsi="Times New Roman" w:cs="Times New Roman"/>
          <w:lang w:val="en-GB"/>
        </w:rPr>
        <w:t xml:space="preserve">appears to link the mitigation hierarchy to the delivery of biodiversity net gains. </w:t>
      </w:r>
      <w:r w:rsidR="008A14C9">
        <w:rPr>
          <w:rFonts w:ascii="Times New Roman" w:hAnsi="Times New Roman" w:cs="Times New Roman"/>
          <w:lang w:val="en-GB"/>
        </w:rPr>
        <w:t>Ther</w:t>
      </w:r>
      <w:r w:rsidR="00B9031A">
        <w:rPr>
          <w:rFonts w:ascii="Times New Roman" w:hAnsi="Times New Roman" w:cs="Times New Roman"/>
          <w:lang w:val="en-GB"/>
        </w:rPr>
        <w:t>e</w:t>
      </w:r>
      <w:r w:rsidR="008A14C9">
        <w:rPr>
          <w:rFonts w:ascii="Times New Roman" w:hAnsi="Times New Roman" w:cs="Times New Roman"/>
          <w:lang w:val="en-GB"/>
        </w:rPr>
        <w:t xml:space="preserve"> </w:t>
      </w:r>
      <w:r w:rsidR="00B9031A">
        <w:rPr>
          <w:rFonts w:ascii="Times New Roman" w:hAnsi="Times New Roman" w:cs="Times New Roman"/>
          <w:lang w:val="en-GB"/>
        </w:rPr>
        <w:t>is</w:t>
      </w:r>
      <w:r w:rsidR="008A14C9">
        <w:rPr>
          <w:rFonts w:ascii="Times New Roman" w:hAnsi="Times New Roman" w:cs="Times New Roman"/>
          <w:lang w:val="en-GB"/>
        </w:rPr>
        <w:t xml:space="preserve"> a clear distinction between the two</w:t>
      </w:r>
      <w:r w:rsidR="007C3E20" w:rsidRPr="007C3E20">
        <w:rPr>
          <w:rFonts w:ascii="Times New Roman" w:hAnsi="Times New Roman" w:cs="Times New Roman"/>
          <w:lang w:val="en-GB"/>
        </w:rPr>
        <w:t xml:space="preserve"> </w:t>
      </w:r>
      <w:r w:rsidR="007C3E20">
        <w:rPr>
          <w:rFonts w:ascii="Times New Roman" w:hAnsi="Times New Roman" w:cs="Times New Roman"/>
          <w:lang w:val="en-GB"/>
        </w:rPr>
        <w:t xml:space="preserve">which is set out in </w:t>
      </w:r>
      <w:r w:rsidR="007C3E20">
        <w:rPr>
          <w:rFonts w:ascii="Times New Roman" w:hAnsi="Times New Roman" w:cs="Times New Roman"/>
        </w:rPr>
        <w:t>paragraph</w:t>
      </w:r>
      <w:r w:rsidR="007C3E20" w:rsidRPr="007C3E20">
        <w:rPr>
          <w:rFonts w:ascii="Times New Roman" w:hAnsi="Times New Roman" w:cs="Times New Roman"/>
        </w:rPr>
        <w:t xml:space="preserve"> 74-008-20240214</w:t>
      </w:r>
      <w:r w:rsidR="007C3E20">
        <w:rPr>
          <w:rFonts w:ascii="Times New Roman" w:hAnsi="Times New Roman" w:cs="Times New Roman"/>
        </w:rPr>
        <w:t xml:space="preserve"> of PPG</w:t>
      </w:r>
      <w:r w:rsidR="00B9031A">
        <w:rPr>
          <w:rFonts w:ascii="Times New Roman" w:hAnsi="Times New Roman" w:cs="Times New Roman"/>
          <w:lang w:val="en-GB"/>
        </w:rPr>
        <w:t xml:space="preserve">. The mitigation hierarchy </w:t>
      </w:r>
      <w:r w:rsidR="00CA308D">
        <w:rPr>
          <w:rFonts w:ascii="Times New Roman" w:hAnsi="Times New Roman" w:cs="Times New Roman"/>
          <w:lang w:val="en-GB"/>
        </w:rPr>
        <w:t>outlines</w:t>
      </w:r>
      <w:r w:rsidR="00B9031A">
        <w:rPr>
          <w:rFonts w:ascii="Times New Roman" w:hAnsi="Times New Roman" w:cs="Times New Roman"/>
          <w:lang w:val="en-GB"/>
        </w:rPr>
        <w:t xml:space="preserve"> that harm to protected species and </w:t>
      </w:r>
      <w:r w:rsidR="00F02E94">
        <w:rPr>
          <w:rFonts w:ascii="Times New Roman" w:hAnsi="Times New Roman" w:cs="Times New Roman"/>
          <w:lang w:val="en-GB"/>
        </w:rPr>
        <w:t>habitat</w:t>
      </w:r>
      <w:r w:rsidR="00B9031A">
        <w:rPr>
          <w:rFonts w:ascii="Times New Roman" w:hAnsi="Times New Roman" w:cs="Times New Roman"/>
          <w:lang w:val="en-GB"/>
        </w:rPr>
        <w:t xml:space="preserve"> must be avoid and cannot be compensated. This is different </w:t>
      </w:r>
      <w:r w:rsidR="00CA308D">
        <w:rPr>
          <w:rFonts w:ascii="Times New Roman" w:hAnsi="Times New Roman" w:cs="Times New Roman"/>
          <w:lang w:val="en-GB"/>
        </w:rPr>
        <w:t>to</w:t>
      </w:r>
      <w:r w:rsidR="00B9031A">
        <w:rPr>
          <w:rFonts w:ascii="Times New Roman" w:hAnsi="Times New Roman" w:cs="Times New Roman"/>
          <w:lang w:val="en-GB"/>
        </w:rPr>
        <w:t xml:space="preserve"> the </w:t>
      </w:r>
      <w:r w:rsidR="00CA308D">
        <w:rPr>
          <w:rFonts w:ascii="Times New Roman" w:hAnsi="Times New Roman" w:cs="Times New Roman"/>
          <w:lang w:val="en-GB"/>
        </w:rPr>
        <w:t>Biodiversity</w:t>
      </w:r>
      <w:r w:rsidR="00B9031A">
        <w:rPr>
          <w:rFonts w:ascii="Times New Roman" w:hAnsi="Times New Roman" w:cs="Times New Roman"/>
          <w:lang w:val="en-GB"/>
        </w:rPr>
        <w:t xml:space="preserve"> Gain </w:t>
      </w:r>
      <w:r w:rsidR="00CA308D">
        <w:rPr>
          <w:rFonts w:ascii="Times New Roman" w:hAnsi="Times New Roman" w:cs="Times New Roman"/>
          <w:lang w:val="en-GB"/>
        </w:rPr>
        <w:t>Hierarchy</w:t>
      </w:r>
      <w:r w:rsidR="00B9031A">
        <w:rPr>
          <w:rFonts w:ascii="Times New Roman" w:hAnsi="Times New Roman" w:cs="Times New Roman"/>
          <w:lang w:val="en-GB"/>
        </w:rPr>
        <w:t xml:space="preserve"> </w:t>
      </w:r>
      <w:r w:rsidR="00CA308D">
        <w:rPr>
          <w:rFonts w:ascii="Times New Roman" w:hAnsi="Times New Roman" w:cs="Times New Roman"/>
          <w:lang w:val="en-GB"/>
        </w:rPr>
        <w:t>outlines</w:t>
      </w:r>
      <w:r w:rsidR="00C707B5">
        <w:rPr>
          <w:rFonts w:ascii="Times New Roman" w:hAnsi="Times New Roman" w:cs="Times New Roman"/>
          <w:lang w:val="en-GB"/>
        </w:rPr>
        <w:t xml:space="preserve"> that loss of </w:t>
      </w:r>
      <w:r w:rsidR="00CA308D">
        <w:rPr>
          <w:rFonts w:ascii="Times New Roman" w:hAnsi="Times New Roman" w:cs="Times New Roman"/>
          <w:lang w:val="en-GB"/>
        </w:rPr>
        <w:t xml:space="preserve">habitats </w:t>
      </w:r>
      <w:r w:rsidR="00C707B5">
        <w:rPr>
          <w:rFonts w:ascii="Times New Roman" w:hAnsi="Times New Roman" w:cs="Times New Roman"/>
          <w:lang w:val="en-GB"/>
        </w:rPr>
        <w:t>should at first</w:t>
      </w:r>
      <w:r w:rsidR="00F02E94">
        <w:rPr>
          <w:rFonts w:ascii="Times New Roman" w:hAnsi="Times New Roman" w:cs="Times New Roman"/>
          <w:lang w:val="en-GB"/>
        </w:rPr>
        <w:t xml:space="preserve"> </w:t>
      </w:r>
      <w:r w:rsidR="00C707B5">
        <w:rPr>
          <w:rFonts w:ascii="Times New Roman" w:hAnsi="Times New Roman" w:cs="Times New Roman"/>
          <w:lang w:val="en-GB"/>
        </w:rPr>
        <w:t xml:space="preserve">be avoid but if that is not possible </w:t>
      </w:r>
      <w:r w:rsidR="00CA308D">
        <w:rPr>
          <w:rFonts w:ascii="Times New Roman" w:hAnsi="Times New Roman" w:cs="Times New Roman"/>
          <w:lang w:val="en-GB"/>
        </w:rPr>
        <w:t xml:space="preserve">to mitigate for any </w:t>
      </w:r>
      <w:r w:rsidR="00F02E94">
        <w:rPr>
          <w:rFonts w:ascii="Times New Roman" w:hAnsi="Times New Roman" w:cs="Times New Roman"/>
          <w:lang w:val="en-GB"/>
        </w:rPr>
        <w:t>negative effects</w:t>
      </w:r>
      <w:r w:rsidR="00CA308D">
        <w:rPr>
          <w:rFonts w:ascii="Times New Roman" w:hAnsi="Times New Roman" w:cs="Times New Roman"/>
          <w:lang w:val="en-GB"/>
        </w:rPr>
        <w:t xml:space="preserve">. </w:t>
      </w:r>
      <w:r w:rsidR="005F49AB">
        <w:rPr>
          <w:rFonts w:ascii="Times New Roman" w:hAnsi="Times New Roman" w:cs="Times New Roman"/>
          <w:lang w:val="en-GB"/>
        </w:rPr>
        <w:t xml:space="preserve">As such it is important that the two are considered separately and that any harm to protected habitats and species is avoid. </w:t>
      </w:r>
    </w:p>
    <w:p w14:paraId="05F6724C" w14:textId="661AB493" w:rsidR="00B91953" w:rsidRDefault="00FC52BD" w:rsidP="00585F4B">
      <w:pPr>
        <w:spacing w:after="240" w:line="360" w:lineRule="auto"/>
        <w:rPr>
          <w:rFonts w:ascii="Times New Roman" w:hAnsi="Times New Roman" w:cs="Times New Roman"/>
          <w:b/>
          <w:bCs/>
        </w:rPr>
      </w:pPr>
      <w:r w:rsidRPr="00FC52BD">
        <w:rPr>
          <w:rFonts w:ascii="Times New Roman" w:hAnsi="Times New Roman" w:cs="Times New Roman"/>
          <w:b/>
          <w:bCs/>
        </w:rPr>
        <w:t>COM 01: Healthy Lifestyles</w:t>
      </w:r>
    </w:p>
    <w:p w14:paraId="1A530E95" w14:textId="22CDF914" w:rsidR="00A47EF1" w:rsidRDefault="00A21212" w:rsidP="002A2292">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lang w:val="en-GB"/>
        </w:rPr>
      </w:pPr>
      <w:r>
        <w:rPr>
          <w:rFonts w:ascii="Times New Roman" w:hAnsi="Times New Roman" w:cs="Times New Roman"/>
          <w:lang w:val="en-GB"/>
        </w:rPr>
        <w:t xml:space="preserve">HBF object to </w:t>
      </w:r>
      <w:r w:rsidR="009E6BD9">
        <w:rPr>
          <w:rFonts w:ascii="Times New Roman" w:hAnsi="Times New Roman" w:cs="Times New Roman"/>
          <w:lang w:val="en-GB"/>
        </w:rPr>
        <w:t xml:space="preserve">requirement that </w:t>
      </w:r>
      <w:r>
        <w:rPr>
          <w:rFonts w:ascii="Times New Roman" w:hAnsi="Times New Roman" w:cs="Times New Roman"/>
          <w:lang w:val="en-GB"/>
        </w:rPr>
        <w:t xml:space="preserve">health and social care partners </w:t>
      </w:r>
      <w:r w:rsidR="009E6BD9">
        <w:rPr>
          <w:rFonts w:ascii="Times New Roman" w:hAnsi="Times New Roman" w:cs="Times New Roman"/>
          <w:lang w:val="en-GB"/>
        </w:rPr>
        <w:t xml:space="preserve">are to be consulted </w:t>
      </w:r>
      <w:r w:rsidR="007E0124" w:rsidRPr="007E0124">
        <w:rPr>
          <w:rFonts w:ascii="Times New Roman" w:hAnsi="Times New Roman" w:cs="Times New Roman"/>
          <w:lang w:val="en-GB"/>
        </w:rPr>
        <w:t xml:space="preserve">on all planning applications for housing developments of 50 dwellings or more, and for </w:t>
      </w:r>
      <w:r w:rsidR="0017728A">
        <w:rPr>
          <w:rFonts w:ascii="Times New Roman" w:hAnsi="Times New Roman" w:cs="Times New Roman"/>
          <w:lang w:val="en-GB"/>
        </w:rPr>
        <w:t xml:space="preserve">all </w:t>
      </w:r>
      <w:r w:rsidR="007E0124" w:rsidRPr="007E0124">
        <w:rPr>
          <w:rFonts w:ascii="Times New Roman" w:hAnsi="Times New Roman" w:cs="Times New Roman"/>
          <w:lang w:val="en-GB"/>
        </w:rPr>
        <w:t xml:space="preserve">care homes, housing for the elderly, student accommodation and developments involving the loss of public open space. </w:t>
      </w:r>
      <w:r w:rsidR="0017728A">
        <w:rPr>
          <w:rFonts w:ascii="Times New Roman" w:hAnsi="Times New Roman" w:cs="Times New Roman"/>
          <w:lang w:val="en-GB"/>
        </w:rPr>
        <w:t xml:space="preserve">While such a </w:t>
      </w:r>
      <w:r w:rsidR="002B4A83">
        <w:rPr>
          <w:rFonts w:ascii="Times New Roman" w:hAnsi="Times New Roman" w:cs="Times New Roman"/>
          <w:lang w:val="en-GB"/>
        </w:rPr>
        <w:t>consultation might</w:t>
      </w:r>
      <w:r w:rsidR="0017728A">
        <w:rPr>
          <w:rFonts w:ascii="Times New Roman" w:hAnsi="Times New Roman" w:cs="Times New Roman"/>
          <w:lang w:val="en-GB"/>
        </w:rPr>
        <w:t xml:space="preserve"> be necessar</w:t>
      </w:r>
      <w:r w:rsidR="00BD6CB1">
        <w:rPr>
          <w:rFonts w:ascii="Times New Roman" w:hAnsi="Times New Roman" w:cs="Times New Roman"/>
          <w:lang w:val="en-GB"/>
        </w:rPr>
        <w:t xml:space="preserve">y where sites </w:t>
      </w:r>
      <w:r w:rsidR="00530F8F">
        <w:rPr>
          <w:rFonts w:ascii="Times New Roman" w:hAnsi="Times New Roman" w:cs="Times New Roman"/>
          <w:lang w:val="en-GB"/>
        </w:rPr>
        <w:t xml:space="preserve">are not allocated </w:t>
      </w:r>
      <w:r w:rsidR="00E46B2B">
        <w:rPr>
          <w:rFonts w:ascii="Times New Roman" w:hAnsi="Times New Roman" w:cs="Times New Roman"/>
          <w:lang w:val="en-GB"/>
        </w:rPr>
        <w:t>the</w:t>
      </w:r>
      <w:r w:rsidR="00530F8F">
        <w:rPr>
          <w:rFonts w:ascii="Times New Roman" w:hAnsi="Times New Roman" w:cs="Times New Roman"/>
          <w:lang w:val="en-GB"/>
        </w:rPr>
        <w:t xml:space="preserve"> local plan there is no need for such consultation </w:t>
      </w:r>
      <w:r w:rsidR="00E46B2B">
        <w:rPr>
          <w:rFonts w:ascii="Times New Roman" w:hAnsi="Times New Roman" w:cs="Times New Roman"/>
          <w:lang w:val="en-GB"/>
        </w:rPr>
        <w:t>with regard to allocated</w:t>
      </w:r>
      <w:r w:rsidR="00530F8F">
        <w:rPr>
          <w:rFonts w:ascii="Times New Roman" w:hAnsi="Times New Roman" w:cs="Times New Roman"/>
          <w:lang w:val="en-GB"/>
        </w:rPr>
        <w:t xml:space="preserve"> </w:t>
      </w:r>
      <w:r w:rsidR="00E46B2B">
        <w:rPr>
          <w:rFonts w:ascii="Times New Roman" w:hAnsi="Times New Roman" w:cs="Times New Roman"/>
          <w:lang w:val="en-GB"/>
        </w:rPr>
        <w:t>sites</w:t>
      </w:r>
      <w:r w:rsidR="00530F8F">
        <w:rPr>
          <w:rFonts w:ascii="Times New Roman" w:hAnsi="Times New Roman" w:cs="Times New Roman"/>
          <w:lang w:val="en-GB"/>
        </w:rPr>
        <w:t xml:space="preserve"> as </w:t>
      </w:r>
      <w:r w:rsidR="00E46B2B">
        <w:rPr>
          <w:rFonts w:ascii="Times New Roman" w:hAnsi="Times New Roman" w:cs="Times New Roman"/>
          <w:lang w:val="en-GB"/>
        </w:rPr>
        <w:t xml:space="preserve">given that the Council </w:t>
      </w:r>
      <w:r w:rsidR="00AE5516">
        <w:rPr>
          <w:rFonts w:ascii="Times New Roman" w:hAnsi="Times New Roman" w:cs="Times New Roman"/>
          <w:lang w:val="en-GB"/>
        </w:rPr>
        <w:t xml:space="preserve">should have undertaken the </w:t>
      </w:r>
      <w:r w:rsidR="00344347">
        <w:rPr>
          <w:rFonts w:ascii="Times New Roman" w:hAnsi="Times New Roman" w:cs="Times New Roman"/>
          <w:lang w:val="en-GB"/>
        </w:rPr>
        <w:t>necessary</w:t>
      </w:r>
      <w:r w:rsidR="00AE5516">
        <w:rPr>
          <w:rFonts w:ascii="Times New Roman" w:hAnsi="Times New Roman" w:cs="Times New Roman"/>
          <w:lang w:val="en-GB"/>
        </w:rPr>
        <w:t xml:space="preserve"> consultation as part of the </w:t>
      </w:r>
      <w:r w:rsidR="00344347">
        <w:rPr>
          <w:rFonts w:ascii="Times New Roman" w:hAnsi="Times New Roman" w:cs="Times New Roman"/>
          <w:lang w:val="en-GB"/>
        </w:rPr>
        <w:t xml:space="preserve">plan </w:t>
      </w:r>
      <w:r w:rsidR="00AE5516">
        <w:rPr>
          <w:rFonts w:ascii="Times New Roman" w:hAnsi="Times New Roman" w:cs="Times New Roman"/>
          <w:lang w:val="en-GB"/>
        </w:rPr>
        <w:t>making process</w:t>
      </w:r>
      <w:r w:rsidR="00344347">
        <w:rPr>
          <w:rFonts w:ascii="Times New Roman" w:hAnsi="Times New Roman" w:cs="Times New Roman"/>
          <w:lang w:val="en-GB"/>
        </w:rPr>
        <w:t xml:space="preserve">. Through this </w:t>
      </w:r>
      <w:r w:rsidR="009C5D86">
        <w:rPr>
          <w:rFonts w:ascii="Times New Roman" w:hAnsi="Times New Roman" w:cs="Times New Roman"/>
          <w:lang w:val="en-GB"/>
        </w:rPr>
        <w:t>consultation</w:t>
      </w:r>
      <w:r w:rsidR="00344347">
        <w:rPr>
          <w:rFonts w:ascii="Times New Roman" w:hAnsi="Times New Roman" w:cs="Times New Roman"/>
          <w:lang w:val="en-GB"/>
        </w:rPr>
        <w:t xml:space="preserve"> the Council should ensure that </w:t>
      </w:r>
      <w:r w:rsidR="009C5D86">
        <w:rPr>
          <w:rFonts w:ascii="Times New Roman" w:hAnsi="Times New Roman" w:cs="Times New Roman"/>
          <w:lang w:val="en-GB"/>
        </w:rPr>
        <w:t xml:space="preserve">the development being proposed </w:t>
      </w:r>
      <w:r w:rsidR="002B4A83">
        <w:rPr>
          <w:rFonts w:ascii="Times New Roman" w:hAnsi="Times New Roman" w:cs="Times New Roman"/>
          <w:lang w:val="en-GB"/>
        </w:rPr>
        <w:t xml:space="preserve">and meeting the policy requirements in plan will </w:t>
      </w:r>
      <w:r w:rsidR="009C5D86">
        <w:rPr>
          <w:rFonts w:ascii="Times New Roman" w:hAnsi="Times New Roman" w:cs="Times New Roman"/>
          <w:lang w:val="en-GB"/>
        </w:rPr>
        <w:t xml:space="preserve">contribute positively to the health and wellbeing of the borough without further engagement.  </w:t>
      </w:r>
      <w:r w:rsidR="002B4A83">
        <w:rPr>
          <w:rFonts w:ascii="Times New Roman" w:hAnsi="Times New Roman" w:cs="Times New Roman"/>
          <w:lang w:val="en-GB"/>
        </w:rPr>
        <w:t xml:space="preserve">Given that the Government are seeking to reduce the number of </w:t>
      </w:r>
      <w:r w:rsidR="000408DD">
        <w:rPr>
          <w:rFonts w:ascii="Times New Roman" w:hAnsi="Times New Roman" w:cs="Times New Roman"/>
          <w:lang w:val="en-GB"/>
        </w:rPr>
        <w:t>statutory</w:t>
      </w:r>
      <w:r w:rsidR="002B4A83">
        <w:rPr>
          <w:rFonts w:ascii="Times New Roman" w:hAnsi="Times New Roman" w:cs="Times New Roman"/>
          <w:lang w:val="en-GB"/>
        </w:rPr>
        <w:t xml:space="preserve"> consultees in order t</w:t>
      </w:r>
      <w:r w:rsidR="009B6E7C">
        <w:rPr>
          <w:rFonts w:ascii="Times New Roman" w:hAnsi="Times New Roman" w:cs="Times New Roman"/>
          <w:lang w:val="en-GB"/>
        </w:rPr>
        <w:t xml:space="preserve">o speed up </w:t>
      </w:r>
      <w:r w:rsidR="000408DD">
        <w:rPr>
          <w:rFonts w:ascii="Times New Roman" w:hAnsi="Times New Roman" w:cs="Times New Roman"/>
          <w:lang w:val="en-GB"/>
        </w:rPr>
        <w:t>decision</w:t>
      </w:r>
      <w:r w:rsidR="009B6E7C">
        <w:rPr>
          <w:rFonts w:ascii="Times New Roman" w:hAnsi="Times New Roman" w:cs="Times New Roman"/>
          <w:lang w:val="en-GB"/>
        </w:rPr>
        <w:t xml:space="preserve"> making on planning applications placing additional requirements </w:t>
      </w:r>
      <w:r w:rsidR="000408DD">
        <w:rPr>
          <w:rFonts w:ascii="Times New Roman" w:hAnsi="Times New Roman" w:cs="Times New Roman"/>
          <w:lang w:val="en-GB"/>
        </w:rPr>
        <w:t>is not considered to be necessary or sound.</w:t>
      </w:r>
      <w:r w:rsidR="00DA4E08">
        <w:rPr>
          <w:rFonts w:ascii="Times New Roman" w:hAnsi="Times New Roman" w:cs="Times New Roman"/>
          <w:lang w:val="en-GB"/>
        </w:rPr>
        <w:t xml:space="preserve"> HJBF </w:t>
      </w:r>
      <w:r w:rsidR="00AF0EF2">
        <w:rPr>
          <w:rFonts w:ascii="Times New Roman" w:hAnsi="Times New Roman" w:cs="Times New Roman"/>
          <w:lang w:val="en-GB"/>
        </w:rPr>
        <w:t>suggest</w:t>
      </w:r>
      <w:r w:rsidR="00DA4E08">
        <w:rPr>
          <w:rFonts w:ascii="Times New Roman" w:hAnsi="Times New Roman" w:cs="Times New Roman"/>
          <w:lang w:val="en-GB"/>
        </w:rPr>
        <w:t xml:space="preserve"> </w:t>
      </w:r>
      <w:r w:rsidR="00AF0EF2">
        <w:rPr>
          <w:rFonts w:ascii="Times New Roman" w:hAnsi="Times New Roman" w:cs="Times New Roman"/>
          <w:lang w:val="en-GB"/>
        </w:rPr>
        <w:t>the</w:t>
      </w:r>
      <w:r w:rsidR="00DA4E08">
        <w:rPr>
          <w:rFonts w:ascii="Times New Roman" w:hAnsi="Times New Roman" w:cs="Times New Roman"/>
          <w:lang w:val="en-GB"/>
        </w:rPr>
        <w:t xml:space="preserve"> following amendment:</w:t>
      </w:r>
    </w:p>
    <w:p w14:paraId="71FC5ABE" w14:textId="409676D3" w:rsidR="00DA4E08" w:rsidRDefault="00DA4E08" w:rsidP="00DA4E08">
      <w:pPr>
        <w:pStyle w:val="ListParagraph"/>
        <w:widowControl/>
        <w:suppressAutoHyphens w:val="0"/>
        <w:autoSpaceDE/>
        <w:spacing w:after="240" w:line="360" w:lineRule="auto"/>
        <w:ind w:left="426"/>
        <w:jc w:val="both"/>
        <w:rPr>
          <w:rFonts w:ascii="Times New Roman" w:hAnsi="Times New Roman" w:cs="Times New Roman"/>
          <w:lang w:val="en-GB"/>
        </w:rPr>
      </w:pPr>
      <w:r>
        <w:rPr>
          <w:rFonts w:ascii="Times New Roman" w:hAnsi="Times New Roman" w:cs="Times New Roman"/>
          <w:lang w:val="en-GB"/>
        </w:rPr>
        <w:t>“</w:t>
      </w:r>
      <w:r w:rsidRPr="00AF0EF2">
        <w:rPr>
          <w:rFonts w:ascii="Times New Roman" w:hAnsi="Times New Roman" w:cs="Times New Roman"/>
          <w:i/>
          <w:iCs/>
          <w:lang w:val="en-GB"/>
        </w:rPr>
        <w:t>Health and Social care partners and Public Health are to be consulted on all planning applications for housing developments of 50 dwellings or more, and for care homes, housing for the elderly, student accommodation and developments involving the loss of public open space</w:t>
      </w:r>
      <w:r w:rsidR="00D120EA" w:rsidRPr="00AF0EF2">
        <w:rPr>
          <w:rFonts w:ascii="Times New Roman" w:hAnsi="Times New Roman" w:cs="Times New Roman"/>
          <w:i/>
          <w:iCs/>
          <w:lang w:val="en-GB"/>
        </w:rPr>
        <w:t>,</w:t>
      </w:r>
      <w:r w:rsidR="00AF0EF2" w:rsidRPr="00AF0EF2">
        <w:rPr>
          <w:rFonts w:ascii="Times New Roman" w:hAnsi="Times New Roman" w:cs="Times New Roman"/>
          <w:i/>
          <w:iCs/>
          <w:lang w:val="en-GB"/>
        </w:rPr>
        <w:t xml:space="preserve"> </w:t>
      </w:r>
      <w:r w:rsidR="00AF0EF2" w:rsidRPr="00AF0EF2">
        <w:rPr>
          <w:rFonts w:ascii="Times New Roman" w:hAnsi="Times New Roman" w:cs="Times New Roman"/>
          <w:i/>
          <w:iCs/>
          <w:u w:val="single"/>
          <w:lang w:val="en-GB"/>
        </w:rPr>
        <w:t>and</w:t>
      </w:r>
      <w:r w:rsidR="00D120EA" w:rsidRPr="00AF0EF2">
        <w:rPr>
          <w:rFonts w:ascii="Times New Roman" w:hAnsi="Times New Roman" w:cs="Times New Roman"/>
          <w:i/>
          <w:iCs/>
          <w:u w:val="single"/>
          <w:lang w:val="en-GB"/>
        </w:rPr>
        <w:t xml:space="preserve"> where these</w:t>
      </w:r>
      <w:r w:rsidR="00AF0EF2" w:rsidRPr="00AF0EF2">
        <w:rPr>
          <w:rFonts w:ascii="Times New Roman" w:hAnsi="Times New Roman" w:cs="Times New Roman"/>
          <w:i/>
          <w:iCs/>
          <w:u w:val="single"/>
          <w:lang w:val="en-GB"/>
        </w:rPr>
        <w:t xml:space="preserve"> are not identified in the local plan</w:t>
      </w:r>
      <w:r w:rsidR="00AF0EF2">
        <w:rPr>
          <w:rFonts w:ascii="Times New Roman" w:hAnsi="Times New Roman" w:cs="Times New Roman"/>
          <w:lang w:val="en-GB"/>
        </w:rPr>
        <w:t>”</w:t>
      </w:r>
      <w:r w:rsidRPr="00DA4E08">
        <w:rPr>
          <w:rFonts w:ascii="Times New Roman" w:hAnsi="Times New Roman" w:cs="Times New Roman"/>
          <w:lang w:val="en-GB"/>
        </w:rPr>
        <w:t>.</w:t>
      </w:r>
    </w:p>
    <w:p w14:paraId="387DE86F" w14:textId="1491C53E" w:rsidR="007E0124" w:rsidRDefault="003A002E" w:rsidP="00585F4B">
      <w:pPr>
        <w:spacing w:after="240" w:line="360" w:lineRule="auto"/>
        <w:rPr>
          <w:rFonts w:ascii="Times New Roman" w:hAnsi="Times New Roman" w:cs="Times New Roman"/>
          <w:b/>
          <w:bCs/>
          <w:lang w:val="en-GB"/>
        </w:rPr>
      </w:pPr>
      <w:r w:rsidRPr="003A002E">
        <w:rPr>
          <w:rFonts w:ascii="Times New Roman" w:hAnsi="Times New Roman" w:cs="Times New Roman"/>
          <w:b/>
          <w:bCs/>
          <w:lang w:val="en-GB"/>
        </w:rPr>
        <w:t>COM 02: New Development and Health Impacts</w:t>
      </w:r>
    </w:p>
    <w:p w14:paraId="17FE608C" w14:textId="4E320A3A" w:rsidR="003A002E" w:rsidRDefault="00C64E03" w:rsidP="002A2292">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lang w:val="en-GB"/>
        </w:rPr>
      </w:pPr>
      <w:r>
        <w:rPr>
          <w:rFonts w:ascii="Times New Roman" w:hAnsi="Times New Roman" w:cs="Times New Roman"/>
          <w:lang w:val="en-GB"/>
        </w:rPr>
        <w:t>This</w:t>
      </w:r>
      <w:r w:rsidR="003B054F">
        <w:rPr>
          <w:rFonts w:ascii="Times New Roman" w:hAnsi="Times New Roman" w:cs="Times New Roman"/>
          <w:lang w:val="en-GB"/>
        </w:rPr>
        <w:t xml:space="preserve"> policy</w:t>
      </w:r>
      <w:r>
        <w:rPr>
          <w:rFonts w:ascii="Times New Roman" w:hAnsi="Times New Roman" w:cs="Times New Roman"/>
          <w:lang w:val="en-GB"/>
        </w:rPr>
        <w:t xml:space="preserve"> requires a Health Impact Assessment </w:t>
      </w:r>
      <w:r w:rsidR="0029231B">
        <w:rPr>
          <w:rFonts w:ascii="Times New Roman" w:hAnsi="Times New Roman" w:cs="Times New Roman"/>
          <w:lang w:val="en-GB"/>
        </w:rPr>
        <w:t xml:space="preserve">(HIA) </w:t>
      </w:r>
      <w:r>
        <w:rPr>
          <w:rFonts w:ascii="Times New Roman" w:hAnsi="Times New Roman" w:cs="Times New Roman"/>
          <w:lang w:val="en-GB"/>
        </w:rPr>
        <w:t xml:space="preserve">where the </w:t>
      </w:r>
      <w:r w:rsidR="003B054F">
        <w:rPr>
          <w:rFonts w:ascii="Times New Roman" w:hAnsi="Times New Roman" w:cs="Times New Roman"/>
          <w:lang w:val="en-GB"/>
        </w:rPr>
        <w:t>council</w:t>
      </w:r>
      <w:r>
        <w:rPr>
          <w:rFonts w:ascii="Times New Roman" w:hAnsi="Times New Roman" w:cs="Times New Roman"/>
          <w:lang w:val="en-GB"/>
        </w:rPr>
        <w:t xml:space="preserve"> </w:t>
      </w:r>
      <w:r w:rsidR="003B054F">
        <w:rPr>
          <w:rFonts w:ascii="Times New Roman" w:hAnsi="Times New Roman" w:cs="Times New Roman"/>
          <w:lang w:val="en-GB"/>
        </w:rPr>
        <w:t>considers</w:t>
      </w:r>
      <w:r>
        <w:rPr>
          <w:rFonts w:ascii="Times New Roman" w:hAnsi="Times New Roman" w:cs="Times New Roman"/>
          <w:lang w:val="en-GB"/>
        </w:rPr>
        <w:t xml:space="preserve"> there are likely to be clear </w:t>
      </w:r>
      <w:r w:rsidR="003B054F">
        <w:rPr>
          <w:rFonts w:ascii="Times New Roman" w:hAnsi="Times New Roman" w:cs="Times New Roman"/>
          <w:lang w:val="en-GB"/>
        </w:rPr>
        <w:t>health implications.</w:t>
      </w:r>
      <w:r w:rsidR="0029231B">
        <w:rPr>
          <w:rFonts w:ascii="Times New Roman" w:hAnsi="Times New Roman" w:cs="Times New Roman"/>
          <w:lang w:val="en-GB"/>
        </w:rPr>
        <w:t xml:space="preserve"> As set out above HBF does not </w:t>
      </w:r>
      <w:r w:rsidR="008D60A9">
        <w:rPr>
          <w:rFonts w:ascii="Times New Roman" w:hAnsi="Times New Roman" w:cs="Times New Roman"/>
          <w:lang w:val="en-GB"/>
        </w:rPr>
        <w:t>consider this to</w:t>
      </w:r>
      <w:r w:rsidR="0029231B">
        <w:rPr>
          <w:rFonts w:ascii="Times New Roman" w:hAnsi="Times New Roman" w:cs="Times New Roman"/>
          <w:lang w:val="en-GB"/>
        </w:rPr>
        <w:t xml:space="preserve"> be necessary for sites that are allocated in </w:t>
      </w:r>
      <w:r w:rsidR="008D60A9">
        <w:rPr>
          <w:rFonts w:ascii="Times New Roman" w:hAnsi="Times New Roman" w:cs="Times New Roman"/>
          <w:lang w:val="en-GB"/>
        </w:rPr>
        <w:t>the</w:t>
      </w:r>
      <w:r w:rsidR="0029231B">
        <w:rPr>
          <w:rFonts w:ascii="Times New Roman" w:hAnsi="Times New Roman" w:cs="Times New Roman"/>
          <w:lang w:val="en-GB"/>
        </w:rPr>
        <w:t xml:space="preserve"> local plan and where the health implications have already been considered</w:t>
      </w:r>
      <w:r w:rsidR="008D60A9">
        <w:rPr>
          <w:rFonts w:ascii="Times New Roman" w:hAnsi="Times New Roman" w:cs="Times New Roman"/>
          <w:lang w:val="en-GB"/>
        </w:rPr>
        <w:t xml:space="preserve"> as part of the plan making process. Where sites allocated for development are </w:t>
      </w:r>
      <w:r w:rsidR="0073652E">
        <w:rPr>
          <w:rFonts w:ascii="Times New Roman" w:hAnsi="Times New Roman" w:cs="Times New Roman"/>
          <w:lang w:val="en-GB"/>
        </w:rPr>
        <w:t>consistent</w:t>
      </w:r>
      <w:r w:rsidR="008D60A9">
        <w:rPr>
          <w:rFonts w:ascii="Times New Roman" w:hAnsi="Times New Roman" w:cs="Times New Roman"/>
          <w:lang w:val="en-GB"/>
        </w:rPr>
        <w:t xml:space="preserve"> with </w:t>
      </w:r>
      <w:r w:rsidR="0073652E">
        <w:rPr>
          <w:rFonts w:ascii="Times New Roman" w:hAnsi="Times New Roman" w:cs="Times New Roman"/>
          <w:lang w:val="en-GB"/>
        </w:rPr>
        <w:t xml:space="preserve">the policies in the local plan the council should be clear that an HIA is not required. </w:t>
      </w:r>
    </w:p>
    <w:p w14:paraId="7C03A1E2" w14:textId="43189233" w:rsidR="00F0430A" w:rsidRDefault="00F0430A" w:rsidP="00F0430A">
      <w:pPr>
        <w:spacing w:after="240" w:line="360" w:lineRule="auto"/>
        <w:rPr>
          <w:rFonts w:ascii="Arial" w:hAnsi="Arial" w:cs="Arial"/>
          <w:b/>
        </w:rPr>
      </w:pPr>
      <w:r>
        <w:rPr>
          <w:rFonts w:ascii="Arial" w:hAnsi="Arial" w:cs="Arial"/>
          <w:b/>
        </w:rPr>
        <w:t>Future Engagement</w:t>
      </w:r>
    </w:p>
    <w:p w14:paraId="32666532" w14:textId="77777777" w:rsidR="00F0430A" w:rsidRDefault="00F0430A" w:rsidP="00F0430A">
      <w:pPr>
        <w:pStyle w:val="ListParagraph"/>
        <w:widowControl/>
        <w:numPr>
          <w:ilvl w:val="0"/>
          <w:numId w:val="2"/>
        </w:numPr>
        <w:suppressAutoHyphens w:val="0"/>
        <w:autoSpaceDE/>
        <w:spacing w:after="240" w:line="360" w:lineRule="auto"/>
        <w:ind w:left="426" w:hanging="426"/>
        <w:jc w:val="both"/>
        <w:rPr>
          <w:rFonts w:ascii="Times New Roman" w:hAnsi="Times New Roman" w:cs="Times New Roman"/>
          <w:bCs/>
        </w:rPr>
      </w:pPr>
      <w:r>
        <w:rPr>
          <w:rFonts w:ascii="Times New Roman" w:hAnsi="Times New Roman" w:cs="Times New Roman"/>
          <w:bCs/>
        </w:rPr>
        <w:t xml:space="preserve">I trust that the </w:t>
      </w:r>
      <w:r w:rsidRPr="002A2292">
        <w:rPr>
          <w:rFonts w:ascii="Times New Roman" w:hAnsi="Times New Roman" w:cs="Times New Roman"/>
          <w:lang w:val="en-GB"/>
        </w:rPr>
        <w:t>Council</w:t>
      </w:r>
      <w:r>
        <w:rPr>
          <w:rFonts w:ascii="Times New Roman" w:hAnsi="Times New Roman" w:cs="Times New Roman"/>
          <w:bCs/>
        </w:rPr>
        <w:t xml:space="preserve"> will find these comments useful as it continues to progress its Local Plan. I would be happy to discuss these issues in greater detail or assist in facilitating discussions with the wider housebuilding industry.</w:t>
      </w:r>
    </w:p>
    <w:p w14:paraId="1D450004" w14:textId="77777777" w:rsidR="00F0430A" w:rsidRDefault="00F0430A" w:rsidP="0043348C">
      <w:pPr>
        <w:pStyle w:val="ListParagraph"/>
        <w:widowControl/>
        <w:numPr>
          <w:ilvl w:val="0"/>
          <w:numId w:val="2"/>
        </w:numPr>
        <w:tabs>
          <w:tab w:val="left" w:pos="2268"/>
        </w:tabs>
        <w:suppressAutoHyphens w:val="0"/>
        <w:autoSpaceDE/>
        <w:spacing w:after="240" w:line="360" w:lineRule="auto"/>
        <w:ind w:left="426" w:hanging="426"/>
        <w:jc w:val="both"/>
        <w:rPr>
          <w:rFonts w:ascii="Times New Roman" w:hAnsi="Times New Roman" w:cs="Times New Roman"/>
          <w:bCs/>
        </w:rPr>
      </w:pPr>
      <w:r>
        <w:rPr>
          <w:rFonts w:ascii="Times New Roman" w:hAnsi="Times New Roman" w:cs="Times New Roman"/>
          <w:bCs/>
        </w:rPr>
        <w:lastRenderedPageBreak/>
        <w:t>The HBF would like to be kept informed of all forthcoming consultations upon the Local Plan and associated documents. Please use the contact details provided below for future correspondence.</w:t>
      </w:r>
    </w:p>
    <w:p w14:paraId="08C53D08" w14:textId="77777777" w:rsidR="0028345D" w:rsidRPr="004612EA" w:rsidRDefault="0028345D" w:rsidP="00C411E9">
      <w:pPr>
        <w:pStyle w:val="ListParagraph"/>
        <w:spacing w:line="360" w:lineRule="auto"/>
        <w:ind w:left="426"/>
        <w:rPr>
          <w:rFonts w:ascii="Times New Roman" w:hAnsi="Times New Roman" w:cs="Times New Roman"/>
          <w:b/>
        </w:rPr>
      </w:pPr>
    </w:p>
    <w:p w14:paraId="11C30352" w14:textId="77777777" w:rsidR="0028345D" w:rsidRPr="004612EA" w:rsidRDefault="0028345D" w:rsidP="00C411E9">
      <w:pPr>
        <w:spacing w:line="360" w:lineRule="auto"/>
        <w:rPr>
          <w:rFonts w:ascii="Times New Roman" w:hAnsi="Times New Roman" w:cs="Times New Roman"/>
          <w:b/>
        </w:rPr>
      </w:pPr>
    </w:p>
    <w:p w14:paraId="01632919" w14:textId="77777777" w:rsidR="0028345D" w:rsidRPr="004612EA" w:rsidRDefault="0028345D" w:rsidP="00C411E9">
      <w:pPr>
        <w:spacing w:line="360" w:lineRule="auto"/>
        <w:jc w:val="both"/>
        <w:rPr>
          <w:rFonts w:ascii="Times New Roman" w:hAnsi="Times New Roman" w:cs="Times New Roman"/>
        </w:rPr>
      </w:pPr>
      <w:r w:rsidRPr="004612EA">
        <w:rPr>
          <w:rFonts w:ascii="Times New Roman" w:hAnsi="Times New Roman" w:cs="Times New Roman"/>
        </w:rPr>
        <w:t>Yours sincerely,</w:t>
      </w:r>
    </w:p>
    <w:p w14:paraId="542C626C" w14:textId="03D677E5" w:rsidR="0028345D" w:rsidRPr="004612EA" w:rsidRDefault="00C411E9" w:rsidP="00C411E9">
      <w:pPr>
        <w:spacing w:line="360" w:lineRule="auto"/>
        <w:jc w:val="both"/>
        <w:rPr>
          <w:rFonts w:ascii="Times New Roman" w:hAnsi="Times New Roman" w:cs="Times New Roman"/>
        </w:rPr>
      </w:pPr>
      <w:r>
        <w:rPr>
          <w:noProof/>
        </w:rPr>
        <w:drawing>
          <wp:inline distT="0" distB="0" distL="0" distR="0" wp14:anchorId="55C24A28" wp14:editId="5B644039">
            <wp:extent cx="1823085" cy="688975"/>
            <wp:effectExtent l="0" t="0" r="5715" b="0"/>
            <wp:docPr id="4" name="Picture 1" descr="A signatur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descr="A signature on a white background&#10;&#10;AI-generated content may be incorrect."/>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23085" cy="688975"/>
                    </a:xfrm>
                    <a:prstGeom prst="rect">
                      <a:avLst/>
                    </a:prstGeom>
                    <a:noFill/>
                  </pic:spPr>
                </pic:pic>
              </a:graphicData>
            </a:graphic>
          </wp:inline>
        </w:drawing>
      </w:r>
    </w:p>
    <w:p w14:paraId="45C8A7DF" w14:textId="60D844CC" w:rsidR="0028345D" w:rsidRPr="004612EA" w:rsidRDefault="000D7947" w:rsidP="00C411E9">
      <w:pPr>
        <w:spacing w:line="360" w:lineRule="auto"/>
        <w:rPr>
          <w:rFonts w:ascii="Times New Roman" w:hAnsi="Times New Roman" w:cs="Times New Roman"/>
          <w:b/>
        </w:rPr>
      </w:pPr>
      <w:r w:rsidRPr="004612EA">
        <w:rPr>
          <w:rFonts w:ascii="Times New Roman" w:hAnsi="Times New Roman" w:cs="Times New Roman"/>
          <w:b/>
        </w:rPr>
        <w:t>Mark Behrendt</w:t>
      </w:r>
    </w:p>
    <w:p w14:paraId="3DDCE4C3" w14:textId="566E8E4B" w:rsidR="0028345D" w:rsidRPr="004612EA" w:rsidRDefault="000D7947" w:rsidP="00C411E9">
      <w:pPr>
        <w:spacing w:line="360" w:lineRule="auto"/>
        <w:rPr>
          <w:rFonts w:ascii="Times New Roman" w:hAnsi="Times New Roman" w:cs="Times New Roman"/>
          <w:b/>
        </w:rPr>
      </w:pPr>
      <w:r w:rsidRPr="004612EA">
        <w:rPr>
          <w:rFonts w:ascii="Times New Roman" w:hAnsi="Times New Roman" w:cs="Times New Roman"/>
          <w:b/>
        </w:rPr>
        <w:t xml:space="preserve">Regional </w:t>
      </w:r>
      <w:r w:rsidR="0028345D" w:rsidRPr="004612EA">
        <w:rPr>
          <w:rFonts w:ascii="Times New Roman" w:hAnsi="Times New Roman" w:cs="Times New Roman"/>
          <w:b/>
        </w:rPr>
        <w:t xml:space="preserve">Planning Manager – </w:t>
      </w:r>
      <w:r w:rsidRPr="004612EA">
        <w:rPr>
          <w:rFonts w:ascii="Times New Roman" w:hAnsi="Times New Roman" w:cs="Times New Roman"/>
          <w:b/>
        </w:rPr>
        <w:t>SE and E</w:t>
      </w:r>
    </w:p>
    <w:p w14:paraId="5E40E301" w14:textId="42DC2727" w:rsidR="0028345D" w:rsidRPr="004612EA" w:rsidRDefault="0028345D" w:rsidP="00C411E9">
      <w:pPr>
        <w:spacing w:line="360" w:lineRule="auto"/>
        <w:rPr>
          <w:rFonts w:ascii="Times New Roman" w:hAnsi="Times New Roman" w:cs="Times New Roman"/>
        </w:rPr>
      </w:pPr>
      <w:r w:rsidRPr="004612EA">
        <w:rPr>
          <w:rFonts w:ascii="Times New Roman" w:hAnsi="Times New Roman" w:cs="Times New Roman"/>
        </w:rPr>
        <w:t xml:space="preserve">Email: </w:t>
      </w:r>
      <w:r w:rsidR="000D7947" w:rsidRPr="004612EA">
        <w:rPr>
          <w:rFonts w:ascii="Times New Roman" w:hAnsi="Times New Roman" w:cs="Times New Roman"/>
        </w:rPr>
        <w:t>mark.behrendt@hbf.co.uk</w:t>
      </w:r>
    </w:p>
    <w:p w14:paraId="7A519937" w14:textId="3E7913DB" w:rsidR="0028345D" w:rsidRPr="004612EA" w:rsidRDefault="0028345D" w:rsidP="00C411E9">
      <w:pPr>
        <w:spacing w:line="360" w:lineRule="auto"/>
        <w:rPr>
          <w:rFonts w:ascii="Times New Roman" w:hAnsi="Times New Roman" w:cs="Times New Roman"/>
        </w:rPr>
      </w:pPr>
      <w:r w:rsidRPr="004612EA">
        <w:rPr>
          <w:rFonts w:ascii="Times New Roman" w:hAnsi="Times New Roman" w:cs="Times New Roman"/>
        </w:rPr>
        <w:t xml:space="preserve">Phone: </w:t>
      </w:r>
      <w:r w:rsidR="000D7947" w:rsidRPr="004612EA">
        <w:rPr>
          <w:rFonts w:ascii="Times New Roman" w:hAnsi="Times New Roman" w:cs="Times New Roman"/>
        </w:rPr>
        <w:t>07867415547</w:t>
      </w:r>
    </w:p>
    <w:p w14:paraId="0A209BA6" w14:textId="77777777" w:rsidR="00BC62DD" w:rsidRDefault="00BC62DD" w:rsidP="0043348C">
      <w:pPr>
        <w:tabs>
          <w:tab w:val="left" w:pos="426"/>
          <w:tab w:val="left" w:pos="2380"/>
        </w:tabs>
        <w:rPr>
          <w:rFonts w:ascii="Times New Roman" w:hAnsi="Times New Roman" w:cs="Times New Roman"/>
          <w:bCs/>
        </w:rPr>
        <w:sectPr w:rsidR="00BC62DD" w:rsidSect="009A7C8D">
          <w:footerReference w:type="default" r:id="rId12"/>
          <w:headerReference w:type="first" r:id="rId13"/>
          <w:footerReference w:type="first" r:id="rId14"/>
          <w:pgSz w:w="13090" w:h="18020"/>
          <w:pgMar w:top="1440" w:right="1440" w:bottom="1440" w:left="1440" w:header="0" w:footer="393" w:gutter="0"/>
          <w:pgNumType w:start="1"/>
          <w:cols w:space="720"/>
          <w:titlePg/>
          <w:docGrid w:linePitch="299"/>
        </w:sectPr>
      </w:pPr>
    </w:p>
    <w:p w14:paraId="276FDCDA" w14:textId="77777777" w:rsidR="0028345D" w:rsidRPr="0043348C" w:rsidRDefault="0028345D" w:rsidP="0043348C">
      <w:pPr>
        <w:tabs>
          <w:tab w:val="left" w:pos="426"/>
          <w:tab w:val="left" w:pos="2380"/>
        </w:tabs>
        <w:rPr>
          <w:rFonts w:ascii="Times New Roman" w:hAnsi="Times New Roman" w:cs="Times New Roman"/>
          <w:bCs/>
        </w:rPr>
      </w:pPr>
    </w:p>
    <w:p w14:paraId="271F3E21" w14:textId="77777777" w:rsidR="003205C3" w:rsidRPr="0043348C" w:rsidRDefault="003205C3">
      <w:pPr>
        <w:pStyle w:val="BodyText"/>
        <w:rPr>
          <w:rFonts w:ascii="Times New Roman" w:hAnsi="Times New Roman" w:cs="Times New Roman"/>
          <w:bCs/>
          <w:sz w:val="22"/>
          <w:szCs w:val="22"/>
        </w:rPr>
      </w:pPr>
    </w:p>
    <w:p w14:paraId="271F3E22" w14:textId="77777777" w:rsidR="003205C3" w:rsidRPr="0043348C" w:rsidRDefault="003205C3" w:rsidP="00527E57">
      <w:pPr>
        <w:tabs>
          <w:tab w:val="left" w:pos="426"/>
          <w:tab w:val="left" w:pos="2380"/>
        </w:tabs>
        <w:rPr>
          <w:rFonts w:ascii="Times New Roman" w:hAnsi="Times New Roman" w:cs="Times New Roman"/>
          <w:bCs/>
        </w:rPr>
      </w:pPr>
    </w:p>
    <w:p w14:paraId="271F3E58" w14:textId="1BF01850" w:rsidR="003205C3" w:rsidRPr="0043348C" w:rsidRDefault="003205C3" w:rsidP="00527E57">
      <w:pPr>
        <w:tabs>
          <w:tab w:val="left" w:pos="426"/>
          <w:tab w:val="left" w:pos="2380"/>
        </w:tabs>
        <w:rPr>
          <w:rFonts w:ascii="Times New Roman" w:hAnsi="Times New Roman" w:cs="Times New Roman"/>
          <w:bCs/>
        </w:rPr>
      </w:pPr>
    </w:p>
    <w:p w14:paraId="271F3E5D" w14:textId="77777777" w:rsidR="00B93060" w:rsidRPr="0043348C" w:rsidRDefault="00B93060" w:rsidP="00527E57">
      <w:pPr>
        <w:tabs>
          <w:tab w:val="left" w:pos="426"/>
          <w:tab w:val="left" w:pos="2380"/>
        </w:tabs>
        <w:rPr>
          <w:rFonts w:ascii="Times New Roman" w:hAnsi="Times New Roman" w:cs="Times New Roman"/>
          <w:bCs/>
        </w:rPr>
        <w:sectPr w:rsidR="00B93060" w:rsidRPr="0043348C" w:rsidSect="00BC62DD">
          <w:type w:val="continuous"/>
          <w:pgSz w:w="13090" w:h="18020"/>
          <w:pgMar w:top="1440" w:right="1440" w:bottom="1440" w:left="1440" w:header="0" w:footer="393" w:gutter="0"/>
          <w:pgNumType w:start="1"/>
          <w:cols w:space="720"/>
          <w:titlePg/>
          <w:docGrid w:linePitch="299"/>
        </w:sectPr>
      </w:pPr>
    </w:p>
    <w:p w14:paraId="271F3E5E" w14:textId="77777777" w:rsidR="003205C3" w:rsidRPr="00527E57" w:rsidRDefault="003205C3" w:rsidP="00527E57">
      <w:pPr>
        <w:tabs>
          <w:tab w:val="left" w:pos="426"/>
          <w:tab w:val="left" w:pos="2380"/>
        </w:tabs>
        <w:rPr>
          <w:rFonts w:ascii="Times New Roman" w:hAnsi="Times New Roman" w:cs="Times New Roman"/>
          <w:bCs/>
        </w:rPr>
      </w:pPr>
    </w:p>
    <w:p w14:paraId="2CCC6B5E" w14:textId="77777777" w:rsidR="00527E57" w:rsidRPr="00527E57" w:rsidRDefault="00527E57" w:rsidP="00527E57">
      <w:pPr>
        <w:rPr>
          <w:rFonts w:ascii="Times New Roman" w:hAnsi="Times New Roman" w:cs="Times New Roman"/>
          <w:bCs/>
        </w:rPr>
      </w:pPr>
    </w:p>
    <w:sectPr w:rsidR="00527E57" w:rsidRPr="00527E57" w:rsidSect="00EE0F3D">
      <w:type w:val="continuous"/>
      <w:pgSz w:w="13090" w:h="18020"/>
      <w:pgMar w:top="1440" w:right="1440" w:bottom="1440" w:left="1440" w:header="0" w:footer="391"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2A27A8" w14:textId="77777777" w:rsidR="000012E4" w:rsidRDefault="000012E4">
      <w:r>
        <w:separator/>
      </w:r>
    </w:p>
  </w:endnote>
  <w:endnote w:type="continuationSeparator" w:id="0">
    <w:p w14:paraId="13489470" w14:textId="77777777" w:rsidR="000012E4" w:rsidRDefault="00001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G Omega">
    <w:altName w:val="Century Gothic"/>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F3E2B" w14:textId="333ED030" w:rsidR="00B93060" w:rsidRDefault="00B93060">
    <w:pPr>
      <w:spacing w:before="18"/>
    </w:pPr>
    <w:bookmarkStart w:id="0" w:name="_Hlk193356826"/>
  </w:p>
  <w:tbl>
    <w:tblPr>
      <w:tblW w:w="11326" w:type="dxa"/>
      <w:tblCellMar>
        <w:left w:w="10" w:type="dxa"/>
        <w:right w:w="10" w:type="dxa"/>
      </w:tblCellMar>
      <w:tblLook w:val="0000" w:firstRow="0" w:lastRow="0" w:firstColumn="0" w:lastColumn="0" w:noHBand="0" w:noVBand="0"/>
    </w:tblPr>
    <w:tblGrid>
      <w:gridCol w:w="5663"/>
      <w:gridCol w:w="5663"/>
    </w:tblGrid>
    <w:tr w:rsidR="005C00F7" w14:paraId="271F3E33" w14:textId="77777777">
      <w:trPr>
        <w:trHeight w:val="1016"/>
      </w:trPr>
      <w:tc>
        <w:tcPr>
          <w:tcW w:w="5663" w:type="dxa"/>
          <w:tcMar>
            <w:top w:w="0" w:type="dxa"/>
            <w:left w:w="108" w:type="dxa"/>
            <w:bottom w:w="0" w:type="dxa"/>
            <w:right w:w="108" w:type="dxa"/>
          </w:tcMar>
        </w:tcPr>
        <w:p w14:paraId="454A33AB" w14:textId="3EFE928A" w:rsidR="00B93060" w:rsidRDefault="00B93060">
          <w:pPr>
            <w:spacing w:before="18"/>
          </w:pPr>
        </w:p>
        <w:p w14:paraId="271F3E2E" w14:textId="51E62B4C" w:rsidR="00E539DA" w:rsidRDefault="00E539DA">
          <w:pPr>
            <w:spacing w:before="18"/>
          </w:pPr>
        </w:p>
      </w:tc>
      <w:tc>
        <w:tcPr>
          <w:tcW w:w="5663" w:type="dxa"/>
          <w:tcMar>
            <w:top w:w="0" w:type="dxa"/>
            <w:left w:w="108" w:type="dxa"/>
            <w:bottom w:w="0" w:type="dxa"/>
            <w:right w:w="108" w:type="dxa"/>
          </w:tcMar>
        </w:tcPr>
        <w:p w14:paraId="271F3E32" w14:textId="2C511E27" w:rsidR="00B93060" w:rsidRDefault="00B93060">
          <w:pPr>
            <w:spacing w:before="18"/>
            <w:rPr>
              <w:rFonts w:ascii="Times New Roman" w:hAnsi="Times New Roman" w:cs="Times New Roman"/>
              <w:b/>
              <w:bCs/>
              <w:color w:val="231F20"/>
              <w:spacing w:val="-2"/>
              <w:sz w:val="18"/>
            </w:rPr>
          </w:pPr>
        </w:p>
      </w:tc>
    </w:tr>
    <w:bookmarkEnd w:id="0"/>
  </w:tbl>
  <w:p w14:paraId="271F3E34" w14:textId="77777777" w:rsidR="00B93060" w:rsidRDefault="00B93060">
    <w:pPr>
      <w:spacing w:before="18"/>
      <w:rPr>
        <w:rFonts w:ascii="Times New Roman" w:hAnsi="Times New Roman" w:cs="Times New Roman"/>
        <w:color w:val="231F20"/>
        <w:spacing w:val="-2"/>
        <w:sz w:val="18"/>
      </w:rPr>
    </w:pPr>
  </w:p>
  <w:p w14:paraId="271F3E35" w14:textId="77777777" w:rsidR="00B93060" w:rsidRDefault="00B93060">
    <w:pPr>
      <w:pStyle w:val="BodyText"/>
      <w:spacing w:line="12"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48A26" w14:textId="77777777" w:rsidR="009A7C8D" w:rsidRDefault="009A7C8D" w:rsidP="009A7C8D">
    <w:pPr>
      <w:spacing w:before="18"/>
    </w:pPr>
    <w:r>
      <w:rPr>
        <w:noProof/>
      </w:rPr>
      <mc:AlternateContent>
        <mc:Choice Requires="wps">
          <w:drawing>
            <wp:anchor distT="0" distB="0" distL="114300" distR="114300" simplePos="0" relativeHeight="251658241" behindDoc="0" locked="0" layoutInCell="1" allowOverlap="1" wp14:anchorId="2910AE42" wp14:editId="7FF9E427">
              <wp:simplePos x="0" y="0"/>
              <wp:positionH relativeFrom="margin">
                <wp:align>left</wp:align>
              </wp:positionH>
              <wp:positionV relativeFrom="paragraph">
                <wp:posOffset>110349</wp:posOffset>
              </wp:positionV>
              <wp:extent cx="6858000" cy="15243"/>
              <wp:effectExtent l="0" t="0" r="0" b="0"/>
              <wp:wrapTopAndBottom/>
              <wp:docPr id="629835544" name="Graphic 20"/>
              <wp:cNvGraphicFramePr/>
              <a:graphic xmlns:a="http://schemas.openxmlformats.org/drawingml/2006/main">
                <a:graphicData uri="http://schemas.microsoft.com/office/word/2010/wordprocessingShape">
                  <wps:wsp>
                    <wps:cNvSpPr/>
                    <wps:spPr>
                      <a:xfrm>
                        <a:off x="0" y="0"/>
                        <a:ext cx="6858000" cy="15243"/>
                      </a:xfrm>
                      <a:custGeom>
                        <a:avLst/>
                        <a:gdLst>
                          <a:gd name="f0" fmla="val w"/>
                          <a:gd name="f1" fmla="val h"/>
                          <a:gd name="f2" fmla="val 0"/>
                          <a:gd name="f3" fmla="val 6858000"/>
                          <a:gd name="f4" fmla="val 15240"/>
                          <a:gd name="f5" fmla="val 14731"/>
                          <a:gd name="f6" fmla="*/ f0 1 6858000"/>
                          <a:gd name="f7" fmla="*/ f1 1 15240"/>
                          <a:gd name="f8" fmla="+- f4 0 f2"/>
                          <a:gd name="f9" fmla="+- f3 0 f2"/>
                          <a:gd name="f10" fmla="*/ f9 1 6858000"/>
                          <a:gd name="f11" fmla="*/ f8 1 15240"/>
                          <a:gd name="f12" fmla="*/ f2 1 f10"/>
                          <a:gd name="f13" fmla="*/ f3 1 f10"/>
                          <a:gd name="f14" fmla="*/ f2 1 f11"/>
                          <a:gd name="f15" fmla="*/ f4 1 f11"/>
                          <a:gd name="f16" fmla="*/ f12 f6 1"/>
                          <a:gd name="f17" fmla="*/ f13 f6 1"/>
                          <a:gd name="f18" fmla="*/ f15 f7 1"/>
                          <a:gd name="f19" fmla="*/ f14 f7 1"/>
                        </a:gdLst>
                        <a:ahLst/>
                        <a:cxnLst>
                          <a:cxn ang="3cd4">
                            <a:pos x="hc" y="t"/>
                          </a:cxn>
                          <a:cxn ang="0">
                            <a:pos x="r" y="vc"/>
                          </a:cxn>
                          <a:cxn ang="cd4">
                            <a:pos x="hc" y="b"/>
                          </a:cxn>
                          <a:cxn ang="cd2">
                            <a:pos x="l" y="vc"/>
                          </a:cxn>
                        </a:cxnLst>
                        <a:rect l="f16" t="f19" r="f17" b="f18"/>
                        <a:pathLst>
                          <a:path w="6858000" h="15240">
                            <a:moveTo>
                              <a:pt x="f3" y="f2"/>
                            </a:moveTo>
                            <a:lnTo>
                              <a:pt x="f2" y="f2"/>
                            </a:lnTo>
                            <a:lnTo>
                              <a:pt x="f2" y="f5"/>
                            </a:lnTo>
                            <a:lnTo>
                              <a:pt x="f3" y="f5"/>
                            </a:lnTo>
                            <a:lnTo>
                              <a:pt x="f3" y="f2"/>
                            </a:lnTo>
                            <a:close/>
                          </a:path>
                        </a:pathLst>
                      </a:custGeom>
                      <a:solidFill>
                        <a:srgbClr val="231F20"/>
                      </a:solidFill>
                      <a:ln cap="flat">
                        <a:noFill/>
                        <a:prstDash val="solid"/>
                      </a:ln>
                    </wps:spPr>
                    <wps:bodyPr lIns="0" tIns="0" rIns="0" bIns="0"/>
                  </wps:wsp>
                </a:graphicData>
              </a:graphic>
            </wp:anchor>
          </w:drawing>
        </mc:Choice>
        <mc:Fallback>
          <w:pict>
            <v:shape w14:anchorId="707A92FB" id="Graphic 20" o:spid="_x0000_s1026" style="position:absolute;margin-left:0;margin-top:8.7pt;width:540pt;height:1.2pt;z-index:251658241;visibility:visible;mso-wrap-style:square;mso-wrap-distance-left:9pt;mso-wrap-distance-top:0;mso-wrap-distance-right:9pt;mso-wrap-distance-bottom:0;mso-position-horizontal:left;mso-position-horizontal-relative:margin;mso-position-vertical:absolute;mso-position-vertical-relative:text;v-text-anchor:top" coordsize="6858000,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" path="m6858000,l,,,14731r6858000,l6858000,xe" fillcolor="#231f20" stroked="f">
              <v:path arrowok="t" o:connecttype="custom" o:connectlocs="3429000,0;6858000,7622;3429000,15243;0,7622" o:connectangles="270,0,90,180" textboxrect="0,0,6858000,15240"/>
              <w10:wrap type="topAndBottom" anchorx="margin"/>
            </v:shape>
          </w:pict>
        </mc:Fallback>
      </mc:AlternateContent>
    </w:r>
  </w:p>
  <w:tbl>
    <w:tblPr>
      <w:tblW w:w="11326" w:type="dxa"/>
      <w:tblCellMar>
        <w:left w:w="10" w:type="dxa"/>
        <w:right w:w="10" w:type="dxa"/>
      </w:tblCellMar>
      <w:tblLook w:val="0000" w:firstRow="0" w:lastRow="0" w:firstColumn="0" w:lastColumn="0" w:noHBand="0" w:noVBand="0"/>
    </w:tblPr>
    <w:tblGrid>
      <w:gridCol w:w="5663"/>
      <w:gridCol w:w="5663"/>
    </w:tblGrid>
    <w:tr w:rsidR="009A7C8D" w14:paraId="5EB38C0D" w14:textId="77777777" w:rsidTr="00D0237E">
      <w:trPr>
        <w:trHeight w:val="1016"/>
      </w:trPr>
      <w:tc>
        <w:tcPr>
          <w:tcW w:w="5663" w:type="dxa"/>
          <w:tcMar>
            <w:top w:w="0" w:type="dxa"/>
            <w:left w:w="108" w:type="dxa"/>
            <w:bottom w:w="0" w:type="dxa"/>
            <w:right w:w="108" w:type="dxa"/>
          </w:tcMar>
        </w:tcPr>
        <w:p w14:paraId="2B04AE18" w14:textId="77777777" w:rsidR="009A7C8D" w:rsidRDefault="009A7C8D" w:rsidP="009A7C8D">
          <w:pPr>
            <w:pStyle w:val="Title"/>
            <w:ind w:left="0"/>
          </w:pPr>
          <w:r>
            <w:rPr>
              <w:rFonts w:ascii="Times New Roman" w:hAnsi="Times New Roman" w:cs="Times New Roman"/>
              <w:color w:val="231F20"/>
              <w:w w:val="85"/>
              <w:sz w:val="20"/>
              <w:szCs w:val="20"/>
            </w:rPr>
            <w:t>Home</w:t>
          </w:r>
          <w:r>
            <w:rPr>
              <w:rFonts w:ascii="Times New Roman" w:hAnsi="Times New Roman" w:cs="Times New Roman"/>
              <w:color w:val="231F20"/>
              <w:spacing w:val="6"/>
              <w:sz w:val="20"/>
              <w:szCs w:val="20"/>
            </w:rPr>
            <w:t xml:space="preserve"> </w:t>
          </w:r>
          <w:r>
            <w:rPr>
              <w:rFonts w:ascii="Times New Roman" w:hAnsi="Times New Roman" w:cs="Times New Roman"/>
              <w:color w:val="231F20"/>
              <w:w w:val="85"/>
              <w:sz w:val="20"/>
              <w:szCs w:val="20"/>
            </w:rPr>
            <w:t>Builders</w:t>
          </w:r>
          <w:r>
            <w:rPr>
              <w:rFonts w:ascii="Times New Roman" w:hAnsi="Times New Roman" w:cs="Times New Roman"/>
              <w:color w:val="231F20"/>
              <w:spacing w:val="7"/>
              <w:sz w:val="20"/>
              <w:szCs w:val="20"/>
            </w:rPr>
            <w:t xml:space="preserve"> </w:t>
          </w:r>
          <w:r>
            <w:rPr>
              <w:rFonts w:ascii="Times New Roman" w:hAnsi="Times New Roman" w:cs="Times New Roman"/>
              <w:color w:val="231F20"/>
              <w:spacing w:val="-2"/>
              <w:w w:val="85"/>
              <w:sz w:val="20"/>
              <w:szCs w:val="20"/>
            </w:rPr>
            <w:t>Federation</w:t>
          </w:r>
        </w:p>
        <w:p w14:paraId="6D97A3D6" w14:textId="77777777" w:rsidR="009A7C8D" w:rsidRDefault="009A7C8D" w:rsidP="009A7C8D">
          <w:r>
            <w:rPr>
              <w:rFonts w:ascii="Times New Roman" w:hAnsi="Times New Roman" w:cs="Times New Roman"/>
              <w:color w:val="231F20"/>
              <w:spacing w:val="-6"/>
              <w:sz w:val="18"/>
              <w:szCs w:val="18"/>
            </w:rPr>
            <w:t>HBF</w:t>
          </w:r>
          <w:r>
            <w:rPr>
              <w:rFonts w:ascii="Times New Roman" w:hAnsi="Times New Roman" w:cs="Times New Roman"/>
              <w:color w:val="231F20"/>
              <w:sz w:val="18"/>
              <w:szCs w:val="18"/>
            </w:rPr>
            <w:t xml:space="preserve"> </w:t>
          </w:r>
          <w:r>
            <w:rPr>
              <w:rFonts w:ascii="Times New Roman" w:hAnsi="Times New Roman" w:cs="Times New Roman"/>
              <w:color w:val="231F20"/>
              <w:spacing w:val="-6"/>
              <w:sz w:val="18"/>
              <w:szCs w:val="18"/>
            </w:rPr>
            <w:t>House,</w:t>
          </w:r>
          <w:r>
            <w:rPr>
              <w:rFonts w:ascii="Times New Roman" w:hAnsi="Times New Roman" w:cs="Times New Roman"/>
              <w:color w:val="231F20"/>
              <w:sz w:val="18"/>
              <w:szCs w:val="18"/>
            </w:rPr>
            <w:t xml:space="preserve"> </w:t>
          </w:r>
          <w:r>
            <w:rPr>
              <w:rFonts w:ascii="Times New Roman" w:hAnsi="Times New Roman" w:cs="Times New Roman"/>
              <w:color w:val="231F20"/>
              <w:spacing w:val="-6"/>
              <w:sz w:val="18"/>
              <w:szCs w:val="18"/>
            </w:rPr>
            <w:t>27</w:t>
          </w:r>
          <w:r>
            <w:rPr>
              <w:rFonts w:ascii="Times New Roman" w:hAnsi="Times New Roman" w:cs="Times New Roman"/>
              <w:color w:val="231F20"/>
              <w:sz w:val="18"/>
              <w:szCs w:val="18"/>
            </w:rPr>
            <w:t xml:space="preserve"> </w:t>
          </w:r>
          <w:r>
            <w:rPr>
              <w:rFonts w:ascii="Times New Roman" w:hAnsi="Times New Roman" w:cs="Times New Roman"/>
              <w:color w:val="231F20"/>
              <w:spacing w:val="-6"/>
              <w:sz w:val="18"/>
              <w:szCs w:val="18"/>
            </w:rPr>
            <w:t>Broadwall,</w:t>
          </w:r>
          <w:r>
            <w:rPr>
              <w:rFonts w:ascii="Times New Roman" w:hAnsi="Times New Roman" w:cs="Times New Roman"/>
              <w:color w:val="231F20"/>
              <w:spacing w:val="1"/>
              <w:sz w:val="18"/>
              <w:szCs w:val="18"/>
            </w:rPr>
            <w:t xml:space="preserve"> </w:t>
          </w:r>
          <w:r>
            <w:rPr>
              <w:rFonts w:ascii="Times New Roman" w:hAnsi="Times New Roman" w:cs="Times New Roman"/>
              <w:color w:val="231F20"/>
              <w:spacing w:val="-6"/>
              <w:sz w:val="18"/>
              <w:szCs w:val="18"/>
            </w:rPr>
            <w:t>London</w:t>
          </w:r>
          <w:r>
            <w:rPr>
              <w:rFonts w:ascii="Times New Roman" w:hAnsi="Times New Roman" w:cs="Times New Roman"/>
              <w:color w:val="231F20"/>
              <w:sz w:val="18"/>
              <w:szCs w:val="18"/>
            </w:rPr>
            <w:t xml:space="preserve"> </w:t>
          </w:r>
          <w:r>
            <w:rPr>
              <w:rFonts w:ascii="Times New Roman" w:hAnsi="Times New Roman" w:cs="Times New Roman"/>
              <w:color w:val="231F20"/>
              <w:spacing w:val="-6"/>
              <w:sz w:val="18"/>
              <w:szCs w:val="18"/>
            </w:rPr>
            <w:t>SE1</w:t>
          </w:r>
          <w:r>
            <w:rPr>
              <w:rFonts w:ascii="Times New Roman" w:hAnsi="Times New Roman" w:cs="Times New Roman"/>
              <w:color w:val="231F20"/>
              <w:sz w:val="18"/>
              <w:szCs w:val="18"/>
            </w:rPr>
            <w:t xml:space="preserve"> </w:t>
          </w:r>
          <w:r>
            <w:rPr>
              <w:rFonts w:ascii="Times New Roman" w:hAnsi="Times New Roman" w:cs="Times New Roman"/>
              <w:color w:val="231F20"/>
              <w:spacing w:val="-6"/>
              <w:sz w:val="18"/>
              <w:szCs w:val="18"/>
            </w:rPr>
            <w:t>9PL</w:t>
          </w:r>
        </w:p>
        <w:p w14:paraId="6D752FC4" w14:textId="77777777" w:rsidR="009A7C8D" w:rsidRDefault="009A7C8D" w:rsidP="009A7C8D">
          <w:pPr>
            <w:spacing w:before="18"/>
          </w:pPr>
          <w:r>
            <w:rPr>
              <w:rFonts w:ascii="Times New Roman" w:hAnsi="Times New Roman" w:cs="Times New Roman"/>
              <w:color w:val="231F20"/>
              <w:spacing w:val="-2"/>
              <w:sz w:val="18"/>
            </w:rPr>
            <w:t>T:</w:t>
          </w:r>
          <w:r>
            <w:rPr>
              <w:rFonts w:ascii="Times New Roman" w:hAnsi="Times New Roman" w:cs="Times New Roman"/>
              <w:color w:val="231F20"/>
              <w:spacing w:val="-5"/>
              <w:sz w:val="18"/>
            </w:rPr>
            <w:t xml:space="preserve"> </w:t>
          </w:r>
          <w:r>
            <w:rPr>
              <w:rFonts w:ascii="Times New Roman" w:hAnsi="Times New Roman" w:cs="Times New Roman"/>
              <w:color w:val="231F20"/>
              <w:spacing w:val="-2"/>
              <w:sz w:val="18"/>
            </w:rPr>
            <w:t>0207</w:t>
          </w:r>
          <w:r>
            <w:rPr>
              <w:rFonts w:ascii="Times New Roman" w:hAnsi="Times New Roman" w:cs="Times New Roman"/>
              <w:color w:val="231F20"/>
              <w:spacing w:val="-5"/>
              <w:sz w:val="18"/>
            </w:rPr>
            <w:t xml:space="preserve"> </w:t>
          </w:r>
          <w:r>
            <w:rPr>
              <w:rFonts w:ascii="Times New Roman" w:hAnsi="Times New Roman" w:cs="Times New Roman"/>
              <w:color w:val="231F20"/>
              <w:spacing w:val="-2"/>
              <w:sz w:val="18"/>
            </w:rPr>
            <w:t>960</w:t>
          </w:r>
          <w:r>
            <w:rPr>
              <w:rFonts w:ascii="Times New Roman" w:hAnsi="Times New Roman" w:cs="Times New Roman"/>
              <w:color w:val="231F20"/>
              <w:spacing w:val="-5"/>
              <w:sz w:val="18"/>
            </w:rPr>
            <w:t xml:space="preserve"> </w:t>
          </w:r>
          <w:r>
            <w:rPr>
              <w:rFonts w:ascii="Times New Roman" w:hAnsi="Times New Roman" w:cs="Times New Roman"/>
              <w:color w:val="231F20"/>
              <w:spacing w:val="-2"/>
              <w:sz w:val="18"/>
            </w:rPr>
            <w:t>1600</w:t>
          </w:r>
          <w:r>
            <w:rPr>
              <w:rFonts w:ascii="Times New Roman" w:hAnsi="Times New Roman" w:cs="Times New Roman"/>
              <w:color w:val="231F20"/>
              <w:spacing w:val="-5"/>
              <w:sz w:val="18"/>
            </w:rPr>
            <w:t xml:space="preserve"> </w:t>
          </w:r>
          <w:r>
            <w:rPr>
              <w:rFonts w:ascii="Times New Roman" w:hAnsi="Times New Roman" w:cs="Times New Roman"/>
              <w:color w:val="231F20"/>
              <w:spacing w:val="-2"/>
              <w:w w:val="90"/>
              <w:sz w:val="18"/>
            </w:rPr>
            <w:t>|</w:t>
          </w:r>
          <w:r>
            <w:rPr>
              <w:rFonts w:ascii="Times New Roman" w:hAnsi="Times New Roman" w:cs="Times New Roman"/>
              <w:color w:val="231F20"/>
              <w:spacing w:val="-5"/>
              <w:sz w:val="18"/>
            </w:rPr>
            <w:t xml:space="preserve"> </w:t>
          </w:r>
          <w:r>
            <w:rPr>
              <w:rFonts w:ascii="Times New Roman" w:hAnsi="Times New Roman" w:cs="Times New Roman"/>
              <w:color w:val="231F20"/>
              <w:spacing w:val="-2"/>
              <w:sz w:val="18"/>
            </w:rPr>
            <w:t>E:</w:t>
          </w:r>
          <w:r>
            <w:rPr>
              <w:rFonts w:ascii="Times New Roman" w:hAnsi="Times New Roman" w:cs="Times New Roman"/>
              <w:color w:val="231F20"/>
              <w:spacing w:val="-5"/>
              <w:sz w:val="18"/>
            </w:rPr>
            <w:t xml:space="preserve"> </w:t>
          </w:r>
          <w:hyperlink r:id="rId1" w:history="1">
            <w:r>
              <w:rPr>
                <w:rFonts w:ascii="Times New Roman" w:hAnsi="Times New Roman" w:cs="Times New Roman"/>
                <w:color w:val="231F20"/>
                <w:spacing w:val="-2"/>
                <w:sz w:val="18"/>
              </w:rPr>
              <w:t>info@hbf.co.uk</w:t>
            </w:r>
          </w:hyperlink>
          <w:r>
            <w:rPr>
              <w:rFonts w:ascii="Times New Roman" w:hAnsi="Times New Roman" w:cs="Times New Roman"/>
              <w:color w:val="231F20"/>
              <w:spacing w:val="-5"/>
              <w:sz w:val="18"/>
            </w:rPr>
            <w:t xml:space="preserve"> </w:t>
          </w:r>
          <w:r>
            <w:rPr>
              <w:rFonts w:ascii="Times New Roman" w:hAnsi="Times New Roman" w:cs="Times New Roman"/>
              <w:color w:val="231F20"/>
              <w:spacing w:val="-2"/>
              <w:w w:val="90"/>
              <w:sz w:val="18"/>
            </w:rPr>
            <w:t>|</w:t>
          </w:r>
          <w:r>
            <w:rPr>
              <w:rFonts w:ascii="Times New Roman" w:hAnsi="Times New Roman" w:cs="Times New Roman"/>
              <w:color w:val="231F20"/>
              <w:spacing w:val="-5"/>
              <w:sz w:val="18"/>
            </w:rPr>
            <w:t xml:space="preserve"> </w:t>
          </w:r>
          <w:r>
            <w:rPr>
              <w:rFonts w:ascii="Times New Roman" w:hAnsi="Times New Roman" w:cs="Times New Roman"/>
              <w:color w:val="231F20"/>
              <w:spacing w:val="-2"/>
              <w:sz w:val="18"/>
            </w:rPr>
            <w:t>hbf.co.uk</w:t>
          </w:r>
        </w:p>
      </w:tc>
      <w:tc>
        <w:tcPr>
          <w:tcW w:w="5663" w:type="dxa"/>
          <w:tcMar>
            <w:top w:w="0" w:type="dxa"/>
            <w:left w:w="108" w:type="dxa"/>
            <w:bottom w:w="0" w:type="dxa"/>
            <w:right w:w="108" w:type="dxa"/>
          </w:tcMar>
        </w:tcPr>
        <w:p w14:paraId="43B6691D" w14:textId="77777777" w:rsidR="009A7C8D" w:rsidRDefault="009A7C8D" w:rsidP="009A7C8D">
          <w:pPr>
            <w:pStyle w:val="BodyText"/>
            <w:spacing w:line="256" w:lineRule="auto"/>
            <w:ind w:right="1981"/>
            <w:rPr>
              <w:rFonts w:ascii="Times New Roman" w:hAnsi="Times New Roman" w:cs="Times New Roman"/>
              <w:b/>
              <w:bCs/>
              <w:color w:val="231F20"/>
              <w:spacing w:val="-2"/>
            </w:rPr>
          </w:pPr>
        </w:p>
        <w:p w14:paraId="47EB6190" w14:textId="77777777" w:rsidR="009A7C8D" w:rsidRDefault="009A7C8D" w:rsidP="009A7C8D">
          <w:pPr>
            <w:pStyle w:val="BodyText"/>
            <w:spacing w:line="256" w:lineRule="auto"/>
            <w:ind w:right="1981"/>
            <w:rPr>
              <w:rFonts w:ascii="Times New Roman" w:hAnsi="Times New Roman" w:cs="Times New Roman"/>
              <w:b/>
              <w:bCs/>
              <w:color w:val="231F20"/>
              <w:spacing w:val="-2"/>
            </w:rPr>
          </w:pPr>
        </w:p>
        <w:p w14:paraId="2C0ABDF6" w14:textId="77777777" w:rsidR="009A7C8D" w:rsidRDefault="009A7C8D" w:rsidP="009A7C8D">
          <w:pPr>
            <w:pStyle w:val="BodyText"/>
            <w:spacing w:line="256" w:lineRule="auto"/>
            <w:ind w:right="1981"/>
          </w:pPr>
          <w:r>
            <w:rPr>
              <w:rFonts w:ascii="Times New Roman" w:hAnsi="Times New Roman" w:cs="Times New Roman"/>
              <w:color w:val="231F20"/>
              <w:spacing w:val="-2"/>
            </w:rPr>
            <w:t>Registered</w:t>
          </w:r>
          <w:r>
            <w:rPr>
              <w:rFonts w:ascii="Times New Roman" w:hAnsi="Times New Roman" w:cs="Times New Roman"/>
              <w:color w:val="231F20"/>
              <w:spacing w:val="-6"/>
            </w:rPr>
            <w:t xml:space="preserve"> </w:t>
          </w:r>
          <w:r>
            <w:rPr>
              <w:rFonts w:ascii="Times New Roman" w:hAnsi="Times New Roman" w:cs="Times New Roman"/>
              <w:color w:val="231F20"/>
              <w:spacing w:val="-2"/>
            </w:rPr>
            <w:t>in</w:t>
          </w:r>
          <w:r>
            <w:rPr>
              <w:rFonts w:ascii="Times New Roman" w:hAnsi="Times New Roman" w:cs="Times New Roman"/>
              <w:color w:val="231F20"/>
              <w:spacing w:val="-5"/>
            </w:rPr>
            <w:t xml:space="preserve"> </w:t>
          </w:r>
          <w:r>
            <w:rPr>
              <w:rFonts w:ascii="Times New Roman" w:hAnsi="Times New Roman" w:cs="Times New Roman"/>
              <w:color w:val="231F20"/>
              <w:spacing w:val="-2"/>
            </w:rPr>
            <w:t>England</w:t>
          </w:r>
          <w:r>
            <w:rPr>
              <w:rFonts w:ascii="Times New Roman" w:hAnsi="Times New Roman" w:cs="Times New Roman"/>
              <w:color w:val="231F20"/>
              <w:spacing w:val="-6"/>
            </w:rPr>
            <w:t xml:space="preserve"> </w:t>
          </w:r>
          <w:r>
            <w:rPr>
              <w:rFonts w:ascii="Times New Roman" w:hAnsi="Times New Roman" w:cs="Times New Roman"/>
              <w:color w:val="231F20"/>
              <w:spacing w:val="-2"/>
            </w:rPr>
            <w:t>and</w:t>
          </w:r>
          <w:r>
            <w:rPr>
              <w:rFonts w:ascii="Times New Roman" w:hAnsi="Times New Roman" w:cs="Times New Roman"/>
              <w:color w:val="231F20"/>
              <w:spacing w:val="-5"/>
            </w:rPr>
            <w:t xml:space="preserve"> </w:t>
          </w:r>
          <w:r>
            <w:rPr>
              <w:rFonts w:ascii="Times New Roman" w:hAnsi="Times New Roman" w:cs="Times New Roman"/>
              <w:color w:val="231F20"/>
              <w:spacing w:val="-2"/>
            </w:rPr>
            <w:t>Wales.</w:t>
          </w:r>
          <w:r>
            <w:rPr>
              <w:rFonts w:ascii="Times New Roman" w:hAnsi="Times New Roman" w:cs="Times New Roman"/>
              <w:color w:val="231F20"/>
              <w:spacing w:val="-6"/>
            </w:rPr>
            <w:t xml:space="preserve"> </w:t>
          </w:r>
          <w:r>
            <w:rPr>
              <w:rFonts w:ascii="Times New Roman" w:hAnsi="Times New Roman" w:cs="Times New Roman"/>
              <w:color w:val="231F20"/>
              <w:spacing w:val="-2"/>
            </w:rPr>
            <w:t>Registered</w:t>
          </w:r>
          <w:r>
            <w:rPr>
              <w:rFonts w:ascii="Times New Roman" w:hAnsi="Times New Roman" w:cs="Times New Roman"/>
              <w:color w:val="231F20"/>
              <w:spacing w:val="-5"/>
            </w:rPr>
            <w:t xml:space="preserve"> </w:t>
          </w:r>
          <w:r>
            <w:rPr>
              <w:rFonts w:ascii="Times New Roman" w:hAnsi="Times New Roman" w:cs="Times New Roman"/>
              <w:color w:val="231F20"/>
              <w:spacing w:val="-2"/>
            </w:rPr>
            <w:t>office:</w:t>
          </w:r>
          <w:r>
            <w:rPr>
              <w:rFonts w:ascii="Times New Roman" w:hAnsi="Times New Roman" w:cs="Times New Roman"/>
              <w:color w:val="231F20"/>
              <w:spacing w:val="-6"/>
            </w:rPr>
            <w:t xml:space="preserve"> </w:t>
          </w:r>
          <w:r>
            <w:rPr>
              <w:rFonts w:ascii="Times New Roman" w:hAnsi="Times New Roman" w:cs="Times New Roman"/>
              <w:color w:val="231F20"/>
              <w:spacing w:val="-2"/>
            </w:rPr>
            <w:t>HBF</w:t>
          </w:r>
          <w:r>
            <w:rPr>
              <w:rFonts w:ascii="Times New Roman" w:hAnsi="Times New Roman" w:cs="Times New Roman"/>
              <w:color w:val="231F20"/>
              <w:spacing w:val="-5"/>
            </w:rPr>
            <w:t xml:space="preserve"> </w:t>
          </w:r>
          <w:r>
            <w:rPr>
              <w:rFonts w:ascii="Times New Roman" w:hAnsi="Times New Roman" w:cs="Times New Roman"/>
              <w:color w:val="231F20"/>
              <w:spacing w:val="-2"/>
            </w:rPr>
            <w:t>House,</w:t>
          </w:r>
          <w:r>
            <w:rPr>
              <w:rFonts w:ascii="Times New Roman" w:hAnsi="Times New Roman" w:cs="Times New Roman"/>
              <w:color w:val="231F20"/>
              <w:spacing w:val="-6"/>
            </w:rPr>
            <w:t xml:space="preserve"> </w:t>
          </w:r>
          <w:r>
            <w:rPr>
              <w:rFonts w:ascii="Times New Roman" w:hAnsi="Times New Roman" w:cs="Times New Roman"/>
              <w:color w:val="231F20"/>
              <w:spacing w:val="-2"/>
            </w:rPr>
            <w:t>27</w:t>
          </w:r>
          <w:r>
            <w:rPr>
              <w:rFonts w:ascii="Times New Roman" w:hAnsi="Times New Roman" w:cs="Times New Roman"/>
              <w:color w:val="231F20"/>
              <w:spacing w:val="-5"/>
            </w:rPr>
            <w:t xml:space="preserve"> </w:t>
          </w:r>
          <w:r>
            <w:rPr>
              <w:rFonts w:ascii="Times New Roman" w:hAnsi="Times New Roman" w:cs="Times New Roman"/>
              <w:color w:val="231F20"/>
              <w:spacing w:val="-2"/>
            </w:rPr>
            <w:t>Broadwall,</w:t>
          </w:r>
          <w:r>
            <w:rPr>
              <w:rFonts w:ascii="Times New Roman" w:hAnsi="Times New Roman" w:cs="Times New Roman"/>
              <w:color w:val="231F20"/>
              <w:spacing w:val="-6"/>
            </w:rPr>
            <w:t xml:space="preserve"> </w:t>
          </w:r>
          <w:r>
            <w:rPr>
              <w:rFonts w:ascii="Times New Roman" w:hAnsi="Times New Roman" w:cs="Times New Roman"/>
              <w:color w:val="231F20"/>
              <w:spacing w:val="-2"/>
            </w:rPr>
            <w:t>London</w:t>
          </w:r>
          <w:r>
            <w:rPr>
              <w:rFonts w:ascii="Times New Roman" w:hAnsi="Times New Roman" w:cs="Times New Roman"/>
              <w:color w:val="231F20"/>
              <w:spacing w:val="-5"/>
            </w:rPr>
            <w:t xml:space="preserve"> </w:t>
          </w:r>
          <w:r>
            <w:rPr>
              <w:rFonts w:ascii="Times New Roman" w:hAnsi="Times New Roman" w:cs="Times New Roman"/>
              <w:color w:val="231F20"/>
              <w:spacing w:val="-2"/>
            </w:rPr>
            <w:t>SE1</w:t>
          </w:r>
          <w:r>
            <w:rPr>
              <w:rFonts w:ascii="Times New Roman" w:hAnsi="Times New Roman" w:cs="Times New Roman"/>
              <w:color w:val="231F20"/>
              <w:spacing w:val="-6"/>
            </w:rPr>
            <w:t xml:space="preserve"> </w:t>
          </w:r>
          <w:r>
            <w:rPr>
              <w:rFonts w:ascii="Times New Roman" w:hAnsi="Times New Roman" w:cs="Times New Roman"/>
              <w:color w:val="231F20"/>
              <w:spacing w:val="-2"/>
            </w:rPr>
            <w:t>9PL</w:t>
          </w:r>
          <w:r>
            <w:rPr>
              <w:rFonts w:ascii="Times New Roman" w:hAnsi="Times New Roman" w:cs="Times New Roman"/>
              <w:color w:val="231F20"/>
              <w:spacing w:val="40"/>
            </w:rPr>
            <w:t xml:space="preserve"> </w:t>
          </w:r>
          <w:r>
            <w:rPr>
              <w:rFonts w:ascii="Times New Roman" w:hAnsi="Times New Roman" w:cs="Times New Roman"/>
              <w:color w:val="231F20"/>
              <w:position w:val="2"/>
            </w:rPr>
            <w:t>Company</w:t>
          </w:r>
          <w:r>
            <w:rPr>
              <w:rFonts w:ascii="Times New Roman" w:hAnsi="Times New Roman" w:cs="Times New Roman"/>
              <w:color w:val="231F20"/>
              <w:spacing w:val="-6"/>
              <w:position w:val="2"/>
            </w:rPr>
            <w:t xml:space="preserve"> </w:t>
          </w:r>
          <w:r>
            <w:rPr>
              <w:rFonts w:ascii="Times New Roman" w:hAnsi="Times New Roman" w:cs="Times New Roman"/>
              <w:color w:val="231F20"/>
              <w:position w:val="2"/>
            </w:rPr>
            <w:t>Reg</w:t>
          </w:r>
          <w:r>
            <w:rPr>
              <w:rFonts w:ascii="Times New Roman" w:hAnsi="Times New Roman" w:cs="Times New Roman"/>
              <w:color w:val="231F20"/>
              <w:spacing w:val="-6"/>
              <w:position w:val="2"/>
            </w:rPr>
            <w:t xml:space="preserve"> </w:t>
          </w:r>
          <w:r>
            <w:rPr>
              <w:rFonts w:ascii="Times New Roman" w:hAnsi="Times New Roman" w:cs="Times New Roman"/>
              <w:color w:val="231F20"/>
              <w:position w:val="2"/>
            </w:rPr>
            <w:t>No.</w:t>
          </w:r>
          <w:r>
            <w:rPr>
              <w:rFonts w:ascii="Times New Roman" w:hAnsi="Times New Roman" w:cs="Times New Roman"/>
              <w:color w:val="231F20"/>
              <w:spacing w:val="-6"/>
              <w:position w:val="2"/>
            </w:rPr>
            <w:t xml:space="preserve"> </w:t>
          </w:r>
          <w:r>
            <w:rPr>
              <w:rFonts w:ascii="Times New Roman" w:hAnsi="Times New Roman" w:cs="Times New Roman"/>
              <w:color w:val="231F20"/>
              <w:position w:val="2"/>
            </w:rPr>
            <w:t>0276</w:t>
          </w:r>
          <w:r>
            <w:rPr>
              <w:rFonts w:ascii="Times New Roman" w:hAnsi="Times New Roman" w:cs="Times New Roman"/>
              <w:color w:val="231F20"/>
              <w:spacing w:val="-6"/>
              <w:position w:val="2"/>
            </w:rPr>
            <w:t xml:space="preserve"> </w:t>
          </w:r>
          <w:r>
            <w:rPr>
              <w:rFonts w:ascii="Times New Roman" w:hAnsi="Times New Roman" w:cs="Times New Roman"/>
              <w:color w:val="231F20"/>
              <w:position w:val="2"/>
            </w:rPr>
            <w:t>4757</w:t>
          </w:r>
          <w:r>
            <w:rPr>
              <w:rFonts w:ascii="Times New Roman" w:hAnsi="Times New Roman" w:cs="Times New Roman"/>
              <w:color w:val="231F20"/>
              <w:spacing w:val="-6"/>
              <w:position w:val="2"/>
            </w:rPr>
            <w:t xml:space="preserve"> </w:t>
          </w:r>
          <w:r>
            <w:rPr>
              <w:rFonts w:ascii="Times New Roman" w:hAnsi="Times New Roman" w:cs="Times New Roman"/>
              <w:color w:val="231F20"/>
              <w:w w:val="85"/>
              <w:position w:val="2"/>
            </w:rPr>
            <w:t>|</w:t>
          </w:r>
          <w:r>
            <w:rPr>
              <w:rFonts w:ascii="Times New Roman" w:hAnsi="Times New Roman" w:cs="Times New Roman"/>
              <w:color w:val="231F20"/>
              <w:spacing w:val="-1"/>
              <w:w w:val="85"/>
              <w:position w:val="2"/>
            </w:rPr>
            <w:t xml:space="preserve"> </w:t>
          </w:r>
          <w:r>
            <w:rPr>
              <w:rFonts w:ascii="Times New Roman" w:hAnsi="Times New Roman" w:cs="Times New Roman"/>
              <w:color w:val="231F20"/>
              <w:position w:val="2"/>
            </w:rPr>
            <w:t>Vat</w:t>
          </w:r>
          <w:r>
            <w:rPr>
              <w:rFonts w:ascii="Times New Roman" w:hAnsi="Times New Roman" w:cs="Times New Roman"/>
              <w:color w:val="231F20"/>
              <w:spacing w:val="-6"/>
              <w:position w:val="2"/>
            </w:rPr>
            <w:t xml:space="preserve"> </w:t>
          </w:r>
          <w:r>
            <w:rPr>
              <w:rFonts w:ascii="Times New Roman" w:hAnsi="Times New Roman" w:cs="Times New Roman"/>
              <w:color w:val="231F20"/>
              <w:position w:val="2"/>
            </w:rPr>
            <w:t>No.</w:t>
          </w:r>
          <w:r>
            <w:rPr>
              <w:rFonts w:ascii="Times New Roman" w:hAnsi="Times New Roman" w:cs="Times New Roman"/>
              <w:color w:val="231F20"/>
              <w:spacing w:val="-6"/>
              <w:position w:val="2"/>
            </w:rPr>
            <w:t xml:space="preserve"> </w:t>
          </w:r>
          <w:r>
            <w:rPr>
              <w:rFonts w:ascii="Times New Roman" w:hAnsi="Times New Roman" w:cs="Times New Roman"/>
              <w:color w:val="231F20"/>
              <w:position w:val="2"/>
            </w:rPr>
            <w:t>882</w:t>
          </w:r>
          <w:r>
            <w:rPr>
              <w:rFonts w:ascii="Times New Roman" w:hAnsi="Times New Roman" w:cs="Times New Roman"/>
              <w:color w:val="231F20"/>
              <w:spacing w:val="-6"/>
              <w:position w:val="2"/>
            </w:rPr>
            <w:t xml:space="preserve"> </w:t>
          </w:r>
          <w:r>
            <w:rPr>
              <w:rFonts w:ascii="Times New Roman" w:hAnsi="Times New Roman" w:cs="Times New Roman"/>
              <w:color w:val="231F20"/>
              <w:position w:val="2"/>
            </w:rPr>
            <w:t>6294</w:t>
          </w:r>
          <w:r>
            <w:rPr>
              <w:rFonts w:ascii="Times New Roman" w:hAnsi="Times New Roman" w:cs="Times New Roman"/>
              <w:color w:val="231F20"/>
              <w:spacing w:val="-6"/>
              <w:position w:val="2"/>
            </w:rPr>
            <w:t xml:space="preserve"> </w:t>
          </w:r>
          <w:r>
            <w:rPr>
              <w:rFonts w:ascii="Times New Roman" w:hAnsi="Times New Roman" w:cs="Times New Roman"/>
              <w:color w:val="231F20"/>
              <w:position w:val="2"/>
            </w:rPr>
            <w:t>86</w:t>
          </w:r>
          <w:r>
            <w:rPr>
              <w:rFonts w:ascii="Times New Roman" w:hAnsi="Times New Roman" w:cs="Times New Roman"/>
              <w:color w:val="231F20"/>
              <w:spacing w:val="-6"/>
              <w:position w:val="2"/>
            </w:rPr>
            <w:t xml:space="preserve"> </w:t>
          </w:r>
          <w:r>
            <w:rPr>
              <w:rFonts w:ascii="Times New Roman" w:hAnsi="Times New Roman" w:cs="Times New Roman"/>
              <w:color w:val="231F20"/>
              <w:w w:val="85"/>
              <w:position w:val="2"/>
            </w:rPr>
            <w:t>|</w:t>
          </w:r>
          <w:r>
            <w:rPr>
              <w:rFonts w:ascii="Times New Roman" w:hAnsi="Times New Roman" w:cs="Times New Roman"/>
              <w:color w:val="231F20"/>
              <w:spacing w:val="-1"/>
              <w:w w:val="85"/>
              <w:position w:val="2"/>
            </w:rPr>
            <w:t xml:space="preserve"> </w:t>
          </w:r>
          <w:r>
            <w:rPr>
              <w:rFonts w:ascii="Times New Roman" w:hAnsi="Times New Roman" w:cs="Times New Roman"/>
              <w:color w:val="231F20"/>
              <w:position w:val="2"/>
            </w:rPr>
            <w:t>Printed</w:t>
          </w:r>
          <w:r>
            <w:rPr>
              <w:rFonts w:ascii="Times New Roman" w:hAnsi="Times New Roman" w:cs="Times New Roman"/>
              <w:color w:val="231F20"/>
              <w:spacing w:val="-6"/>
              <w:position w:val="2"/>
            </w:rPr>
            <w:t xml:space="preserve"> </w:t>
          </w:r>
          <w:r>
            <w:rPr>
              <w:rFonts w:ascii="Times New Roman" w:hAnsi="Times New Roman" w:cs="Times New Roman"/>
              <w:color w:val="231F20"/>
              <w:position w:val="2"/>
            </w:rPr>
            <w:t>on</w:t>
          </w:r>
          <w:r>
            <w:rPr>
              <w:rFonts w:ascii="Times New Roman" w:hAnsi="Times New Roman" w:cs="Times New Roman"/>
              <w:color w:val="231F20"/>
              <w:spacing w:val="-6"/>
              <w:position w:val="2"/>
            </w:rPr>
            <w:t xml:space="preserve"> </w:t>
          </w:r>
          <w:r>
            <w:rPr>
              <w:rFonts w:ascii="Times New Roman" w:hAnsi="Times New Roman" w:cs="Times New Roman"/>
              <w:color w:val="231F20"/>
              <w:position w:val="2"/>
            </w:rPr>
            <w:t>recycled</w:t>
          </w:r>
          <w:r>
            <w:rPr>
              <w:rFonts w:ascii="Times New Roman" w:hAnsi="Times New Roman" w:cs="Times New Roman"/>
              <w:color w:val="231F20"/>
              <w:spacing w:val="-6"/>
              <w:position w:val="2"/>
            </w:rPr>
            <w:t xml:space="preserve"> </w:t>
          </w:r>
          <w:r>
            <w:rPr>
              <w:rFonts w:ascii="Times New Roman" w:hAnsi="Times New Roman" w:cs="Times New Roman"/>
              <w:color w:val="231F20"/>
              <w:position w:val="2"/>
            </w:rPr>
            <w:t>paper</w:t>
          </w:r>
          <w:r>
            <w:rPr>
              <w:rFonts w:ascii="Times New Roman" w:hAnsi="Times New Roman" w:cs="Times New Roman"/>
              <w:color w:val="231F20"/>
              <w:spacing w:val="-6"/>
              <w:position w:val="2"/>
            </w:rPr>
            <w:t xml:space="preserve"> </w:t>
          </w:r>
          <w:r>
            <w:rPr>
              <w:rFonts w:ascii="Times New Roman" w:hAnsi="Times New Roman" w:cs="Times New Roman"/>
              <w:b/>
              <w:bCs/>
              <w:noProof/>
              <w:color w:val="231F20"/>
              <w:spacing w:val="-3"/>
            </w:rPr>
            <w:drawing>
              <wp:inline distT="0" distB="0" distL="0" distR="0" wp14:anchorId="30B2A5A1" wp14:editId="5088D5E6">
                <wp:extent cx="67400" cy="64236"/>
                <wp:effectExtent l="0" t="0" r="8800" b="0"/>
                <wp:docPr id="361466313" name="Image 2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67400" cy="64236"/>
                        </a:xfrm>
                        <a:prstGeom prst="rect">
                          <a:avLst/>
                        </a:prstGeom>
                        <a:noFill/>
                        <a:ln>
                          <a:noFill/>
                          <a:prstDash/>
                        </a:ln>
                      </pic:spPr>
                    </pic:pic>
                  </a:graphicData>
                </a:graphic>
              </wp:inline>
            </w:drawing>
          </w:r>
        </w:p>
        <w:p w14:paraId="33264861" w14:textId="77777777" w:rsidR="009A7C8D" w:rsidRDefault="009A7C8D" w:rsidP="009A7C8D">
          <w:pPr>
            <w:spacing w:before="18"/>
            <w:rPr>
              <w:rFonts w:ascii="Times New Roman" w:hAnsi="Times New Roman" w:cs="Times New Roman"/>
              <w:b/>
              <w:bCs/>
              <w:color w:val="231F20"/>
              <w:spacing w:val="-2"/>
              <w:sz w:val="18"/>
            </w:rPr>
          </w:pPr>
        </w:p>
      </w:tc>
    </w:tr>
  </w:tbl>
  <w:p w14:paraId="4B9F6196" w14:textId="77777777" w:rsidR="00A80AB2" w:rsidRDefault="00A80A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9E81AD" w14:textId="77777777" w:rsidR="000012E4" w:rsidRDefault="000012E4">
      <w:r>
        <w:rPr>
          <w:color w:val="000000"/>
        </w:rPr>
        <w:separator/>
      </w:r>
    </w:p>
  </w:footnote>
  <w:footnote w:type="continuationSeparator" w:id="0">
    <w:p w14:paraId="34F7CA2A" w14:textId="77777777" w:rsidR="000012E4" w:rsidRDefault="000012E4">
      <w:r>
        <w:continuationSeparator/>
      </w:r>
    </w:p>
  </w:footnote>
  <w:footnote w:id="1">
    <w:p w14:paraId="7917D6AB" w14:textId="5E4B3913" w:rsidR="002E6507" w:rsidRPr="002E6507" w:rsidRDefault="002E6507">
      <w:pPr>
        <w:pStyle w:val="FootnoteText"/>
        <w:rPr>
          <w:lang w:val="en-GB"/>
        </w:rPr>
      </w:pPr>
      <w:r>
        <w:rPr>
          <w:rStyle w:val="FootnoteReference"/>
        </w:rPr>
        <w:footnoteRef/>
      </w:r>
      <w:r>
        <w:t xml:space="preserve"> </w:t>
      </w:r>
      <w:r w:rsidR="00597CCE">
        <w:rPr>
          <w:lang w:val="en-GB"/>
        </w:rPr>
        <w:t>4.09 years in 2027/28 and 4.55 years in 2028/29</w:t>
      </w:r>
    </w:p>
  </w:footnote>
  <w:footnote w:id="2">
    <w:p w14:paraId="3C8CD06E" w14:textId="767D1A7B" w:rsidR="000A1CAE" w:rsidRPr="000A1CAE" w:rsidRDefault="000A1CAE">
      <w:pPr>
        <w:pStyle w:val="FootnoteText"/>
        <w:rPr>
          <w:lang w:val="en-GB"/>
        </w:rPr>
      </w:pPr>
      <w:r>
        <w:rPr>
          <w:rStyle w:val="FootnoteReference"/>
        </w:rPr>
        <w:footnoteRef/>
      </w:r>
      <w:r>
        <w:t xml:space="preserve"> </w:t>
      </w:r>
      <w:r>
        <w:rPr>
          <w:lang w:val="en-GB"/>
        </w:rPr>
        <w:t xml:space="preserve">Paragraph </w:t>
      </w:r>
      <w:r w:rsidR="00CA4B8F" w:rsidRPr="00CA4B8F">
        <w:t>Reference ID: 10-002-20190509</w:t>
      </w:r>
    </w:p>
  </w:footnote>
  <w:footnote w:id="3">
    <w:p w14:paraId="06FF63D7" w14:textId="7EC61795" w:rsidR="003A32AC" w:rsidRPr="003A32AC" w:rsidRDefault="003A32AC">
      <w:pPr>
        <w:pStyle w:val="FootnoteText"/>
        <w:rPr>
          <w:lang w:val="en-GB"/>
        </w:rPr>
      </w:pPr>
      <w:r>
        <w:rPr>
          <w:rStyle w:val="FootnoteReference"/>
        </w:rPr>
        <w:footnoteRef/>
      </w:r>
      <w:r>
        <w:t xml:space="preserve"> </w:t>
      </w:r>
      <w:hyperlink r:id="rId1" w:history="1">
        <w:r w:rsidRPr="009D5F00">
          <w:rPr>
            <w:rStyle w:val="Hyperlink"/>
          </w:rPr>
          <w:t>https://www.gov.uk/government/consultations/the-future-homes-and-buildings-standards-2023-consultation/the-future-homes-and-buildings-standards-2023-consultation</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F7CFD" w14:textId="7128A88E" w:rsidR="00A80AB2" w:rsidRDefault="009A7C8D">
    <w:pPr>
      <w:pStyle w:val="Header"/>
    </w:pPr>
    <w:r>
      <w:rPr>
        <w:noProof/>
      </w:rPr>
      <w:drawing>
        <wp:anchor distT="0" distB="0" distL="114300" distR="114300" simplePos="0" relativeHeight="251658240" behindDoc="0" locked="0" layoutInCell="1" allowOverlap="1" wp14:anchorId="3FD7467F" wp14:editId="506C53E4">
          <wp:simplePos x="0" y="0"/>
          <wp:positionH relativeFrom="column">
            <wp:posOffset>4572000</wp:posOffset>
          </wp:positionH>
          <wp:positionV relativeFrom="paragraph">
            <wp:posOffset>561975</wp:posOffset>
          </wp:positionV>
          <wp:extent cx="2019873" cy="516142"/>
          <wp:effectExtent l="0" t="0" r="0" b="0"/>
          <wp:wrapNone/>
          <wp:docPr id="1276913256" name="Picture 2" descr="A black background with a black square&#10;&#10;AI-generated content may be incorrec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019873" cy="516142"/>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F00AF3"/>
    <w:multiLevelType w:val="hybridMultilevel"/>
    <w:tmpl w:val="005C284C"/>
    <w:lvl w:ilvl="0" w:tplc="7D5472C2">
      <w:start w:val="1"/>
      <w:numFmt w:val="decimal"/>
      <w:lvlText w:val="%1."/>
      <w:lvlJc w:val="left"/>
      <w:pPr>
        <w:ind w:left="720" w:hanging="360"/>
      </w:pPr>
      <w:rPr>
        <w:b w:val="0"/>
        <w:bCs/>
      </w:rPr>
    </w:lvl>
    <w:lvl w:ilvl="1" w:tplc="0809001B">
      <w:start w:val="1"/>
      <w:numFmt w:val="lowerRoman"/>
      <w:lvlText w:val="%2."/>
      <w:lvlJc w:val="righ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7E87FCD"/>
    <w:multiLevelType w:val="hybridMultilevel"/>
    <w:tmpl w:val="0C849BB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num w:numId="1" w16cid:durableId="583758027">
    <w:abstractNumId w:val="0"/>
  </w:num>
  <w:num w:numId="2" w16cid:durableId="12358166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506457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5C3"/>
    <w:rsid w:val="000012E4"/>
    <w:rsid w:val="00004910"/>
    <w:rsid w:val="00020705"/>
    <w:rsid w:val="00031048"/>
    <w:rsid w:val="000408DD"/>
    <w:rsid w:val="00043811"/>
    <w:rsid w:val="00044843"/>
    <w:rsid w:val="00045D2E"/>
    <w:rsid w:val="00050ECE"/>
    <w:rsid w:val="000526B0"/>
    <w:rsid w:val="00056F06"/>
    <w:rsid w:val="00064B27"/>
    <w:rsid w:val="00065E45"/>
    <w:rsid w:val="00066F7F"/>
    <w:rsid w:val="00070733"/>
    <w:rsid w:val="000739F4"/>
    <w:rsid w:val="00073B57"/>
    <w:rsid w:val="00074B76"/>
    <w:rsid w:val="00075E11"/>
    <w:rsid w:val="000A1BDE"/>
    <w:rsid w:val="000A1CAE"/>
    <w:rsid w:val="000A7ABB"/>
    <w:rsid w:val="000C31E8"/>
    <w:rsid w:val="000C5EE3"/>
    <w:rsid w:val="000D10B5"/>
    <w:rsid w:val="000D4BF6"/>
    <w:rsid w:val="000D7947"/>
    <w:rsid w:val="000E0708"/>
    <w:rsid w:val="000E5214"/>
    <w:rsid w:val="00100123"/>
    <w:rsid w:val="001017AC"/>
    <w:rsid w:val="001027A2"/>
    <w:rsid w:val="001058B2"/>
    <w:rsid w:val="001109BF"/>
    <w:rsid w:val="0011389E"/>
    <w:rsid w:val="00113A99"/>
    <w:rsid w:val="00123606"/>
    <w:rsid w:val="00133C3A"/>
    <w:rsid w:val="00134C45"/>
    <w:rsid w:val="00150C5A"/>
    <w:rsid w:val="001533CD"/>
    <w:rsid w:val="00157532"/>
    <w:rsid w:val="001575EB"/>
    <w:rsid w:val="00160341"/>
    <w:rsid w:val="0016633D"/>
    <w:rsid w:val="0016719F"/>
    <w:rsid w:val="00173F28"/>
    <w:rsid w:val="0017728A"/>
    <w:rsid w:val="00182986"/>
    <w:rsid w:val="00182BD3"/>
    <w:rsid w:val="001A7615"/>
    <w:rsid w:val="001B14A3"/>
    <w:rsid w:val="001B3177"/>
    <w:rsid w:val="001C165B"/>
    <w:rsid w:val="001C1E85"/>
    <w:rsid w:val="001C2EF9"/>
    <w:rsid w:val="001D060F"/>
    <w:rsid w:val="001D0822"/>
    <w:rsid w:val="001D2031"/>
    <w:rsid w:val="001D70D2"/>
    <w:rsid w:val="001D74A2"/>
    <w:rsid w:val="001E4FF2"/>
    <w:rsid w:val="001F0FED"/>
    <w:rsid w:val="001F6025"/>
    <w:rsid w:val="001F6557"/>
    <w:rsid w:val="001F65C1"/>
    <w:rsid w:val="00200B04"/>
    <w:rsid w:val="00213E7C"/>
    <w:rsid w:val="00215C07"/>
    <w:rsid w:val="00230341"/>
    <w:rsid w:val="00236168"/>
    <w:rsid w:val="0024397A"/>
    <w:rsid w:val="00243BE2"/>
    <w:rsid w:val="0024640A"/>
    <w:rsid w:val="00251D6F"/>
    <w:rsid w:val="002662DD"/>
    <w:rsid w:val="002709BB"/>
    <w:rsid w:val="00271103"/>
    <w:rsid w:val="00271B2A"/>
    <w:rsid w:val="00280D0D"/>
    <w:rsid w:val="00281BA9"/>
    <w:rsid w:val="00282C6C"/>
    <w:rsid w:val="0028301D"/>
    <w:rsid w:val="0028345D"/>
    <w:rsid w:val="0029231B"/>
    <w:rsid w:val="0029571E"/>
    <w:rsid w:val="002A0174"/>
    <w:rsid w:val="002A2292"/>
    <w:rsid w:val="002A2D6B"/>
    <w:rsid w:val="002A6D0F"/>
    <w:rsid w:val="002A715A"/>
    <w:rsid w:val="002B0D1F"/>
    <w:rsid w:val="002B4A04"/>
    <w:rsid w:val="002B4A83"/>
    <w:rsid w:val="002B5449"/>
    <w:rsid w:val="002C3B83"/>
    <w:rsid w:val="002C558D"/>
    <w:rsid w:val="002D13BE"/>
    <w:rsid w:val="002D146E"/>
    <w:rsid w:val="002D2604"/>
    <w:rsid w:val="002D511B"/>
    <w:rsid w:val="002E13CC"/>
    <w:rsid w:val="002E38F6"/>
    <w:rsid w:val="002E4409"/>
    <w:rsid w:val="002E5122"/>
    <w:rsid w:val="002E5271"/>
    <w:rsid w:val="002E6507"/>
    <w:rsid w:val="002E6D5E"/>
    <w:rsid w:val="002F2863"/>
    <w:rsid w:val="002F3590"/>
    <w:rsid w:val="002F3E0C"/>
    <w:rsid w:val="003029D2"/>
    <w:rsid w:val="00305748"/>
    <w:rsid w:val="003069CB"/>
    <w:rsid w:val="00311808"/>
    <w:rsid w:val="00315C47"/>
    <w:rsid w:val="00316F6B"/>
    <w:rsid w:val="00317563"/>
    <w:rsid w:val="0032050C"/>
    <w:rsid w:val="003205C3"/>
    <w:rsid w:val="00322383"/>
    <w:rsid w:val="003223A3"/>
    <w:rsid w:val="003238DA"/>
    <w:rsid w:val="003413CB"/>
    <w:rsid w:val="00344347"/>
    <w:rsid w:val="003600D7"/>
    <w:rsid w:val="0036102D"/>
    <w:rsid w:val="00363FF2"/>
    <w:rsid w:val="00366F25"/>
    <w:rsid w:val="00374A91"/>
    <w:rsid w:val="00381C3F"/>
    <w:rsid w:val="00383F96"/>
    <w:rsid w:val="00387F6F"/>
    <w:rsid w:val="00393D94"/>
    <w:rsid w:val="00393F97"/>
    <w:rsid w:val="00396751"/>
    <w:rsid w:val="003A002E"/>
    <w:rsid w:val="003A32AC"/>
    <w:rsid w:val="003A712D"/>
    <w:rsid w:val="003B054F"/>
    <w:rsid w:val="003B367D"/>
    <w:rsid w:val="003B7B26"/>
    <w:rsid w:val="003C0A6E"/>
    <w:rsid w:val="003C205C"/>
    <w:rsid w:val="003C6EA9"/>
    <w:rsid w:val="003C71A5"/>
    <w:rsid w:val="003D7C66"/>
    <w:rsid w:val="003E3C09"/>
    <w:rsid w:val="003E7243"/>
    <w:rsid w:val="003F08AE"/>
    <w:rsid w:val="003F3C82"/>
    <w:rsid w:val="003F406A"/>
    <w:rsid w:val="00404A19"/>
    <w:rsid w:val="00406D0C"/>
    <w:rsid w:val="0042103B"/>
    <w:rsid w:val="0042355D"/>
    <w:rsid w:val="00427B52"/>
    <w:rsid w:val="0043348C"/>
    <w:rsid w:val="00442C19"/>
    <w:rsid w:val="00442E29"/>
    <w:rsid w:val="004438D0"/>
    <w:rsid w:val="004452DC"/>
    <w:rsid w:val="00447380"/>
    <w:rsid w:val="00455A04"/>
    <w:rsid w:val="004563E1"/>
    <w:rsid w:val="004612EA"/>
    <w:rsid w:val="00471618"/>
    <w:rsid w:val="00471BB4"/>
    <w:rsid w:val="004742C0"/>
    <w:rsid w:val="00475165"/>
    <w:rsid w:val="0047544C"/>
    <w:rsid w:val="004800AA"/>
    <w:rsid w:val="004852D3"/>
    <w:rsid w:val="00486B1B"/>
    <w:rsid w:val="00487AC9"/>
    <w:rsid w:val="00492187"/>
    <w:rsid w:val="004A7023"/>
    <w:rsid w:val="004B59B7"/>
    <w:rsid w:val="004C5362"/>
    <w:rsid w:val="004D50B8"/>
    <w:rsid w:val="004D7A92"/>
    <w:rsid w:val="004E0929"/>
    <w:rsid w:val="004E2985"/>
    <w:rsid w:val="004E7937"/>
    <w:rsid w:val="004F3827"/>
    <w:rsid w:val="004F5BE6"/>
    <w:rsid w:val="005009FF"/>
    <w:rsid w:val="00501181"/>
    <w:rsid w:val="00501F01"/>
    <w:rsid w:val="00505048"/>
    <w:rsid w:val="005075A6"/>
    <w:rsid w:val="0051526E"/>
    <w:rsid w:val="0051528F"/>
    <w:rsid w:val="005173F0"/>
    <w:rsid w:val="0051797C"/>
    <w:rsid w:val="0052036B"/>
    <w:rsid w:val="005228DE"/>
    <w:rsid w:val="005264EA"/>
    <w:rsid w:val="00527E57"/>
    <w:rsid w:val="00530F8F"/>
    <w:rsid w:val="00531E4D"/>
    <w:rsid w:val="0053684B"/>
    <w:rsid w:val="005408C8"/>
    <w:rsid w:val="00543DDD"/>
    <w:rsid w:val="00551167"/>
    <w:rsid w:val="00551DED"/>
    <w:rsid w:val="00554301"/>
    <w:rsid w:val="00554CA5"/>
    <w:rsid w:val="00556134"/>
    <w:rsid w:val="00557475"/>
    <w:rsid w:val="00563960"/>
    <w:rsid w:val="00566FA1"/>
    <w:rsid w:val="00567905"/>
    <w:rsid w:val="00576219"/>
    <w:rsid w:val="00577BF7"/>
    <w:rsid w:val="00581A8A"/>
    <w:rsid w:val="00583B83"/>
    <w:rsid w:val="00585F4B"/>
    <w:rsid w:val="005862DC"/>
    <w:rsid w:val="00587654"/>
    <w:rsid w:val="0059154E"/>
    <w:rsid w:val="00597CCE"/>
    <w:rsid w:val="005A18FD"/>
    <w:rsid w:val="005A2427"/>
    <w:rsid w:val="005A2A5A"/>
    <w:rsid w:val="005A7FE0"/>
    <w:rsid w:val="005B0081"/>
    <w:rsid w:val="005B2D81"/>
    <w:rsid w:val="005C02D2"/>
    <w:rsid w:val="005C4BA0"/>
    <w:rsid w:val="005C61A6"/>
    <w:rsid w:val="005C6432"/>
    <w:rsid w:val="005D0FB3"/>
    <w:rsid w:val="005D3E49"/>
    <w:rsid w:val="005D6391"/>
    <w:rsid w:val="005E267C"/>
    <w:rsid w:val="005E3307"/>
    <w:rsid w:val="005E393B"/>
    <w:rsid w:val="005F49AB"/>
    <w:rsid w:val="005F52F5"/>
    <w:rsid w:val="00602801"/>
    <w:rsid w:val="00606265"/>
    <w:rsid w:val="0061146F"/>
    <w:rsid w:val="0061383A"/>
    <w:rsid w:val="00616FF3"/>
    <w:rsid w:val="00623003"/>
    <w:rsid w:val="00632E3A"/>
    <w:rsid w:val="00640BC6"/>
    <w:rsid w:val="0065264E"/>
    <w:rsid w:val="00653D1C"/>
    <w:rsid w:val="006543A1"/>
    <w:rsid w:val="0066517C"/>
    <w:rsid w:val="00675AA5"/>
    <w:rsid w:val="006920C5"/>
    <w:rsid w:val="00692E35"/>
    <w:rsid w:val="006946D0"/>
    <w:rsid w:val="00695423"/>
    <w:rsid w:val="00697E51"/>
    <w:rsid w:val="006A1384"/>
    <w:rsid w:val="006A190F"/>
    <w:rsid w:val="006A48E1"/>
    <w:rsid w:val="006A71EC"/>
    <w:rsid w:val="006B4233"/>
    <w:rsid w:val="006C1410"/>
    <w:rsid w:val="006C30F1"/>
    <w:rsid w:val="006C40F8"/>
    <w:rsid w:val="006C5B3B"/>
    <w:rsid w:val="006D4D2A"/>
    <w:rsid w:val="006D7AA6"/>
    <w:rsid w:val="006E289E"/>
    <w:rsid w:val="006F06E0"/>
    <w:rsid w:val="006F3914"/>
    <w:rsid w:val="006F5311"/>
    <w:rsid w:val="006F5B70"/>
    <w:rsid w:val="00700753"/>
    <w:rsid w:val="0070187B"/>
    <w:rsid w:val="0070479B"/>
    <w:rsid w:val="0070501D"/>
    <w:rsid w:val="00714705"/>
    <w:rsid w:val="007204E0"/>
    <w:rsid w:val="007223C1"/>
    <w:rsid w:val="007267D0"/>
    <w:rsid w:val="00734DBE"/>
    <w:rsid w:val="0073652E"/>
    <w:rsid w:val="007418AA"/>
    <w:rsid w:val="007419CB"/>
    <w:rsid w:val="007447AA"/>
    <w:rsid w:val="007514AE"/>
    <w:rsid w:val="00752F4D"/>
    <w:rsid w:val="0075481F"/>
    <w:rsid w:val="00761EAD"/>
    <w:rsid w:val="00773373"/>
    <w:rsid w:val="00773385"/>
    <w:rsid w:val="00775A5A"/>
    <w:rsid w:val="00776909"/>
    <w:rsid w:val="00782545"/>
    <w:rsid w:val="0079422C"/>
    <w:rsid w:val="00794F5C"/>
    <w:rsid w:val="00796D59"/>
    <w:rsid w:val="007A2BAF"/>
    <w:rsid w:val="007A2BBA"/>
    <w:rsid w:val="007C17E8"/>
    <w:rsid w:val="007C3E20"/>
    <w:rsid w:val="007C5E15"/>
    <w:rsid w:val="007C70D5"/>
    <w:rsid w:val="007D3118"/>
    <w:rsid w:val="007D37AC"/>
    <w:rsid w:val="007E0124"/>
    <w:rsid w:val="007E6A7A"/>
    <w:rsid w:val="007F2148"/>
    <w:rsid w:val="007F3F23"/>
    <w:rsid w:val="0080676F"/>
    <w:rsid w:val="008167FC"/>
    <w:rsid w:val="00825C9D"/>
    <w:rsid w:val="00825F3C"/>
    <w:rsid w:val="008313D1"/>
    <w:rsid w:val="00831714"/>
    <w:rsid w:val="0083628F"/>
    <w:rsid w:val="00840458"/>
    <w:rsid w:val="00842364"/>
    <w:rsid w:val="00845D62"/>
    <w:rsid w:val="0085133A"/>
    <w:rsid w:val="0085299D"/>
    <w:rsid w:val="00852D38"/>
    <w:rsid w:val="00852E38"/>
    <w:rsid w:val="00853142"/>
    <w:rsid w:val="0085339C"/>
    <w:rsid w:val="00853CFA"/>
    <w:rsid w:val="00857C47"/>
    <w:rsid w:val="00862166"/>
    <w:rsid w:val="008641BB"/>
    <w:rsid w:val="008675D2"/>
    <w:rsid w:val="00867E20"/>
    <w:rsid w:val="00871605"/>
    <w:rsid w:val="0087255D"/>
    <w:rsid w:val="00872CAE"/>
    <w:rsid w:val="00875E32"/>
    <w:rsid w:val="00876CE4"/>
    <w:rsid w:val="00877491"/>
    <w:rsid w:val="00882221"/>
    <w:rsid w:val="0088489A"/>
    <w:rsid w:val="008918AF"/>
    <w:rsid w:val="00894C4E"/>
    <w:rsid w:val="008954E4"/>
    <w:rsid w:val="008956FB"/>
    <w:rsid w:val="008A14C9"/>
    <w:rsid w:val="008A3D24"/>
    <w:rsid w:val="008B08A3"/>
    <w:rsid w:val="008B15EF"/>
    <w:rsid w:val="008B1D02"/>
    <w:rsid w:val="008B1FF5"/>
    <w:rsid w:val="008B2F11"/>
    <w:rsid w:val="008C0DC2"/>
    <w:rsid w:val="008C5DA7"/>
    <w:rsid w:val="008C6A00"/>
    <w:rsid w:val="008C7522"/>
    <w:rsid w:val="008D3521"/>
    <w:rsid w:val="008D4932"/>
    <w:rsid w:val="008D60A9"/>
    <w:rsid w:val="008D6595"/>
    <w:rsid w:val="008E011E"/>
    <w:rsid w:val="008E158D"/>
    <w:rsid w:val="008E4EDC"/>
    <w:rsid w:val="00901CDE"/>
    <w:rsid w:val="00903F50"/>
    <w:rsid w:val="00927D9B"/>
    <w:rsid w:val="00930436"/>
    <w:rsid w:val="00934E4E"/>
    <w:rsid w:val="00936AA2"/>
    <w:rsid w:val="00960A8E"/>
    <w:rsid w:val="00973A58"/>
    <w:rsid w:val="00974015"/>
    <w:rsid w:val="00983EB3"/>
    <w:rsid w:val="009872D8"/>
    <w:rsid w:val="00987CF8"/>
    <w:rsid w:val="009914A7"/>
    <w:rsid w:val="00991D28"/>
    <w:rsid w:val="00996422"/>
    <w:rsid w:val="009A0FB5"/>
    <w:rsid w:val="009A7C8D"/>
    <w:rsid w:val="009B2CBF"/>
    <w:rsid w:val="009B329D"/>
    <w:rsid w:val="009B6E7C"/>
    <w:rsid w:val="009C5D86"/>
    <w:rsid w:val="009D0F64"/>
    <w:rsid w:val="009D495E"/>
    <w:rsid w:val="009D743C"/>
    <w:rsid w:val="009D77EA"/>
    <w:rsid w:val="009E02EC"/>
    <w:rsid w:val="009E3BCB"/>
    <w:rsid w:val="009E5C48"/>
    <w:rsid w:val="009E6BD9"/>
    <w:rsid w:val="009F7BFF"/>
    <w:rsid w:val="00A0276B"/>
    <w:rsid w:val="00A100C2"/>
    <w:rsid w:val="00A13FD0"/>
    <w:rsid w:val="00A206D5"/>
    <w:rsid w:val="00A21212"/>
    <w:rsid w:val="00A304DA"/>
    <w:rsid w:val="00A314AD"/>
    <w:rsid w:val="00A351C0"/>
    <w:rsid w:val="00A36116"/>
    <w:rsid w:val="00A4288A"/>
    <w:rsid w:val="00A44919"/>
    <w:rsid w:val="00A45E60"/>
    <w:rsid w:val="00A47EF1"/>
    <w:rsid w:val="00A511D9"/>
    <w:rsid w:val="00A51548"/>
    <w:rsid w:val="00A520C9"/>
    <w:rsid w:val="00A53879"/>
    <w:rsid w:val="00A54888"/>
    <w:rsid w:val="00A60C7C"/>
    <w:rsid w:val="00A650A4"/>
    <w:rsid w:val="00A717F8"/>
    <w:rsid w:val="00A800BD"/>
    <w:rsid w:val="00A80799"/>
    <w:rsid w:val="00A80AB2"/>
    <w:rsid w:val="00A84CAE"/>
    <w:rsid w:val="00A950F2"/>
    <w:rsid w:val="00AA4CFB"/>
    <w:rsid w:val="00AB062C"/>
    <w:rsid w:val="00AB39B3"/>
    <w:rsid w:val="00AB3DCB"/>
    <w:rsid w:val="00AB49C2"/>
    <w:rsid w:val="00AC1800"/>
    <w:rsid w:val="00AC4B4D"/>
    <w:rsid w:val="00AC558D"/>
    <w:rsid w:val="00AC6A5A"/>
    <w:rsid w:val="00AC6A6B"/>
    <w:rsid w:val="00AD1151"/>
    <w:rsid w:val="00AD2992"/>
    <w:rsid w:val="00AD2CCC"/>
    <w:rsid w:val="00AD4342"/>
    <w:rsid w:val="00AD7884"/>
    <w:rsid w:val="00AE5516"/>
    <w:rsid w:val="00AF0EF2"/>
    <w:rsid w:val="00AF7DE5"/>
    <w:rsid w:val="00B01043"/>
    <w:rsid w:val="00B02886"/>
    <w:rsid w:val="00B035C4"/>
    <w:rsid w:val="00B062FC"/>
    <w:rsid w:val="00B205FC"/>
    <w:rsid w:val="00B21471"/>
    <w:rsid w:val="00B219C9"/>
    <w:rsid w:val="00B2464B"/>
    <w:rsid w:val="00B25251"/>
    <w:rsid w:val="00B2755F"/>
    <w:rsid w:val="00B3127C"/>
    <w:rsid w:val="00B31C19"/>
    <w:rsid w:val="00B3316C"/>
    <w:rsid w:val="00B4093B"/>
    <w:rsid w:val="00B42336"/>
    <w:rsid w:val="00B44361"/>
    <w:rsid w:val="00B4447C"/>
    <w:rsid w:val="00B449D3"/>
    <w:rsid w:val="00B50A2E"/>
    <w:rsid w:val="00B54B17"/>
    <w:rsid w:val="00B66B54"/>
    <w:rsid w:val="00B72972"/>
    <w:rsid w:val="00B737EB"/>
    <w:rsid w:val="00B854E2"/>
    <w:rsid w:val="00B87578"/>
    <w:rsid w:val="00B9031A"/>
    <w:rsid w:val="00B91953"/>
    <w:rsid w:val="00B93060"/>
    <w:rsid w:val="00B97AB4"/>
    <w:rsid w:val="00BA3D10"/>
    <w:rsid w:val="00BB175A"/>
    <w:rsid w:val="00BB41EF"/>
    <w:rsid w:val="00BC0697"/>
    <w:rsid w:val="00BC58A7"/>
    <w:rsid w:val="00BC62DD"/>
    <w:rsid w:val="00BC69A1"/>
    <w:rsid w:val="00BD13A1"/>
    <w:rsid w:val="00BD14C0"/>
    <w:rsid w:val="00BD6CB1"/>
    <w:rsid w:val="00BE0578"/>
    <w:rsid w:val="00BE305C"/>
    <w:rsid w:val="00BE36B7"/>
    <w:rsid w:val="00BE73EB"/>
    <w:rsid w:val="00BF0D89"/>
    <w:rsid w:val="00BF15FD"/>
    <w:rsid w:val="00C0698D"/>
    <w:rsid w:val="00C123EB"/>
    <w:rsid w:val="00C12DA2"/>
    <w:rsid w:val="00C13972"/>
    <w:rsid w:val="00C13A3E"/>
    <w:rsid w:val="00C16CE8"/>
    <w:rsid w:val="00C240C7"/>
    <w:rsid w:val="00C240DA"/>
    <w:rsid w:val="00C26455"/>
    <w:rsid w:val="00C304DC"/>
    <w:rsid w:val="00C35FD1"/>
    <w:rsid w:val="00C411E9"/>
    <w:rsid w:val="00C41963"/>
    <w:rsid w:val="00C443C7"/>
    <w:rsid w:val="00C470D4"/>
    <w:rsid w:val="00C535F1"/>
    <w:rsid w:val="00C54F6D"/>
    <w:rsid w:val="00C56B6F"/>
    <w:rsid w:val="00C56C64"/>
    <w:rsid w:val="00C5780B"/>
    <w:rsid w:val="00C61A6A"/>
    <w:rsid w:val="00C64E03"/>
    <w:rsid w:val="00C707B5"/>
    <w:rsid w:val="00C7208B"/>
    <w:rsid w:val="00C767BF"/>
    <w:rsid w:val="00C92B67"/>
    <w:rsid w:val="00CA308D"/>
    <w:rsid w:val="00CA4B8F"/>
    <w:rsid w:val="00CA6D6A"/>
    <w:rsid w:val="00CB0D03"/>
    <w:rsid w:val="00CB0DEC"/>
    <w:rsid w:val="00CB435C"/>
    <w:rsid w:val="00CB5C11"/>
    <w:rsid w:val="00CC016E"/>
    <w:rsid w:val="00CC1764"/>
    <w:rsid w:val="00CC77AB"/>
    <w:rsid w:val="00CD012C"/>
    <w:rsid w:val="00CD1E53"/>
    <w:rsid w:val="00CD31C6"/>
    <w:rsid w:val="00CE1F7C"/>
    <w:rsid w:val="00CE3E21"/>
    <w:rsid w:val="00CE4711"/>
    <w:rsid w:val="00CE695D"/>
    <w:rsid w:val="00D120EA"/>
    <w:rsid w:val="00D12146"/>
    <w:rsid w:val="00D12853"/>
    <w:rsid w:val="00D12913"/>
    <w:rsid w:val="00D141D7"/>
    <w:rsid w:val="00D15201"/>
    <w:rsid w:val="00D15808"/>
    <w:rsid w:val="00D17559"/>
    <w:rsid w:val="00D17824"/>
    <w:rsid w:val="00D20757"/>
    <w:rsid w:val="00D333C3"/>
    <w:rsid w:val="00D45FAC"/>
    <w:rsid w:val="00D46838"/>
    <w:rsid w:val="00D606FB"/>
    <w:rsid w:val="00D6482D"/>
    <w:rsid w:val="00D70D28"/>
    <w:rsid w:val="00D71741"/>
    <w:rsid w:val="00D71CAF"/>
    <w:rsid w:val="00D80113"/>
    <w:rsid w:val="00D86071"/>
    <w:rsid w:val="00D96429"/>
    <w:rsid w:val="00DA394D"/>
    <w:rsid w:val="00DA4E08"/>
    <w:rsid w:val="00DA7B86"/>
    <w:rsid w:val="00DB2169"/>
    <w:rsid w:val="00DB2A59"/>
    <w:rsid w:val="00DC0D01"/>
    <w:rsid w:val="00DC3803"/>
    <w:rsid w:val="00DC5EC2"/>
    <w:rsid w:val="00DD1BA1"/>
    <w:rsid w:val="00DE6A76"/>
    <w:rsid w:val="00DF0449"/>
    <w:rsid w:val="00DF4667"/>
    <w:rsid w:val="00DF4D3B"/>
    <w:rsid w:val="00E03DF9"/>
    <w:rsid w:val="00E05493"/>
    <w:rsid w:val="00E11BB7"/>
    <w:rsid w:val="00E146ED"/>
    <w:rsid w:val="00E20C8F"/>
    <w:rsid w:val="00E20EBB"/>
    <w:rsid w:val="00E272CB"/>
    <w:rsid w:val="00E33702"/>
    <w:rsid w:val="00E4327A"/>
    <w:rsid w:val="00E4483A"/>
    <w:rsid w:val="00E46B2B"/>
    <w:rsid w:val="00E525D8"/>
    <w:rsid w:val="00E539DA"/>
    <w:rsid w:val="00E63B0B"/>
    <w:rsid w:val="00E64C62"/>
    <w:rsid w:val="00E65067"/>
    <w:rsid w:val="00E73858"/>
    <w:rsid w:val="00E75354"/>
    <w:rsid w:val="00E81A22"/>
    <w:rsid w:val="00E85BA7"/>
    <w:rsid w:val="00E86F3F"/>
    <w:rsid w:val="00E95C5E"/>
    <w:rsid w:val="00EA72F4"/>
    <w:rsid w:val="00EB7AF2"/>
    <w:rsid w:val="00EC5F6E"/>
    <w:rsid w:val="00EC6BD7"/>
    <w:rsid w:val="00EC780D"/>
    <w:rsid w:val="00EE012B"/>
    <w:rsid w:val="00EE066F"/>
    <w:rsid w:val="00EE0F3D"/>
    <w:rsid w:val="00EE1777"/>
    <w:rsid w:val="00EE3E55"/>
    <w:rsid w:val="00EF2424"/>
    <w:rsid w:val="00EF4450"/>
    <w:rsid w:val="00EF63AB"/>
    <w:rsid w:val="00F02E94"/>
    <w:rsid w:val="00F0430A"/>
    <w:rsid w:val="00F05012"/>
    <w:rsid w:val="00F06154"/>
    <w:rsid w:val="00F06B03"/>
    <w:rsid w:val="00F06F63"/>
    <w:rsid w:val="00F0761E"/>
    <w:rsid w:val="00F11CD0"/>
    <w:rsid w:val="00F16D33"/>
    <w:rsid w:val="00F222E2"/>
    <w:rsid w:val="00F24C23"/>
    <w:rsid w:val="00F334F9"/>
    <w:rsid w:val="00F36D62"/>
    <w:rsid w:val="00F4085B"/>
    <w:rsid w:val="00F449EF"/>
    <w:rsid w:val="00F44CE9"/>
    <w:rsid w:val="00F44F72"/>
    <w:rsid w:val="00F46F7B"/>
    <w:rsid w:val="00F50F3E"/>
    <w:rsid w:val="00F53B3D"/>
    <w:rsid w:val="00F55248"/>
    <w:rsid w:val="00F55F95"/>
    <w:rsid w:val="00F572E9"/>
    <w:rsid w:val="00F61A93"/>
    <w:rsid w:val="00F70354"/>
    <w:rsid w:val="00F81431"/>
    <w:rsid w:val="00F83343"/>
    <w:rsid w:val="00FA18D1"/>
    <w:rsid w:val="00FA1EB3"/>
    <w:rsid w:val="00FA3CFD"/>
    <w:rsid w:val="00FB178A"/>
    <w:rsid w:val="00FB3904"/>
    <w:rsid w:val="00FC0620"/>
    <w:rsid w:val="00FC3B43"/>
    <w:rsid w:val="00FC4282"/>
    <w:rsid w:val="00FC4311"/>
    <w:rsid w:val="00FC4D56"/>
    <w:rsid w:val="00FC52BD"/>
    <w:rsid w:val="00FC57D3"/>
    <w:rsid w:val="00FD6208"/>
    <w:rsid w:val="00FE04F0"/>
    <w:rsid w:val="00FE3128"/>
    <w:rsid w:val="00FE327F"/>
    <w:rsid w:val="00FF6C60"/>
    <w:rsid w:val="00FF6C77"/>
    <w:rsid w:val="00FF758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1F3E21"/>
  <w15:docId w15:val="{3B05D03D-9AA3-45FE-A6C3-FB144C0DA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C8D"/>
    <w:pPr>
      <w:suppressAutoHyphens/>
    </w:pPr>
    <w:rPr>
      <w:rFonts w:ascii="Palatino Linotype" w:eastAsia="Palatino Linotype" w:hAnsi="Palatino Linotype" w:cs="Palatino Linotype"/>
    </w:rPr>
  </w:style>
  <w:style w:type="paragraph" w:styleId="Heading3">
    <w:name w:val="heading 3"/>
    <w:basedOn w:val="Normal"/>
    <w:next w:val="Normal"/>
    <w:link w:val="Heading3Char"/>
    <w:qFormat/>
    <w:rsid w:val="0028345D"/>
    <w:pPr>
      <w:keepNext/>
      <w:widowControl/>
      <w:suppressAutoHyphens w:val="0"/>
      <w:autoSpaceDE/>
      <w:autoSpaceDN/>
      <w:outlineLvl w:val="2"/>
    </w:pPr>
    <w:rPr>
      <w:rFonts w:ascii="CG Omega" w:eastAsia="Times New Roman" w:hAnsi="CG Omega" w:cs="Times New Roman"/>
      <w:b/>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sz w:val="12"/>
      <w:szCs w:val="12"/>
    </w:rPr>
  </w:style>
  <w:style w:type="paragraph" w:styleId="Title">
    <w:name w:val="Title"/>
    <w:basedOn w:val="Normal"/>
    <w:uiPriority w:val="10"/>
    <w:qFormat/>
    <w:pPr>
      <w:spacing w:before="68"/>
      <w:ind w:left="1130"/>
    </w:pPr>
    <w:rPr>
      <w:rFonts w:ascii="Tahoma" w:eastAsia="Tahoma" w:hAnsi="Tahoma" w:cs="Tahoma"/>
      <w:b/>
      <w:bCs/>
      <w:sz w:val="18"/>
      <w:szCs w:val="18"/>
    </w:rPr>
  </w:style>
  <w:style w:type="paragraph" w:styleId="ListParagraph">
    <w:name w:val="List Paragraph"/>
    <w:basedOn w:val="Normal"/>
    <w:link w:val="ListParagraphChar"/>
    <w:uiPriority w:val="34"/>
    <w:qFormat/>
  </w:style>
  <w:style w:type="paragraph" w:customStyle="1" w:styleId="TableParagraph">
    <w:name w:val="Table Paragraph"/>
    <w:basedOn w:val="Normal"/>
    <w:rPr>
      <w:rFonts w:ascii="Times New Roman" w:eastAsia="Times New Roman" w:hAnsi="Times New Roman" w:cs="Times New Roman"/>
    </w:rPr>
  </w:style>
  <w:style w:type="paragraph" w:styleId="Header">
    <w:name w:val="header"/>
    <w:basedOn w:val="Normal"/>
    <w:pPr>
      <w:tabs>
        <w:tab w:val="center" w:pos="4513"/>
        <w:tab w:val="right" w:pos="9026"/>
      </w:tabs>
    </w:pPr>
  </w:style>
  <w:style w:type="character" w:customStyle="1" w:styleId="HeaderChar">
    <w:name w:val="Header Char"/>
    <w:basedOn w:val="DefaultParagraphFont"/>
    <w:rPr>
      <w:rFonts w:ascii="Palatino Linotype" w:eastAsia="Palatino Linotype" w:hAnsi="Palatino Linotype" w:cs="Palatino Linotype"/>
    </w:rPr>
  </w:style>
  <w:style w:type="paragraph" w:styleId="Footer">
    <w:name w:val="footer"/>
    <w:basedOn w:val="Normal"/>
    <w:pPr>
      <w:tabs>
        <w:tab w:val="center" w:pos="4513"/>
        <w:tab w:val="right" w:pos="9026"/>
      </w:tabs>
    </w:pPr>
  </w:style>
  <w:style w:type="character" w:customStyle="1" w:styleId="FooterChar">
    <w:name w:val="Footer Char"/>
    <w:basedOn w:val="DefaultParagraphFont"/>
    <w:rPr>
      <w:rFonts w:ascii="Palatino Linotype" w:eastAsia="Palatino Linotype" w:hAnsi="Palatino Linotype" w:cs="Palatino Linotype"/>
    </w:rPr>
  </w:style>
  <w:style w:type="character" w:customStyle="1" w:styleId="BodyTextChar">
    <w:name w:val="Body Text Char"/>
    <w:basedOn w:val="DefaultParagraphFont"/>
    <w:rPr>
      <w:rFonts w:ascii="Palatino Linotype" w:eastAsia="Palatino Linotype" w:hAnsi="Palatino Linotype" w:cs="Palatino Linotype"/>
      <w:sz w:val="12"/>
      <w:szCs w:val="12"/>
    </w:rPr>
  </w:style>
  <w:style w:type="character" w:customStyle="1" w:styleId="TitleChar">
    <w:name w:val="Title Char"/>
    <w:basedOn w:val="DefaultParagraphFont"/>
    <w:uiPriority w:val="10"/>
    <w:rPr>
      <w:rFonts w:ascii="Tahoma" w:eastAsia="Tahoma" w:hAnsi="Tahoma" w:cs="Tahoma"/>
      <w:b/>
      <w:bCs/>
      <w:sz w:val="18"/>
      <w:szCs w:val="18"/>
    </w:rPr>
  </w:style>
  <w:style w:type="character" w:customStyle="1" w:styleId="Heading3Char">
    <w:name w:val="Heading 3 Char"/>
    <w:basedOn w:val="DefaultParagraphFont"/>
    <w:link w:val="Heading3"/>
    <w:rsid w:val="0028345D"/>
    <w:rPr>
      <w:rFonts w:ascii="CG Omega" w:eastAsia="Times New Roman" w:hAnsi="CG Omega" w:cs="Times New Roman"/>
      <w:b/>
      <w:sz w:val="24"/>
      <w:szCs w:val="20"/>
      <w:lang w:val="en-GB"/>
    </w:rPr>
  </w:style>
  <w:style w:type="character" w:styleId="Hyperlink">
    <w:name w:val="Hyperlink"/>
    <w:basedOn w:val="DefaultParagraphFont"/>
    <w:uiPriority w:val="99"/>
    <w:unhideWhenUsed/>
    <w:rsid w:val="0028345D"/>
    <w:rPr>
      <w:color w:val="467886" w:themeColor="hyperlink"/>
      <w:u w:val="single"/>
    </w:rPr>
  </w:style>
  <w:style w:type="paragraph" w:styleId="FootnoteText">
    <w:name w:val="footnote text"/>
    <w:basedOn w:val="Normal"/>
    <w:link w:val="FootnoteTextChar"/>
    <w:uiPriority w:val="99"/>
    <w:semiHidden/>
    <w:unhideWhenUsed/>
    <w:rsid w:val="002E6507"/>
    <w:rPr>
      <w:sz w:val="20"/>
      <w:szCs w:val="20"/>
    </w:rPr>
  </w:style>
  <w:style w:type="character" w:customStyle="1" w:styleId="FootnoteTextChar">
    <w:name w:val="Footnote Text Char"/>
    <w:basedOn w:val="DefaultParagraphFont"/>
    <w:link w:val="FootnoteText"/>
    <w:uiPriority w:val="99"/>
    <w:semiHidden/>
    <w:rsid w:val="002E6507"/>
    <w:rPr>
      <w:rFonts w:ascii="Palatino Linotype" w:eastAsia="Palatino Linotype" w:hAnsi="Palatino Linotype" w:cs="Palatino Linotype"/>
      <w:sz w:val="20"/>
      <w:szCs w:val="20"/>
    </w:rPr>
  </w:style>
  <w:style w:type="character" w:styleId="FootnoteReference">
    <w:name w:val="footnote reference"/>
    <w:basedOn w:val="DefaultParagraphFont"/>
    <w:uiPriority w:val="99"/>
    <w:semiHidden/>
    <w:unhideWhenUsed/>
    <w:rsid w:val="002E6507"/>
    <w:rPr>
      <w:vertAlign w:val="superscript"/>
    </w:rPr>
  </w:style>
  <w:style w:type="character" w:styleId="UnresolvedMention">
    <w:name w:val="Unresolved Mention"/>
    <w:basedOn w:val="DefaultParagraphFont"/>
    <w:uiPriority w:val="99"/>
    <w:semiHidden/>
    <w:unhideWhenUsed/>
    <w:rsid w:val="003A32AC"/>
    <w:rPr>
      <w:color w:val="605E5C"/>
      <w:shd w:val="clear" w:color="auto" w:fill="E1DFDD"/>
    </w:rPr>
  </w:style>
  <w:style w:type="character" w:customStyle="1" w:styleId="ListParagraphChar">
    <w:name w:val="List Paragraph Char"/>
    <w:link w:val="ListParagraph"/>
    <w:uiPriority w:val="34"/>
    <w:locked/>
    <w:rsid w:val="007F2148"/>
    <w:rPr>
      <w:rFonts w:ascii="Palatino Linotype" w:eastAsia="Palatino Linotype" w:hAnsi="Palatino Linotype" w:cs="Palatino Linoty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72578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mailto:info@hbf.co.uk"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gov.uk/government/consultations/the-future-homes-and-buildings-standards-2023-consultation/the-future-homes-and-buildings-standards-2023-consulta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5ACEACC4E1CDCF488D376413A381FD22" ma:contentTypeVersion="19" ma:contentTypeDescription="Create a new document." ma:contentTypeScope="" ma:versionID="eaa070a7ccaa9c3973c608e2e51349ff">
  <xsd:schema xmlns:xsd="http://www.w3.org/2001/XMLSchema" xmlns:xs="http://www.w3.org/2001/XMLSchema" xmlns:p="http://schemas.microsoft.com/office/2006/metadata/properties" xmlns:ns2="382e5495-6889-451e-8447-25219879d4f2" xmlns:ns3="98c4065d-ab90-4030-91ac-239e56608fbb" targetNamespace="http://schemas.microsoft.com/office/2006/metadata/properties" ma:root="true" ma:fieldsID="8f2a6c3626e9a5f922790ed30f5754dd" ns2:_="" ns3:_="">
    <xsd:import namespace="382e5495-6889-451e-8447-25219879d4f2"/>
    <xsd:import namespace="98c4065d-ab90-4030-91ac-239e56608fbb"/>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2e5495-6889-451e-8447-25219879d4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c48f749-fadf-4388-88e9-b8f5d78bb6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c4065d-ab90-4030-91ac-239e56608fbb"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ad3b124-f129-47eb-af8a-2eceb59fbcab}" ma:internalName="TaxCatchAll" ma:showField="CatchAllData" ma:web="98c4065d-ab90-4030-91ac-239e56608f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82e5495-6889-451e-8447-25219879d4f2">
      <Terms xmlns="http://schemas.microsoft.com/office/infopath/2007/PartnerControls"/>
    </lcf76f155ced4ddcb4097134ff3c332f>
    <TaxCatchAll xmlns="98c4065d-ab90-4030-91ac-239e56608fb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FAADFC-5BD2-4260-8B88-220E4E76A2ED}">
  <ds:schemaRefs>
    <ds:schemaRef ds:uri="http://schemas.openxmlformats.org/officeDocument/2006/bibliography"/>
  </ds:schemaRefs>
</ds:datastoreItem>
</file>

<file path=customXml/itemProps2.xml><?xml version="1.0" encoding="utf-8"?>
<ds:datastoreItem xmlns:ds="http://schemas.openxmlformats.org/officeDocument/2006/customXml" ds:itemID="{122D0D62-D521-45D8-9AAA-DA18051967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82e5495-6889-451e-8447-25219879d4f2"/>
    <ds:schemaRef ds:uri="98c4065d-ab90-4030-91ac-239e56608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443463-5719-4AD6-972E-563CDF6B8828}">
  <ds:schemaRefs>
    <ds:schemaRef ds:uri="http://schemas.microsoft.com/office/2006/metadata/properties"/>
    <ds:schemaRef ds:uri="http://schemas.microsoft.com/office/infopath/2007/PartnerControls"/>
    <ds:schemaRef ds:uri="382e5495-6889-451e-8447-25219879d4f2"/>
    <ds:schemaRef ds:uri="98c4065d-ab90-4030-91ac-239e56608fbb"/>
  </ds:schemaRefs>
</ds:datastoreItem>
</file>

<file path=customXml/itemProps4.xml><?xml version="1.0" encoding="utf-8"?>
<ds:datastoreItem xmlns:ds="http://schemas.openxmlformats.org/officeDocument/2006/customXml" ds:itemID="{AD26CD54-8697-499A-A9B3-EEE529F890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774</TotalTime>
  <Pages>11</Pages>
  <Words>5297</Words>
  <Characters>26066</Characters>
  <Application>Microsoft Office Word</Application>
  <DocSecurity>0</DocSecurity>
  <Lines>347</Lines>
  <Paragraphs>98</Paragraphs>
  <ScaleCrop>false</ScaleCrop>
  <Company/>
  <LinksUpToDate>false</LinksUpToDate>
  <CharactersWithSpaces>31265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 Calder</dc:creator>
  <cp:lastModifiedBy>Mark Behrendt</cp:lastModifiedBy>
  <cp:revision>568</cp:revision>
  <dcterms:created xsi:type="dcterms:W3CDTF">2025-12-02T15:05:00Z</dcterms:created>
  <dcterms:modified xsi:type="dcterms:W3CDTF">2025-12-08T16:54:00Z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2025-02-04T00:00:00Z</vt:filetime>
  </property>
  <property fmtid="{D5CDD505-2E9C-101B-9397-08002B2CF9AE}" pid="3" name="Creator">
    <vt:lpwstr>Adobe InDesign 20.1 (Windows)</vt:lpwstr>
  </property>
  <property fmtid="{D5CDD505-2E9C-101B-9397-08002B2CF9AE}" pid="4" name="LastSaved">
    <vt:filetime>2025-02-14T00:00:00Z</vt:filetime>
  </property>
  <property fmtid="{D5CDD505-2E9C-101B-9397-08002B2CF9AE}" pid="5" name="Producer">
    <vt:lpwstr>Adobe PDF Library 17.0</vt:lpwstr>
  </property>
  <property fmtid="{D5CDD505-2E9C-101B-9397-08002B2CF9AE}" pid="6" name="ContentTypeId">
    <vt:lpwstr>0x0101005ACEACC4E1CDCF488D376413A381FD22</vt:lpwstr>
  </property>
  <property fmtid="{D5CDD505-2E9C-101B-9397-08002B2CF9AE}" pid="7" name="MediaServiceImageTags">
    <vt:lpwstr/>
  </property>
</Properties>
</file>