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7756" w14:textId="434FAEBC" w:rsidR="0028345D" w:rsidRPr="00C411E9" w:rsidRDefault="0028345D" w:rsidP="0028345D">
      <w:pPr>
        <w:spacing w:line="276" w:lineRule="auto"/>
        <w:rPr>
          <w:rFonts w:ascii="Times New Roman" w:hAnsi="Times New Roman" w:cs="Times New Roman"/>
        </w:rPr>
      </w:pPr>
      <w:r w:rsidRPr="00C411E9">
        <w:rPr>
          <w:rFonts w:ascii="Times New Roman" w:hAnsi="Times New Roman" w:cs="Times New Roman"/>
          <w:highlight w:val="yellow"/>
        </w:rPr>
        <w:t>Address</w:t>
      </w:r>
    </w:p>
    <w:p w14:paraId="4CCF833C" w14:textId="77777777" w:rsidR="0028345D" w:rsidRPr="00C411E9" w:rsidRDefault="0028345D" w:rsidP="0028345D">
      <w:pPr>
        <w:spacing w:line="276" w:lineRule="auto"/>
        <w:jc w:val="right"/>
        <w:rPr>
          <w:rFonts w:ascii="Times New Roman" w:hAnsi="Times New Roman" w:cs="Times New Roman"/>
        </w:rPr>
      </w:pPr>
    </w:p>
    <w:p w14:paraId="716344B2" w14:textId="77777777" w:rsidR="0028345D" w:rsidRPr="00C411E9" w:rsidRDefault="0028345D" w:rsidP="0028345D">
      <w:pPr>
        <w:spacing w:line="276" w:lineRule="auto"/>
        <w:jc w:val="right"/>
        <w:rPr>
          <w:rFonts w:ascii="Times New Roman" w:hAnsi="Times New Roman" w:cs="Times New Roman"/>
        </w:rPr>
      </w:pPr>
    </w:p>
    <w:p w14:paraId="5E7AD8ED" w14:textId="4FEA7A51"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rPr>
        <w:t>SENT BY EMAIL</w:t>
      </w:r>
    </w:p>
    <w:p w14:paraId="29E0D710" w14:textId="77777777"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highlight w:val="yellow"/>
        </w:rPr>
        <w:t>Email</w:t>
      </w:r>
    </w:p>
    <w:p w14:paraId="31A747EC" w14:textId="43B473A4" w:rsidR="0028345D" w:rsidRPr="00C411E9" w:rsidRDefault="0028345D" w:rsidP="0028345D">
      <w:pPr>
        <w:spacing w:line="276" w:lineRule="auto"/>
        <w:ind w:left="720" w:firstLine="720"/>
        <w:jc w:val="right"/>
        <w:rPr>
          <w:rFonts w:ascii="Times New Roman" w:hAnsi="Times New Roman" w:cs="Times New Roman"/>
        </w:rPr>
      </w:pPr>
      <w:r w:rsidRPr="00C411E9">
        <w:rPr>
          <w:rFonts w:ascii="Times New Roman" w:hAnsi="Times New Roman" w:cs="Times New Roman"/>
        </w:rPr>
        <w:t xml:space="preserve"> </w:t>
      </w:r>
      <w:r w:rsidR="00C411E9">
        <w:rPr>
          <w:rFonts w:ascii="Times New Roman" w:hAnsi="Times New Roman" w:cs="Times New Roman"/>
        </w:rPr>
        <w:t>Date</w:t>
      </w:r>
    </w:p>
    <w:p w14:paraId="797EEAAB" w14:textId="77777777" w:rsidR="0028345D" w:rsidRPr="00C411E9" w:rsidRDefault="0028345D" w:rsidP="0028345D">
      <w:pPr>
        <w:spacing w:line="276" w:lineRule="auto"/>
        <w:rPr>
          <w:rFonts w:ascii="Times New Roman" w:hAnsi="Times New Roman" w:cs="Times New Roman"/>
        </w:rPr>
      </w:pPr>
    </w:p>
    <w:p w14:paraId="14FD9C55" w14:textId="77777777" w:rsidR="0028345D" w:rsidRPr="001977B8" w:rsidRDefault="0028345D" w:rsidP="0028345D">
      <w:pPr>
        <w:spacing w:line="276" w:lineRule="auto"/>
        <w:rPr>
          <w:rFonts w:ascii="Arial" w:hAnsi="Arial" w:cs="Arial"/>
        </w:rPr>
      </w:pPr>
    </w:p>
    <w:p w14:paraId="31120CFD" w14:textId="77777777" w:rsidR="00F0430A" w:rsidRDefault="00F0430A" w:rsidP="00F0430A">
      <w:pPr>
        <w:spacing w:after="240" w:line="276" w:lineRule="auto"/>
        <w:rPr>
          <w:rFonts w:ascii="Times New Roman" w:hAnsi="Times New Roman" w:cs="Times New Roman"/>
        </w:rPr>
      </w:pPr>
      <w:r>
        <w:rPr>
          <w:rFonts w:ascii="Times New Roman" w:hAnsi="Times New Roman" w:cs="Times New Roman"/>
        </w:rPr>
        <w:t>Dear Sir/ Madam</w:t>
      </w:r>
    </w:p>
    <w:p w14:paraId="1C89053A" w14:textId="67425949" w:rsidR="00F0430A" w:rsidRDefault="00E52F5D" w:rsidP="00F0430A">
      <w:pPr>
        <w:pStyle w:val="Heading3"/>
        <w:spacing w:after="240" w:line="276" w:lineRule="auto"/>
        <w:rPr>
          <w:rFonts w:ascii="Arial" w:hAnsi="Arial" w:cs="Arial"/>
          <w:sz w:val="22"/>
          <w:szCs w:val="22"/>
        </w:rPr>
      </w:pPr>
      <w:r>
        <w:rPr>
          <w:rFonts w:ascii="Arial" w:hAnsi="Arial" w:cs="Arial"/>
          <w:sz w:val="22"/>
          <w:szCs w:val="22"/>
        </w:rPr>
        <w:t xml:space="preserve">SEVENOAKS </w:t>
      </w:r>
      <w:r w:rsidR="00F0430A">
        <w:rPr>
          <w:rFonts w:ascii="Arial" w:hAnsi="Arial" w:cs="Arial"/>
          <w:sz w:val="22"/>
          <w:szCs w:val="22"/>
        </w:rPr>
        <w:t>LOCAL PLAN</w:t>
      </w:r>
    </w:p>
    <w:p w14:paraId="4F9A4834" w14:textId="562FB3A4"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Thank you for consulting with the Home Builders Federation (HBF) on the </w:t>
      </w:r>
      <w:r w:rsidR="00E52F5D">
        <w:rPr>
          <w:rFonts w:ascii="Times New Roman" w:hAnsi="Times New Roman" w:cs="Times New Roman"/>
          <w:bCs/>
        </w:rPr>
        <w:t xml:space="preserve">Sevenoaks </w:t>
      </w:r>
      <w:r>
        <w:rPr>
          <w:rFonts w:ascii="Times New Roman" w:hAnsi="Times New Roman" w:cs="Times New Roman"/>
          <w:bCs/>
        </w:rPr>
        <w:t>Local Plan.</w:t>
      </w:r>
    </w:p>
    <w:p w14:paraId="6CD0CD54"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is the principal representative body of the house-building industry in England and Wales. Our representations reflect the views of our membership, which include multi-national PLC’s, regional developers and small, local builders. In any one year, our members account for over 80% of all new “for sale” market housing built in England and Wales as well as a large proportion of newly built affordable housing. </w:t>
      </w:r>
    </w:p>
    <w:p w14:paraId="792FB3FE" w14:textId="713A86A3" w:rsidR="00E52F5D" w:rsidRDefault="006173AA" w:rsidP="00E52F5D">
      <w:pPr>
        <w:widowControl/>
        <w:suppressAutoHyphens w:val="0"/>
        <w:autoSpaceDE/>
        <w:spacing w:after="240" w:line="360" w:lineRule="auto"/>
        <w:jc w:val="both"/>
        <w:rPr>
          <w:rFonts w:ascii="Times New Roman" w:hAnsi="Times New Roman" w:cs="Times New Roman"/>
          <w:b/>
        </w:rPr>
      </w:pPr>
      <w:r>
        <w:rPr>
          <w:rFonts w:ascii="Times New Roman" w:hAnsi="Times New Roman" w:cs="Times New Roman"/>
          <w:b/>
        </w:rPr>
        <w:t>Housing</w:t>
      </w:r>
      <w:r w:rsidR="005E1BF8">
        <w:rPr>
          <w:rFonts w:ascii="Times New Roman" w:hAnsi="Times New Roman" w:cs="Times New Roman"/>
          <w:b/>
        </w:rPr>
        <w:t xml:space="preserve"> </w:t>
      </w:r>
      <w:r w:rsidR="00D303BD">
        <w:rPr>
          <w:rFonts w:ascii="Times New Roman" w:hAnsi="Times New Roman" w:cs="Times New Roman"/>
          <w:b/>
        </w:rPr>
        <w:t>requirement.</w:t>
      </w:r>
    </w:p>
    <w:p w14:paraId="33CD983D" w14:textId="73F9D40A" w:rsidR="00BF6EBF" w:rsidRDefault="006B2F5D" w:rsidP="00AC164D">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would agree with the Council </w:t>
      </w:r>
      <w:r w:rsidR="0094046D">
        <w:rPr>
          <w:rFonts w:ascii="Times New Roman" w:hAnsi="Times New Roman" w:cs="Times New Roman"/>
          <w:bCs/>
        </w:rPr>
        <w:t>that 1,145 dwellings per annum arrived at using the</w:t>
      </w:r>
      <w:r w:rsidR="00386C87" w:rsidRPr="00491C50">
        <w:rPr>
          <w:rFonts w:ascii="Times New Roman" w:hAnsi="Times New Roman" w:cs="Times New Roman"/>
          <w:bCs/>
        </w:rPr>
        <w:t xml:space="preserve"> </w:t>
      </w:r>
      <w:r w:rsidR="00491C50" w:rsidRPr="00491C50">
        <w:rPr>
          <w:rFonts w:ascii="Times New Roman" w:hAnsi="Times New Roman" w:cs="Times New Roman"/>
          <w:bCs/>
        </w:rPr>
        <w:t>standard</w:t>
      </w:r>
      <w:r w:rsidR="00386C87" w:rsidRPr="00491C50">
        <w:rPr>
          <w:rFonts w:ascii="Times New Roman" w:hAnsi="Times New Roman" w:cs="Times New Roman"/>
          <w:bCs/>
        </w:rPr>
        <w:t xml:space="preserve"> method is the starting point</w:t>
      </w:r>
      <w:r w:rsidR="003E5DED">
        <w:rPr>
          <w:rFonts w:ascii="Times New Roman" w:hAnsi="Times New Roman" w:cs="Times New Roman"/>
          <w:bCs/>
        </w:rPr>
        <w:t xml:space="preserve"> for considering housing needs in Sevenoaks. </w:t>
      </w:r>
      <w:r w:rsidR="00182C79">
        <w:rPr>
          <w:rFonts w:ascii="Times New Roman" w:hAnsi="Times New Roman" w:cs="Times New Roman"/>
          <w:bCs/>
        </w:rPr>
        <w:t xml:space="preserve">Over the plan period propose by the Council </w:t>
      </w:r>
      <w:r w:rsidR="006C1C7C" w:rsidRPr="00182C79">
        <w:rPr>
          <w:rFonts w:ascii="Times New Roman" w:hAnsi="Times New Roman" w:cs="Times New Roman"/>
          <w:bCs/>
        </w:rPr>
        <w:t>of 202</w:t>
      </w:r>
      <w:r w:rsidR="002F5F00" w:rsidRPr="00182C79">
        <w:rPr>
          <w:rFonts w:ascii="Times New Roman" w:hAnsi="Times New Roman" w:cs="Times New Roman"/>
          <w:bCs/>
        </w:rPr>
        <w:t>7</w:t>
      </w:r>
      <w:r w:rsidR="00D35AEB" w:rsidRPr="00182C79">
        <w:rPr>
          <w:rFonts w:ascii="Times New Roman" w:hAnsi="Times New Roman" w:cs="Times New Roman"/>
          <w:bCs/>
        </w:rPr>
        <w:t xml:space="preserve"> </w:t>
      </w:r>
      <w:r w:rsidR="002F5F00" w:rsidRPr="00182C79">
        <w:rPr>
          <w:rFonts w:ascii="Times New Roman" w:hAnsi="Times New Roman" w:cs="Times New Roman"/>
          <w:bCs/>
        </w:rPr>
        <w:t>to 2042</w:t>
      </w:r>
      <w:r w:rsidR="00182C79">
        <w:rPr>
          <w:rFonts w:ascii="Times New Roman" w:hAnsi="Times New Roman" w:cs="Times New Roman"/>
          <w:bCs/>
        </w:rPr>
        <w:t xml:space="preserve"> this result in a need for </w:t>
      </w:r>
      <w:r w:rsidR="00DE601A" w:rsidRPr="00182C79">
        <w:rPr>
          <w:rFonts w:ascii="Times New Roman" w:hAnsi="Times New Roman" w:cs="Times New Roman"/>
          <w:bCs/>
        </w:rPr>
        <w:t xml:space="preserve">of </w:t>
      </w:r>
      <w:r w:rsidR="00FD2492" w:rsidRPr="00182C79">
        <w:rPr>
          <w:rFonts w:ascii="Times New Roman" w:hAnsi="Times New Roman" w:cs="Times New Roman"/>
          <w:bCs/>
        </w:rPr>
        <w:t xml:space="preserve">17,175 </w:t>
      </w:r>
      <w:r w:rsidR="00182C79">
        <w:rPr>
          <w:rFonts w:ascii="Times New Roman" w:hAnsi="Times New Roman" w:cs="Times New Roman"/>
          <w:bCs/>
        </w:rPr>
        <w:t xml:space="preserve">of the </w:t>
      </w:r>
      <w:r w:rsidR="00CA7DE1">
        <w:rPr>
          <w:rFonts w:ascii="Times New Roman" w:hAnsi="Times New Roman" w:cs="Times New Roman"/>
          <w:bCs/>
        </w:rPr>
        <w:t>life time</w:t>
      </w:r>
      <w:r w:rsidR="00182C79">
        <w:rPr>
          <w:rFonts w:ascii="Times New Roman" w:hAnsi="Times New Roman" w:cs="Times New Roman"/>
          <w:bCs/>
        </w:rPr>
        <w:t xml:space="preserve"> of the plan</w:t>
      </w:r>
      <w:r w:rsidR="00FD2492" w:rsidRPr="00182C79">
        <w:rPr>
          <w:rFonts w:ascii="Times New Roman" w:hAnsi="Times New Roman" w:cs="Times New Roman"/>
          <w:bCs/>
        </w:rPr>
        <w:t>.</w:t>
      </w:r>
      <w:r w:rsidR="002766F5">
        <w:rPr>
          <w:rFonts w:ascii="Times New Roman" w:hAnsi="Times New Roman" w:cs="Times New Roman"/>
          <w:bCs/>
        </w:rPr>
        <w:t xml:space="preserve"> </w:t>
      </w:r>
      <w:r w:rsidR="0004110D" w:rsidRPr="00AC164D">
        <w:rPr>
          <w:rFonts w:ascii="Times New Roman" w:hAnsi="Times New Roman" w:cs="Times New Roman"/>
          <w:bCs/>
        </w:rPr>
        <w:t xml:space="preserve">While agreeing with the </w:t>
      </w:r>
      <w:r w:rsidR="008D1F73" w:rsidRPr="00AC164D">
        <w:rPr>
          <w:rFonts w:ascii="Times New Roman" w:hAnsi="Times New Roman" w:cs="Times New Roman"/>
          <w:bCs/>
        </w:rPr>
        <w:t xml:space="preserve">starting point HBF have </w:t>
      </w:r>
      <w:r w:rsidR="008553CD">
        <w:rPr>
          <w:rFonts w:ascii="Times New Roman" w:hAnsi="Times New Roman" w:cs="Times New Roman"/>
          <w:bCs/>
        </w:rPr>
        <w:t>two</w:t>
      </w:r>
      <w:r w:rsidR="008D1F73" w:rsidRPr="00AC164D">
        <w:rPr>
          <w:rFonts w:ascii="Times New Roman" w:hAnsi="Times New Roman" w:cs="Times New Roman"/>
          <w:bCs/>
        </w:rPr>
        <w:t xml:space="preserve"> concerns </w:t>
      </w:r>
      <w:r w:rsidR="00AC164D" w:rsidRPr="00AC164D">
        <w:rPr>
          <w:rFonts w:ascii="Times New Roman" w:hAnsi="Times New Roman" w:cs="Times New Roman"/>
          <w:bCs/>
        </w:rPr>
        <w:t>we would like to raise with regard to the approach to housing needs.</w:t>
      </w:r>
    </w:p>
    <w:p w14:paraId="03F00627" w14:textId="5BE1A358" w:rsidR="001A000E" w:rsidRPr="00A94C93" w:rsidRDefault="001A000E" w:rsidP="001A000E">
      <w:pPr>
        <w:widowControl/>
        <w:suppressAutoHyphens w:val="0"/>
        <w:autoSpaceDE/>
        <w:spacing w:after="240" w:line="360" w:lineRule="auto"/>
        <w:jc w:val="both"/>
        <w:rPr>
          <w:rFonts w:ascii="Times New Roman" w:hAnsi="Times New Roman" w:cs="Times New Roman"/>
          <w:bCs/>
          <w:i/>
          <w:iCs/>
        </w:rPr>
      </w:pPr>
      <w:r w:rsidRPr="00A94C93">
        <w:rPr>
          <w:rFonts w:ascii="Times New Roman" w:hAnsi="Times New Roman" w:cs="Times New Roman"/>
          <w:bCs/>
          <w:i/>
          <w:iCs/>
        </w:rPr>
        <w:t>Plan per</w:t>
      </w:r>
      <w:r w:rsidR="00A94C93" w:rsidRPr="00A94C93">
        <w:rPr>
          <w:rFonts w:ascii="Times New Roman" w:hAnsi="Times New Roman" w:cs="Times New Roman"/>
          <w:bCs/>
          <w:i/>
          <w:iCs/>
        </w:rPr>
        <w:t>iod</w:t>
      </w:r>
      <w:r w:rsidR="00A94C93">
        <w:rPr>
          <w:rFonts w:ascii="Times New Roman" w:hAnsi="Times New Roman" w:cs="Times New Roman"/>
          <w:bCs/>
          <w:i/>
          <w:iCs/>
        </w:rPr>
        <w:t xml:space="preserve"> for housing needs</w:t>
      </w:r>
    </w:p>
    <w:p w14:paraId="2756EF91" w14:textId="57F11268" w:rsidR="00F155B9" w:rsidRDefault="00666AA8" w:rsidP="00F71AD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Our first concern regard to the period over which total housing need is derived. </w:t>
      </w:r>
      <w:r w:rsidR="00296E1A">
        <w:rPr>
          <w:rFonts w:ascii="Times New Roman" w:hAnsi="Times New Roman" w:cs="Times New Roman"/>
          <w:bCs/>
        </w:rPr>
        <w:t>HBF have two concerns with the approach being taken by the Council.</w:t>
      </w:r>
      <w:r w:rsidR="00EF3956">
        <w:rPr>
          <w:rFonts w:ascii="Times New Roman" w:hAnsi="Times New Roman" w:cs="Times New Roman"/>
          <w:bCs/>
        </w:rPr>
        <w:t xml:space="preserve"> First is the start date for t</w:t>
      </w:r>
      <w:r w:rsidR="00AA76AF">
        <w:rPr>
          <w:rFonts w:ascii="Times New Roman" w:hAnsi="Times New Roman" w:cs="Times New Roman"/>
          <w:bCs/>
        </w:rPr>
        <w:t xml:space="preserve">he local plan. </w:t>
      </w:r>
      <w:r w:rsidR="00DA37BA">
        <w:rPr>
          <w:rFonts w:ascii="Times New Roman" w:hAnsi="Times New Roman" w:cs="Times New Roman"/>
          <w:bCs/>
        </w:rPr>
        <w:t xml:space="preserve">On the </w:t>
      </w:r>
      <w:r w:rsidR="001C63F9">
        <w:rPr>
          <w:rFonts w:ascii="Times New Roman" w:hAnsi="Times New Roman" w:cs="Times New Roman"/>
          <w:bCs/>
        </w:rPr>
        <w:t>basis</w:t>
      </w:r>
      <w:r w:rsidR="00DA37BA">
        <w:rPr>
          <w:rFonts w:ascii="Times New Roman" w:hAnsi="Times New Roman" w:cs="Times New Roman"/>
          <w:bCs/>
        </w:rPr>
        <w:t xml:space="preserve"> of the Council’s L</w:t>
      </w:r>
      <w:r w:rsidR="00F33236">
        <w:rPr>
          <w:rFonts w:ascii="Times New Roman" w:hAnsi="Times New Roman" w:cs="Times New Roman"/>
          <w:bCs/>
        </w:rPr>
        <w:t xml:space="preserve">ocal </w:t>
      </w:r>
      <w:r w:rsidR="00DA37BA">
        <w:rPr>
          <w:rFonts w:ascii="Times New Roman" w:hAnsi="Times New Roman" w:cs="Times New Roman"/>
          <w:bCs/>
        </w:rPr>
        <w:t>D</w:t>
      </w:r>
      <w:r w:rsidR="00F33236">
        <w:rPr>
          <w:rFonts w:ascii="Times New Roman" w:hAnsi="Times New Roman" w:cs="Times New Roman"/>
          <w:bCs/>
        </w:rPr>
        <w:t xml:space="preserve">evelopment </w:t>
      </w:r>
      <w:r w:rsidR="005A4D9B">
        <w:rPr>
          <w:rFonts w:ascii="Times New Roman" w:hAnsi="Times New Roman" w:cs="Times New Roman"/>
          <w:bCs/>
        </w:rPr>
        <w:t>Scheme,</w:t>
      </w:r>
      <w:r w:rsidR="00DA37BA">
        <w:rPr>
          <w:rFonts w:ascii="Times New Roman" w:hAnsi="Times New Roman" w:cs="Times New Roman"/>
          <w:bCs/>
        </w:rPr>
        <w:t xml:space="preserve"> it </w:t>
      </w:r>
      <w:r w:rsidR="00AA76AF">
        <w:rPr>
          <w:rFonts w:ascii="Times New Roman" w:hAnsi="Times New Roman" w:cs="Times New Roman"/>
          <w:bCs/>
        </w:rPr>
        <w:t>is</w:t>
      </w:r>
      <w:r w:rsidR="00DA37BA">
        <w:rPr>
          <w:rFonts w:ascii="Times New Roman" w:hAnsi="Times New Roman" w:cs="Times New Roman"/>
          <w:bCs/>
        </w:rPr>
        <w:t xml:space="preserve"> the Council’s ambition to</w:t>
      </w:r>
      <w:r w:rsidR="00AA76AF">
        <w:rPr>
          <w:rFonts w:ascii="Times New Roman" w:hAnsi="Times New Roman" w:cs="Times New Roman"/>
          <w:bCs/>
        </w:rPr>
        <w:t xml:space="preserve"> </w:t>
      </w:r>
      <w:r w:rsidR="00DA37BA">
        <w:rPr>
          <w:rFonts w:ascii="Times New Roman" w:hAnsi="Times New Roman" w:cs="Times New Roman"/>
          <w:bCs/>
        </w:rPr>
        <w:t>undert</w:t>
      </w:r>
      <w:r w:rsidR="001C63F9">
        <w:rPr>
          <w:rFonts w:ascii="Times New Roman" w:hAnsi="Times New Roman" w:cs="Times New Roman"/>
          <w:bCs/>
        </w:rPr>
        <w:t>ake a</w:t>
      </w:r>
      <w:r w:rsidR="00C43F6C">
        <w:rPr>
          <w:rFonts w:ascii="Times New Roman" w:hAnsi="Times New Roman" w:cs="Times New Roman"/>
          <w:bCs/>
        </w:rPr>
        <w:t xml:space="preserve"> regulation 19 consultation in the </w:t>
      </w:r>
      <w:r w:rsidR="00DA37BA">
        <w:rPr>
          <w:rFonts w:ascii="Times New Roman" w:hAnsi="Times New Roman" w:cs="Times New Roman"/>
          <w:bCs/>
        </w:rPr>
        <w:t>summer of 2026</w:t>
      </w:r>
      <w:r w:rsidR="001C63F9">
        <w:rPr>
          <w:rFonts w:ascii="Times New Roman" w:hAnsi="Times New Roman" w:cs="Times New Roman"/>
          <w:bCs/>
        </w:rPr>
        <w:t xml:space="preserve"> and submit prior to </w:t>
      </w:r>
      <w:r w:rsidR="00E54ADD">
        <w:rPr>
          <w:rFonts w:ascii="Times New Roman" w:hAnsi="Times New Roman" w:cs="Times New Roman"/>
          <w:bCs/>
        </w:rPr>
        <w:t xml:space="preserve">December of the same year. </w:t>
      </w:r>
      <w:r w:rsidR="002F4F56">
        <w:rPr>
          <w:rFonts w:ascii="Times New Roman" w:hAnsi="Times New Roman" w:cs="Times New Roman"/>
          <w:bCs/>
        </w:rPr>
        <w:t xml:space="preserve">This means that the assessment of </w:t>
      </w:r>
      <w:r w:rsidR="0076596E">
        <w:rPr>
          <w:rFonts w:ascii="Times New Roman" w:hAnsi="Times New Roman" w:cs="Times New Roman"/>
          <w:bCs/>
        </w:rPr>
        <w:t>housing</w:t>
      </w:r>
      <w:r w:rsidR="002F4F56">
        <w:rPr>
          <w:rFonts w:ascii="Times New Roman" w:hAnsi="Times New Roman" w:cs="Times New Roman"/>
          <w:bCs/>
        </w:rPr>
        <w:t xml:space="preserve"> needs will have been </w:t>
      </w:r>
      <w:r w:rsidR="0076596E">
        <w:rPr>
          <w:rFonts w:ascii="Times New Roman" w:hAnsi="Times New Roman" w:cs="Times New Roman"/>
          <w:bCs/>
        </w:rPr>
        <w:t>undertaken</w:t>
      </w:r>
      <w:r w:rsidR="002F4F56">
        <w:rPr>
          <w:rFonts w:ascii="Times New Roman" w:hAnsi="Times New Roman" w:cs="Times New Roman"/>
          <w:bCs/>
        </w:rPr>
        <w:t xml:space="preserve"> in 202</w:t>
      </w:r>
      <w:r w:rsidR="0076596E">
        <w:rPr>
          <w:rFonts w:ascii="Times New Roman" w:hAnsi="Times New Roman" w:cs="Times New Roman"/>
          <w:bCs/>
        </w:rPr>
        <w:t xml:space="preserve">6 </w:t>
      </w:r>
      <w:r w:rsidR="00F337A9">
        <w:rPr>
          <w:rFonts w:ascii="Times New Roman" w:hAnsi="Times New Roman" w:cs="Times New Roman"/>
          <w:bCs/>
        </w:rPr>
        <w:t xml:space="preserve">and is based on </w:t>
      </w:r>
      <w:r w:rsidR="00EE3137">
        <w:rPr>
          <w:rFonts w:ascii="Times New Roman" w:hAnsi="Times New Roman" w:cs="Times New Roman"/>
          <w:bCs/>
        </w:rPr>
        <w:t xml:space="preserve">the most recent data published at that time with regard to </w:t>
      </w:r>
      <w:r w:rsidR="008D71DE">
        <w:rPr>
          <w:rFonts w:ascii="Times New Roman" w:hAnsi="Times New Roman" w:cs="Times New Roman"/>
          <w:bCs/>
        </w:rPr>
        <w:t xml:space="preserve">dwelling stock and the </w:t>
      </w:r>
      <w:r w:rsidR="00A65F68">
        <w:rPr>
          <w:rFonts w:ascii="Times New Roman" w:hAnsi="Times New Roman" w:cs="Times New Roman"/>
          <w:bCs/>
        </w:rPr>
        <w:t>affordability</w:t>
      </w:r>
      <w:r w:rsidR="008D71DE">
        <w:rPr>
          <w:rFonts w:ascii="Times New Roman" w:hAnsi="Times New Roman" w:cs="Times New Roman"/>
          <w:bCs/>
        </w:rPr>
        <w:t xml:space="preserve"> rati</w:t>
      </w:r>
      <w:r w:rsidR="00A65F68">
        <w:rPr>
          <w:rFonts w:ascii="Times New Roman" w:hAnsi="Times New Roman" w:cs="Times New Roman"/>
          <w:bCs/>
        </w:rPr>
        <w:t>o</w:t>
      </w:r>
      <w:r w:rsidR="00907817">
        <w:rPr>
          <w:rFonts w:ascii="Times New Roman" w:hAnsi="Times New Roman" w:cs="Times New Roman"/>
          <w:bCs/>
        </w:rPr>
        <w:t xml:space="preserve">. </w:t>
      </w:r>
      <w:r w:rsidR="003B4150">
        <w:rPr>
          <w:rFonts w:ascii="Times New Roman" w:hAnsi="Times New Roman" w:cs="Times New Roman"/>
          <w:bCs/>
        </w:rPr>
        <w:t>Dwelling stock ratios at the point o</w:t>
      </w:r>
      <w:r w:rsidR="00EE00ED">
        <w:rPr>
          <w:rFonts w:ascii="Times New Roman" w:hAnsi="Times New Roman" w:cs="Times New Roman"/>
          <w:bCs/>
        </w:rPr>
        <w:t>f</w:t>
      </w:r>
      <w:r w:rsidR="003B4150">
        <w:rPr>
          <w:rFonts w:ascii="Times New Roman" w:hAnsi="Times New Roman" w:cs="Times New Roman"/>
          <w:bCs/>
        </w:rPr>
        <w:t xml:space="preserve"> assessment will be </w:t>
      </w:r>
      <w:r w:rsidR="00DF618F">
        <w:rPr>
          <w:rFonts w:ascii="Times New Roman" w:hAnsi="Times New Roman" w:cs="Times New Roman"/>
          <w:bCs/>
        </w:rPr>
        <w:t>2025 with</w:t>
      </w:r>
      <w:r w:rsidR="00907817">
        <w:rPr>
          <w:rFonts w:ascii="Times New Roman" w:hAnsi="Times New Roman" w:cs="Times New Roman"/>
          <w:bCs/>
        </w:rPr>
        <w:t xml:space="preserve"> the </w:t>
      </w:r>
      <w:r w:rsidR="00A83FC2">
        <w:rPr>
          <w:rFonts w:ascii="Times New Roman" w:hAnsi="Times New Roman" w:cs="Times New Roman"/>
          <w:bCs/>
        </w:rPr>
        <w:t>affordability</w:t>
      </w:r>
      <w:r w:rsidR="00907817">
        <w:rPr>
          <w:rFonts w:ascii="Times New Roman" w:hAnsi="Times New Roman" w:cs="Times New Roman"/>
          <w:bCs/>
        </w:rPr>
        <w:t xml:space="preserve"> ratio </w:t>
      </w:r>
      <w:r w:rsidR="00A83FC2">
        <w:rPr>
          <w:rFonts w:ascii="Times New Roman" w:hAnsi="Times New Roman" w:cs="Times New Roman"/>
          <w:bCs/>
        </w:rPr>
        <w:t xml:space="preserve">the most recent data </w:t>
      </w:r>
      <w:r w:rsidR="00790EBD">
        <w:rPr>
          <w:rFonts w:ascii="Times New Roman" w:hAnsi="Times New Roman" w:cs="Times New Roman"/>
          <w:bCs/>
        </w:rPr>
        <w:t xml:space="preserve">in used for the pre-submission local plan and at the point submission will be </w:t>
      </w:r>
      <w:r w:rsidR="000B5B70">
        <w:rPr>
          <w:rFonts w:ascii="Times New Roman" w:hAnsi="Times New Roman" w:cs="Times New Roman"/>
          <w:bCs/>
        </w:rPr>
        <w:t>the updated ratios</w:t>
      </w:r>
      <w:r w:rsidR="00933260">
        <w:rPr>
          <w:rFonts w:ascii="Times New Roman" w:hAnsi="Times New Roman" w:cs="Times New Roman"/>
          <w:bCs/>
        </w:rPr>
        <w:t xml:space="preserve"> published by ONS in March 2026</w:t>
      </w:r>
      <w:r w:rsidR="000B5B70">
        <w:rPr>
          <w:rFonts w:ascii="Times New Roman" w:hAnsi="Times New Roman" w:cs="Times New Roman"/>
          <w:bCs/>
        </w:rPr>
        <w:t xml:space="preserve"> </w:t>
      </w:r>
      <w:r w:rsidR="00933260">
        <w:rPr>
          <w:rFonts w:ascii="Times New Roman" w:hAnsi="Times New Roman" w:cs="Times New Roman"/>
          <w:bCs/>
        </w:rPr>
        <w:t>with</w:t>
      </w:r>
      <w:r w:rsidR="000225E4">
        <w:rPr>
          <w:rFonts w:ascii="Times New Roman" w:hAnsi="Times New Roman" w:cs="Times New Roman"/>
          <w:bCs/>
        </w:rPr>
        <w:t xml:space="preserve"> the five year average </w:t>
      </w:r>
      <w:r w:rsidR="0027218C">
        <w:rPr>
          <w:rFonts w:ascii="Times New Roman" w:hAnsi="Times New Roman" w:cs="Times New Roman"/>
          <w:bCs/>
        </w:rPr>
        <w:t>being taken from the years 2</w:t>
      </w:r>
      <w:r w:rsidR="00FA2E2C">
        <w:rPr>
          <w:rFonts w:ascii="Times New Roman" w:hAnsi="Times New Roman" w:cs="Times New Roman"/>
          <w:bCs/>
        </w:rPr>
        <w:t>021 to 2025</w:t>
      </w:r>
      <w:r w:rsidR="0027218C">
        <w:rPr>
          <w:rFonts w:ascii="Times New Roman" w:hAnsi="Times New Roman" w:cs="Times New Roman"/>
          <w:bCs/>
        </w:rPr>
        <w:t xml:space="preserve">. </w:t>
      </w:r>
      <w:r w:rsidR="006173D3">
        <w:rPr>
          <w:rFonts w:ascii="Times New Roman" w:hAnsi="Times New Roman" w:cs="Times New Roman"/>
          <w:bCs/>
        </w:rPr>
        <w:t xml:space="preserve">While HBF note that the </w:t>
      </w:r>
      <w:r w:rsidR="00F77905">
        <w:rPr>
          <w:rFonts w:ascii="Times New Roman" w:hAnsi="Times New Roman" w:cs="Times New Roman"/>
          <w:bCs/>
        </w:rPr>
        <w:t>plan</w:t>
      </w:r>
      <w:r w:rsidR="006173D3">
        <w:rPr>
          <w:rFonts w:ascii="Times New Roman" w:hAnsi="Times New Roman" w:cs="Times New Roman"/>
          <w:bCs/>
        </w:rPr>
        <w:t xml:space="preserve"> period effectively runs from the point of submission</w:t>
      </w:r>
      <w:r w:rsidR="00ED3BAF">
        <w:rPr>
          <w:rFonts w:ascii="Times New Roman" w:hAnsi="Times New Roman" w:cs="Times New Roman"/>
          <w:bCs/>
        </w:rPr>
        <w:t>,</w:t>
      </w:r>
      <w:r w:rsidR="006173D3">
        <w:rPr>
          <w:rFonts w:ascii="Times New Roman" w:hAnsi="Times New Roman" w:cs="Times New Roman"/>
          <w:bCs/>
        </w:rPr>
        <w:t xml:space="preserve"> the data used to support th</w:t>
      </w:r>
      <w:r w:rsidR="00F155B9">
        <w:rPr>
          <w:rFonts w:ascii="Times New Roman" w:hAnsi="Times New Roman" w:cs="Times New Roman"/>
          <w:bCs/>
        </w:rPr>
        <w:t>e</w:t>
      </w:r>
      <w:r w:rsidR="006173D3">
        <w:rPr>
          <w:rFonts w:ascii="Times New Roman" w:hAnsi="Times New Roman" w:cs="Times New Roman"/>
          <w:bCs/>
        </w:rPr>
        <w:t xml:space="preserve"> assessment of housing needs was based on </w:t>
      </w:r>
      <w:r w:rsidR="00F77905">
        <w:rPr>
          <w:rFonts w:ascii="Times New Roman" w:hAnsi="Times New Roman" w:cs="Times New Roman"/>
          <w:bCs/>
        </w:rPr>
        <w:t xml:space="preserve">data </w:t>
      </w:r>
      <w:r w:rsidR="00ED3BAF">
        <w:rPr>
          <w:rFonts w:ascii="Times New Roman" w:hAnsi="Times New Roman" w:cs="Times New Roman"/>
          <w:bCs/>
        </w:rPr>
        <w:t>rela</w:t>
      </w:r>
      <w:r w:rsidR="00AA61C0">
        <w:rPr>
          <w:rFonts w:ascii="Times New Roman" w:hAnsi="Times New Roman" w:cs="Times New Roman"/>
          <w:bCs/>
        </w:rPr>
        <w:t>ting to 2025</w:t>
      </w:r>
      <w:r w:rsidR="00F77905">
        <w:rPr>
          <w:rFonts w:ascii="Times New Roman" w:hAnsi="Times New Roman" w:cs="Times New Roman"/>
          <w:bCs/>
        </w:rPr>
        <w:t xml:space="preserve">. This would suggest to the HBF that the plan period should start from </w:t>
      </w:r>
      <w:r w:rsidR="00603A73">
        <w:rPr>
          <w:rFonts w:ascii="Times New Roman" w:hAnsi="Times New Roman" w:cs="Times New Roman"/>
          <w:bCs/>
        </w:rPr>
        <w:t>2026</w:t>
      </w:r>
      <w:r w:rsidR="00EE00ED">
        <w:rPr>
          <w:rFonts w:ascii="Times New Roman" w:hAnsi="Times New Roman" w:cs="Times New Roman"/>
          <w:bCs/>
        </w:rPr>
        <w:t>/27</w:t>
      </w:r>
      <w:r w:rsidR="00603A73">
        <w:rPr>
          <w:rFonts w:ascii="Times New Roman" w:hAnsi="Times New Roman" w:cs="Times New Roman"/>
          <w:bCs/>
        </w:rPr>
        <w:t>,</w:t>
      </w:r>
      <w:r w:rsidR="00F77905">
        <w:rPr>
          <w:rFonts w:ascii="Times New Roman" w:hAnsi="Times New Roman" w:cs="Times New Roman"/>
          <w:bCs/>
        </w:rPr>
        <w:t xml:space="preserve"> the year in the housing needs assessment was undertaken</w:t>
      </w:r>
      <w:r w:rsidR="00603A73">
        <w:rPr>
          <w:rFonts w:ascii="Times New Roman" w:hAnsi="Times New Roman" w:cs="Times New Roman"/>
          <w:bCs/>
        </w:rPr>
        <w:t xml:space="preserve"> and in which the evidence </w:t>
      </w:r>
      <w:r w:rsidR="00AA61C0">
        <w:rPr>
          <w:rFonts w:ascii="Times New Roman" w:hAnsi="Times New Roman" w:cs="Times New Roman"/>
          <w:bCs/>
        </w:rPr>
        <w:t xml:space="preserve">is clearly most relevant </w:t>
      </w:r>
      <w:r w:rsidR="00F155B9">
        <w:rPr>
          <w:rFonts w:ascii="Times New Roman" w:hAnsi="Times New Roman" w:cs="Times New Roman"/>
          <w:bCs/>
        </w:rPr>
        <w:t>to</w:t>
      </w:r>
      <w:r w:rsidR="00EE00ED">
        <w:rPr>
          <w:rFonts w:ascii="Times New Roman" w:hAnsi="Times New Roman" w:cs="Times New Roman"/>
          <w:bCs/>
        </w:rPr>
        <w:t xml:space="preserve"> rather than </w:t>
      </w:r>
      <w:r w:rsidR="00906FC2">
        <w:rPr>
          <w:rFonts w:ascii="Times New Roman" w:hAnsi="Times New Roman" w:cs="Times New Roman"/>
          <w:bCs/>
        </w:rPr>
        <w:t>2027/28</w:t>
      </w:r>
      <w:r w:rsidR="00F155B9">
        <w:rPr>
          <w:rFonts w:ascii="Times New Roman" w:hAnsi="Times New Roman" w:cs="Times New Roman"/>
          <w:bCs/>
        </w:rPr>
        <w:t xml:space="preserve">. </w:t>
      </w:r>
    </w:p>
    <w:p w14:paraId="0B9868F5" w14:textId="414F086F" w:rsidR="001628A7" w:rsidRDefault="00211217" w:rsidP="00F71AD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Secondly, the end of plan is 2041/42</w:t>
      </w:r>
      <w:r w:rsidR="004D444D">
        <w:rPr>
          <w:rFonts w:ascii="Times New Roman" w:hAnsi="Times New Roman" w:cs="Times New Roman"/>
          <w:bCs/>
        </w:rPr>
        <w:t xml:space="preserve">. This means that the </w:t>
      </w:r>
      <w:r w:rsidR="006F6C9A">
        <w:rPr>
          <w:rFonts w:ascii="Times New Roman" w:hAnsi="Times New Roman" w:cs="Times New Roman"/>
          <w:bCs/>
        </w:rPr>
        <w:t xml:space="preserve">plan </w:t>
      </w:r>
      <w:r w:rsidR="00B53788">
        <w:rPr>
          <w:rFonts w:ascii="Times New Roman" w:hAnsi="Times New Roman" w:cs="Times New Roman"/>
          <w:bCs/>
        </w:rPr>
        <w:t>looks</w:t>
      </w:r>
      <w:r w:rsidR="006F6C9A">
        <w:rPr>
          <w:rFonts w:ascii="Times New Roman" w:hAnsi="Times New Roman" w:cs="Times New Roman"/>
          <w:bCs/>
        </w:rPr>
        <w:t xml:space="preserve"> forward for 15 years from the p</w:t>
      </w:r>
      <w:r w:rsidR="006B7FEE">
        <w:rPr>
          <w:rFonts w:ascii="Times New Roman" w:hAnsi="Times New Roman" w:cs="Times New Roman"/>
          <w:bCs/>
        </w:rPr>
        <w:t>o</w:t>
      </w:r>
      <w:r w:rsidR="006F6C9A">
        <w:rPr>
          <w:rFonts w:ascii="Times New Roman" w:hAnsi="Times New Roman" w:cs="Times New Roman"/>
          <w:bCs/>
        </w:rPr>
        <w:t xml:space="preserve">int at </w:t>
      </w:r>
      <w:r w:rsidR="006B7FEE">
        <w:rPr>
          <w:rFonts w:ascii="Times New Roman" w:hAnsi="Times New Roman" w:cs="Times New Roman"/>
          <w:bCs/>
        </w:rPr>
        <w:t>which</w:t>
      </w:r>
      <w:r w:rsidR="006F6C9A">
        <w:rPr>
          <w:rFonts w:ascii="Times New Roman" w:hAnsi="Times New Roman" w:cs="Times New Roman"/>
          <w:bCs/>
        </w:rPr>
        <w:t xml:space="preserve"> the plan period starts. </w:t>
      </w:r>
      <w:r w:rsidR="00E05FAF">
        <w:rPr>
          <w:rFonts w:ascii="Times New Roman" w:hAnsi="Times New Roman" w:cs="Times New Roman"/>
          <w:bCs/>
        </w:rPr>
        <w:t xml:space="preserve">However, </w:t>
      </w:r>
      <w:r w:rsidR="006B7FEE">
        <w:rPr>
          <w:rFonts w:ascii="Times New Roman" w:hAnsi="Times New Roman" w:cs="Times New Roman"/>
          <w:bCs/>
        </w:rPr>
        <w:t>this approach is inconsistent</w:t>
      </w:r>
      <w:r w:rsidR="006F6C9A">
        <w:rPr>
          <w:rFonts w:ascii="Times New Roman" w:hAnsi="Times New Roman" w:cs="Times New Roman"/>
          <w:bCs/>
        </w:rPr>
        <w:t xml:space="preserve"> with </w:t>
      </w:r>
      <w:r w:rsidR="006B7FEE">
        <w:rPr>
          <w:rFonts w:ascii="Times New Roman" w:hAnsi="Times New Roman" w:cs="Times New Roman"/>
          <w:bCs/>
        </w:rPr>
        <w:t>paragraph</w:t>
      </w:r>
      <w:r w:rsidR="006F6C9A">
        <w:rPr>
          <w:rFonts w:ascii="Times New Roman" w:hAnsi="Times New Roman" w:cs="Times New Roman"/>
          <w:bCs/>
        </w:rPr>
        <w:t xml:space="preserve"> 22 </w:t>
      </w:r>
      <w:r w:rsidR="006B7FEE">
        <w:rPr>
          <w:rFonts w:ascii="Times New Roman" w:hAnsi="Times New Roman" w:cs="Times New Roman"/>
          <w:bCs/>
        </w:rPr>
        <w:t>of</w:t>
      </w:r>
      <w:r w:rsidR="006F6C9A">
        <w:rPr>
          <w:rFonts w:ascii="Times New Roman" w:hAnsi="Times New Roman" w:cs="Times New Roman"/>
          <w:bCs/>
        </w:rPr>
        <w:t xml:space="preserve"> the </w:t>
      </w:r>
      <w:r w:rsidR="006B7FEE">
        <w:rPr>
          <w:rFonts w:ascii="Times New Roman" w:hAnsi="Times New Roman" w:cs="Times New Roman"/>
          <w:bCs/>
        </w:rPr>
        <w:t>N</w:t>
      </w:r>
      <w:r w:rsidR="006F6C9A">
        <w:rPr>
          <w:rFonts w:ascii="Times New Roman" w:hAnsi="Times New Roman" w:cs="Times New Roman"/>
          <w:bCs/>
        </w:rPr>
        <w:t xml:space="preserve">PPF which states </w:t>
      </w:r>
      <w:r w:rsidR="006F6C9A">
        <w:rPr>
          <w:rFonts w:ascii="Times New Roman" w:hAnsi="Times New Roman" w:cs="Times New Roman"/>
          <w:bCs/>
        </w:rPr>
        <w:lastRenderedPageBreak/>
        <w:t xml:space="preserve">that </w:t>
      </w:r>
      <w:r w:rsidR="00E05FAF" w:rsidRPr="00E05FAF">
        <w:rPr>
          <w:rFonts w:ascii="Times New Roman" w:hAnsi="Times New Roman" w:cs="Times New Roman"/>
          <w:bCs/>
        </w:rPr>
        <w:t>Strategic policies should look ahead over a minimum 15 year period from adoption</w:t>
      </w:r>
      <w:r w:rsidR="006B7FEE">
        <w:rPr>
          <w:rFonts w:ascii="Times New Roman" w:hAnsi="Times New Roman" w:cs="Times New Roman"/>
          <w:bCs/>
        </w:rPr>
        <w:t>.</w:t>
      </w:r>
      <w:r w:rsidR="00C45CC1">
        <w:rPr>
          <w:rFonts w:ascii="Times New Roman" w:hAnsi="Times New Roman" w:cs="Times New Roman"/>
          <w:bCs/>
        </w:rPr>
        <w:t xml:space="preserve"> In </w:t>
      </w:r>
      <w:r w:rsidR="00D5320B">
        <w:rPr>
          <w:rFonts w:ascii="Times New Roman" w:hAnsi="Times New Roman" w:cs="Times New Roman"/>
          <w:bCs/>
        </w:rPr>
        <w:t>our</w:t>
      </w:r>
      <w:r w:rsidR="00C45CC1">
        <w:rPr>
          <w:rFonts w:ascii="Times New Roman" w:hAnsi="Times New Roman" w:cs="Times New Roman"/>
          <w:bCs/>
        </w:rPr>
        <w:t xml:space="preserve"> experience the period between a plan </w:t>
      </w:r>
      <w:r w:rsidR="00D5320B">
        <w:rPr>
          <w:rFonts w:ascii="Times New Roman" w:hAnsi="Times New Roman" w:cs="Times New Roman"/>
          <w:bCs/>
        </w:rPr>
        <w:t>being</w:t>
      </w:r>
      <w:r w:rsidR="00C45CC1">
        <w:rPr>
          <w:rFonts w:ascii="Times New Roman" w:hAnsi="Times New Roman" w:cs="Times New Roman"/>
          <w:bCs/>
        </w:rPr>
        <w:t xml:space="preserve"> submitted and </w:t>
      </w:r>
      <w:r w:rsidR="00D5320B">
        <w:rPr>
          <w:rFonts w:ascii="Times New Roman" w:hAnsi="Times New Roman" w:cs="Times New Roman"/>
          <w:bCs/>
        </w:rPr>
        <w:t>adopted</w:t>
      </w:r>
      <w:r w:rsidR="00C45CC1">
        <w:rPr>
          <w:rFonts w:ascii="Times New Roman" w:hAnsi="Times New Roman" w:cs="Times New Roman"/>
          <w:bCs/>
        </w:rPr>
        <w:t xml:space="preserve"> </w:t>
      </w:r>
      <w:r w:rsidR="00D5320B">
        <w:rPr>
          <w:rFonts w:ascii="Times New Roman" w:hAnsi="Times New Roman" w:cs="Times New Roman"/>
          <w:bCs/>
        </w:rPr>
        <w:t>takes a minimum of 12 months</w:t>
      </w:r>
      <w:r w:rsidR="007C0BEA">
        <w:rPr>
          <w:rFonts w:ascii="Times New Roman" w:hAnsi="Times New Roman" w:cs="Times New Roman"/>
          <w:bCs/>
        </w:rPr>
        <w:t>. Assuming that</w:t>
      </w:r>
      <w:r w:rsidR="00641805">
        <w:rPr>
          <w:rFonts w:ascii="Times New Roman" w:hAnsi="Times New Roman" w:cs="Times New Roman"/>
          <w:bCs/>
        </w:rPr>
        <w:t xml:space="preserve"> this plan is submitted in December </w:t>
      </w:r>
      <w:r w:rsidR="0094011D">
        <w:rPr>
          <w:rFonts w:ascii="Times New Roman" w:hAnsi="Times New Roman" w:cs="Times New Roman"/>
          <w:bCs/>
        </w:rPr>
        <w:t>2026,</w:t>
      </w:r>
      <w:r w:rsidR="00641805">
        <w:rPr>
          <w:rFonts w:ascii="Times New Roman" w:hAnsi="Times New Roman" w:cs="Times New Roman"/>
          <w:bCs/>
        </w:rPr>
        <w:t xml:space="preserve"> the earliest the </w:t>
      </w:r>
      <w:r w:rsidR="0094011D">
        <w:rPr>
          <w:rFonts w:ascii="Times New Roman" w:hAnsi="Times New Roman" w:cs="Times New Roman"/>
          <w:bCs/>
        </w:rPr>
        <w:t xml:space="preserve">local </w:t>
      </w:r>
      <w:r w:rsidR="00641805">
        <w:rPr>
          <w:rFonts w:ascii="Times New Roman" w:hAnsi="Times New Roman" w:cs="Times New Roman"/>
          <w:bCs/>
        </w:rPr>
        <w:t>plan is likely to be adopted will be January 2028.</w:t>
      </w:r>
      <w:r w:rsidR="0094011D">
        <w:rPr>
          <w:rFonts w:ascii="Times New Roman" w:hAnsi="Times New Roman" w:cs="Times New Roman"/>
          <w:bCs/>
        </w:rPr>
        <w:t xml:space="preserve"> In order to have at least 15 years from the point of adoption</w:t>
      </w:r>
      <w:r w:rsidR="00A62ADF">
        <w:rPr>
          <w:rFonts w:ascii="Times New Roman" w:hAnsi="Times New Roman" w:cs="Times New Roman"/>
          <w:bCs/>
        </w:rPr>
        <w:t xml:space="preserve"> </w:t>
      </w:r>
      <w:r w:rsidR="00D04034">
        <w:rPr>
          <w:rFonts w:ascii="Times New Roman" w:hAnsi="Times New Roman" w:cs="Times New Roman"/>
          <w:bCs/>
        </w:rPr>
        <w:t xml:space="preserve">the plan period should </w:t>
      </w:r>
      <w:r w:rsidR="00937FCB">
        <w:rPr>
          <w:rFonts w:ascii="Times New Roman" w:hAnsi="Times New Roman" w:cs="Times New Roman"/>
          <w:bCs/>
        </w:rPr>
        <w:t>be extended</w:t>
      </w:r>
      <w:r w:rsidR="00D04034">
        <w:rPr>
          <w:rFonts w:ascii="Times New Roman" w:hAnsi="Times New Roman" w:cs="Times New Roman"/>
          <w:bCs/>
        </w:rPr>
        <w:t xml:space="preserve"> to 2042/43.</w:t>
      </w:r>
    </w:p>
    <w:p w14:paraId="6DEFA7E0" w14:textId="0B7A2937" w:rsidR="00937FCB" w:rsidRDefault="00993A1A" w:rsidP="00F71AD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Therefore,</w:t>
      </w:r>
      <w:r w:rsidR="00937FCB">
        <w:rPr>
          <w:rFonts w:ascii="Times New Roman" w:hAnsi="Times New Roman" w:cs="Times New Roman"/>
          <w:bCs/>
        </w:rPr>
        <w:t xml:space="preserve"> HBF </w:t>
      </w:r>
      <w:r w:rsidR="004F75A5">
        <w:rPr>
          <w:rFonts w:ascii="Times New Roman" w:hAnsi="Times New Roman" w:cs="Times New Roman"/>
          <w:bCs/>
        </w:rPr>
        <w:t>considers</w:t>
      </w:r>
      <w:r w:rsidR="00B84285">
        <w:rPr>
          <w:rFonts w:ascii="Times New Roman" w:hAnsi="Times New Roman" w:cs="Times New Roman"/>
          <w:bCs/>
        </w:rPr>
        <w:t xml:space="preserve"> the sound plan period for the Sevenoaks Local Plan should be 2026/27 to 204</w:t>
      </w:r>
      <w:r w:rsidR="00C10770">
        <w:rPr>
          <w:rFonts w:ascii="Times New Roman" w:hAnsi="Times New Roman" w:cs="Times New Roman"/>
          <w:bCs/>
        </w:rPr>
        <w:t>2/43</w:t>
      </w:r>
      <w:r w:rsidR="004F75A5">
        <w:rPr>
          <w:rFonts w:ascii="Times New Roman" w:hAnsi="Times New Roman" w:cs="Times New Roman"/>
          <w:bCs/>
        </w:rPr>
        <w:t xml:space="preserve"> and that housing needs should be </w:t>
      </w:r>
      <w:r w:rsidR="00E56ABD">
        <w:rPr>
          <w:rFonts w:ascii="Times New Roman" w:hAnsi="Times New Roman" w:cs="Times New Roman"/>
          <w:bCs/>
        </w:rPr>
        <w:t>19,465</w:t>
      </w:r>
      <w:r w:rsidR="00D303BD">
        <w:rPr>
          <w:rFonts w:ascii="Times New Roman" w:hAnsi="Times New Roman" w:cs="Times New Roman"/>
          <w:bCs/>
        </w:rPr>
        <w:t xml:space="preserve"> homes. </w:t>
      </w:r>
    </w:p>
    <w:p w14:paraId="6AC9BE1F" w14:textId="297013E0" w:rsidR="006173AA" w:rsidRPr="006173AA" w:rsidRDefault="006173AA" w:rsidP="006173AA">
      <w:pPr>
        <w:widowControl/>
        <w:suppressAutoHyphens w:val="0"/>
        <w:autoSpaceDE/>
        <w:spacing w:after="240" w:line="360" w:lineRule="auto"/>
        <w:jc w:val="both"/>
        <w:rPr>
          <w:rFonts w:ascii="Times New Roman" w:hAnsi="Times New Roman" w:cs="Times New Roman"/>
          <w:bCs/>
          <w:i/>
          <w:iCs/>
          <w:u w:val="single"/>
        </w:rPr>
      </w:pPr>
      <w:r w:rsidRPr="006173AA">
        <w:rPr>
          <w:rFonts w:ascii="Times New Roman" w:hAnsi="Times New Roman" w:cs="Times New Roman"/>
          <w:bCs/>
          <w:i/>
          <w:iCs/>
          <w:u w:val="single"/>
        </w:rPr>
        <w:t>Unmet housing needs</w:t>
      </w:r>
    </w:p>
    <w:p w14:paraId="00EBA4F4" w14:textId="77777777" w:rsidR="00FA09F6" w:rsidRDefault="00166D9D" w:rsidP="009C7CB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Following</w:t>
      </w:r>
      <w:r w:rsidR="00B5067C">
        <w:rPr>
          <w:rFonts w:ascii="Times New Roman" w:hAnsi="Times New Roman" w:cs="Times New Roman"/>
          <w:bCs/>
        </w:rPr>
        <w:t xml:space="preserve"> the</w:t>
      </w:r>
      <w:r>
        <w:rPr>
          <w:rFonts w:ascii="Times New Roman" w:hAnsi="Times New Roman" w:cs="Times New Roman"/>
          <w:bCs/>
        </w:rPr>
        <w:t xml:space="preserve"> publication of the </w:t>
      </w:r>
      <w:r w:rsidR="00646B31">
        <w:rPr>
          <w:rFonts w:ascii="Times New Roman" w:hAnsi="Times New Roman" w:cs="Times New Roman"/>
          <w:bCs/>
        </w:rPr>
        <w:t>Housing</w:t>
      </w:r>
      <w:r>
        <w:rPr>
          <w:rFonts w:ascii="Times New Roman" w:hAnsi="Times New Roman" w:cs="Times New Roman"/>
          <w:bCs/>
        </w:rPr>
        <w:t xml:space="preserve"> </w:t>
      </w:r>
      <w:r w:rsidR="000A77F8">
        <w:rPr>
          <w:rFonts w:ascii="Times New Roman" w:hAnsi="Times New Roman" w:cs="Times New Roman"/>
          <w:bCs/>
        </w:rPr>
        <w:t xml:space="preserve">and Planning </w:t>
      </w:r>
      <w:r w:rsidR="00646B31">
        <w:rPr>
          <w:rFonts w:ascii="Times New Roman" w:hAnsi="Times New Roman" w:cs="Times New Roman"/>
          <w:bCs/>
        </w:rPr>
        <w:t>Minister</w:t>
      </w:r>
      <w:r>
        <w:rPr>
          <w:rFonts w:ascii="Times New Roman" w:hAnsi="Times New Roman" w:cs="Times New Roman"/>
          <w:bCs/>
        </w:rPr>
        <w:t xml:space="preserve"> Written </w:t>
      </w:r>
      <w:r w:rsidR="000A77F8">
        <w:rPr>
          <w:rFonts w:ascii="Times New Roman" w:hAnsi="Times New Roman" w:cs="Times New Roman"/>
          <w:bCs/>
        </w:rPr>
        <w:t>Ministerial</w:t>
      </w:r>
      <w:r>
        <w:rPr>
          <w:rFonts w:ascii="Times New Roman" w:hAnsi="Times New Roman" w:cs="Times New Roman"/>
          <w:bCs/>
        </w:rPr>
        <w:t xml:space="preserve"> Statement on the 27</w:t>
      </w:r>
      <w:r w:rsidRPr="00166D9D">
        <w:rPr>
          <w:rFonts w:ascii="Times New Roman" w:hAnsi="Times New Roman" w:cs="Times New Roman"/>
          <w:bCs/>
          <w:vertAlign w:val="superscript"/>
        </w:rPr>
        <w:t>th</w:t>
      </w:r>
      <w:r>
        <w:rPr>
          <w:rFonts w:ascii="Times New Roman" w:hAnsi="Times New Roman" w:cs="Times New Roman"/>
          <w:bCs/>
        </w:rPr>
        <w:t xml:space="preserve"> o</w:t>
      </w:r>
      <w:r w:rsidR="000A77F8">
        <w:rPr>
          <w:rFonts w:ascii="Times New Roman" w:hAnsi="Times New Roman" w:cs="Times New Roman"/>
          <w:bCs/>
        </w:rPr>
        <w:t>f</w:t>
      </w:r>
      <w:r>
        <w:rPr>
          <w:rFonts w:ascii="Times New Roman" w:hAnsi="Times New Roman" w:cs="Times New Roman"/>
          <w:bCs/>
        </w:rPr>
        <w:t xml:space="preserve"> Novem</w:t>
      </w:r>
      <w:r w:rsidR="0094692C">
        <w:rPr>
          <w:rFonts w:ascii="Times New Roman" w:hAnsi="Times New Roman" w:cs="Times New Roman"/>
          <w:bCs/>
        </w:rPr>
        <w:t xml:space="preserve">ber the </w:t>
      </w:r>
      <w:r w:rsidR="00F43210">
        <w:rPr>
          <w:rFonts w:ascii="Times New Roman" w:hAnsi="Times New Roman" w:cs="Times New Roman"/>
          <w:bCs/>
        </w:rPr>
        <w:t>Government</w:t>
      </w:r>
      <w:r w:rsidR="0094692C">
        <w:rPr>
          <w:rFonts w:ascii="Times New Roman" w:hAnsi="Times New Roman" w:cs="Times New Roman"/>
          <w:bCs/>
        </w:rPr>
        <w:t xml:space="preserve"> have deiced not to </w:t>
      </w:r>
      <w:r w:rsidR="00935403">
        <w:rPr>
          <w:rFonts w:ascii="Times New Roman" w:hAnsi="Times New Roman" w:cs="Times New Roman"/>
          <w:bCs/>
        </w:rPr>
        <w:t xml:space="preserve">save the Duty to Co-operate. </w:t>
      </w:r>
      <w:r w:rsidR="00F43210">
        <w:rPr>
          <w:rFonts w:ascii="Times New Roman" w:hAnsi="Times New Roman" w:cs="Times New Roman"/>
          <w:bCs/>
        </w:rPr>
        <w:t>This</w:t>
      </w:r>
      <w:r w:rsidR="00935403">
        <w:rPr>
          <w:rFonts w:ascii="Times New Roman" w:hAnsi="Times New Roman" w:cs="Times New Roman"/>
          <w:bCs/>
        </w:rPr>
        <w:t xml:space="preserve"> means that </w:t>
      </w:r>
      <w:r w:rsidR="00F43210">
        <w:rPr>
          <w:rFonts w:ascii="Times New Roman" w:hAnsi="Times New Roman" w:cs="Times New Roman"/>
          <w:bCs/>
        </w:rPr>
        <w:t>Sevenoaks</w:t>
      </w:r>
      <w:r w:rsidR="00935403">
        <w:rPr>
          <w:rFonts w:ascii="Times New Roman" w:hAnsi="Times New Roman" w:cs="Times New Roman"/>
          <w:bCs/>
        </w:rPr>
        <w:t xml:space="preserve"> </w:t>
      </w:r>
      <w:r w:rsidR="00F43210">
        <w:rPr>
          <w:rFonts w:ascii="Times New Roman" w:hAnsi="Times New Roman" w:cs="Times New Roman"/>
          <w:bCs/>
        </w:rPr>
        <w:t xml:space="preserve">is no longer under a duty to co-operate with its neighbours. However, this does not remove </w:t>
      </w:r>
      <w:r w:rsidR="000A77F8">
        <w:rPr>
          <w:rFonts w:ascii="Times New Roman" w:hAnsi="Times New Roman" w:cs="Times New Roman"/>
          <w:bCs/>
        </w:rPr>
        <w:t xml:space="preserve">the policy requirement in the NPPF </w:t>
      </w:r>
      <w:r w:rsidR="00571F91">
        <w:rPr>
          <w:rFonts w:ascii="Times New Roman" w:hAnsi="Times New Roman" w:cs="Times New Roman"/>
          <w:bCs/>
        </w:rPr>
        <w:t xml:space="preserve">to maintain effective co-operation nor </w:t>
      </w:r>
      <w:r w:rsidR="00F17BB2">
        <w:rPr>
          <w:rFonts w:ascii="Times New Roman" w:hAnsi="Times New Roman" w:cs="Times New Roman"/>
          <w:bCs/>
        </w:rPr>
        <w:t xml:space="preserve">in </w:t>
      </w:r>
      <w:r w:rsidR="002B3B7D">
        <w:rPr>
          <w:rFonts w:ascii="Times New Roman" w:hAnsi="Times New Roman" w:cs="Times New Roman"/>
          <w:bCs/>
        </w:rPr>
        <w:t>addition</w:t>
      </w:r>
      <w:r w:rsidR="00F17BB2">
        <w:rPr>
          <w:rFonts w:ascii="Times New Roman" w:hAnsi="Times New Roman" w:cs="Times New Roman"/>
          <w:bCs/>
        </w:rPr>
        <w:t xml:space="preserve"> to their own needs </w:t>
      </w:r>
      <w:r w:rsidR="002B3B7D">
        <w:rPr>
          <w:rFonts w:ascii="Times New Roman" w:hAnsi="Times New Roman" w:cs="Times New Roman"/>
          <w:bCs/>
        </w:rPr>
        <w:t>“</w:t>
      </w:r>
      <w:r w:rsidR="002B3B7D" w:rsidRPr="002B3B7D">
        <w:rPr>
          <w:rFonts w:ascii="Times New Roman" w:hAnsi="Times New Roman" w:cs="Times New Roman"/>
          <w:bCs/>
          <w:i/>
          <w:iCs/>
        </w:rPr>
        <w:t xml:space="preserve">… </w:t>
      </w:r>
      <w:r w:rsidR="00F17BB2" w:rsidRPr="002B3B7D">
        <w:rPr>
          <w:rFonts w:ascii="Times New Roman" w:hAnsi="Times New Roman" w:cs="Times New Roman"/>
          <w:bCs/>
          <w:i/>
          <w:iCs/>
        </w:rPr>
        <w:t>any needs that cannot be met within neighbouring areas should also be taken into account in establishing the amount of housing to be planned for</w:t>
      </w:r>
      <w:r w:rsidR="002B3B7D">
        <w:rPr>
          <w:rFonts w:ascii="Times New Roman" w:hAnsi="Times New Roman" w:cs="Times New Roman"/>
          <w:bCs/>
        </w:rPr>
        <w:t>”</w:t>
      </w:r>
      <w:r w:rsidR="00F17BB2" w:rsidRPr="00F17BB2">
        <w:rPr>
          <w:rFonts w:ascii="Times New Roman" w:hAnsi="Times New Roman" w:cs="Times New Roman"/>
          <w:bCs/>
        </w:rPr>
        <w:t>.</w:t>
      </w:r>
      <w:r w:rsidR="007558A6">
        <w:rPr>
          <w:rFonts w:ascii="Times New Roman" w:hAnsi="Times New Roman" w:cs="Times New Roman"/>
          <w:bCs/>
        </w:rPr>
        <w:t xml:space="preserve"> </w:t>
      </w:r>
      <w:r w:rsidR="002B2293">
        <w:rPr>
          <w:rFonts w:ascii="Times New Roman" w:hAnsi="Times New Roman" w:cs="Times New Roman"/>
          <w:bCs/>
        </w:rPr>
        <w:t>Therefore,</w:t>
      </w:r>
      <w:r w:rsidR="007558A6">
        <w:rPr>
          <w:rFonts w:ascii="Times New Roman" w:hAnsi="Times New Roman" w:cs="Times New Roman"/>
          <w:bCs/>
        </w:rPr>
        <w:t xml:space="preserve"> in </w:t>
      </w:r>
      <w:r w:rsidR="008E4FDC">
        <w:rPr>
          <w:rFonts w:ascii="Times New Roman" w:hAnsi="Times New Roman" w:cs="Times New Roman"/>
          <w:bCs/>
        </w:rPr>
        <w:t xml:space="preserve">preparing this local plan consideration must be given to the unmet needs that are </w:t>
      </w:r>
      <w:r w:rsidR="002B2293">
        <w:rPr>
          <w:rFonts w:ascii="Times New Roman" w:hAnsi="Times New Roman" w:cs="Times New Roman"/>
          <w:bCs/>
        </w:rPr>
        <w:t>potentially</w:t>
      </w:r>
      <w:r w:rsidR="008E4FDC">
        <w:rPr>
          <w:rFonts w:ascii="Times New Roman" w:hAnsi="Times New Roman" w:cs="Times New Roman"/>
          <w:bCs/>
        </w:rPr>
        <w:t xml:space="preserve"> </w:t>
      </w:r>
      <w:r w:rsidR="008C7D55">
        <w:rPr>
          <w:rFonts w:ascii="Times New Roman" w:hAnsi="Times New Roman" w:cs="Times New Roman"/>
          <w:bCs/>
        </w:rPr>
        <w:t>arising</w:t>
      </w:r>
      <w:r w:rsidR="008E4FDC">
        <w:rPr>
          <w:rFonts w:ascii="Times New Roman" w:hAnsi="Times New Roman" w:cs="Times New Roman"/>
          <w:bCs/>
        </w:rPr>
        <w:t xml:space="preserve"> in neighbouring areas and considering options as t</w:t>
      </w:r>
      <w:r w:rsidR="008C7D55">
        <w:rPr>
          <w:rFonts w:ascii="Times New Roman" w:hAnsi="Times New Roman" w:cs="Times New Roman"/>
          <w:bCs/>
        </w:rPr>
        <w:t xml:space="preserve">o whether these needs could be met. </w:t>
      </w:r>
    </w:p>
    <w:p w14:paraId="14C9DE9E" w14:textId="35906E7E" w:rsidR="0089497E" w:rsidRDefault="004E2A9A" w:rsidP="009C7CB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However, </w:t>
      </w:r>
      <w:r w:rsidRPr="004E2A9A">
        <w:rPr>
          <w:rFonts w:ascii="Times New Roman" w:hAnsi="Times New Roman" w:cs="Times New Roman"/>
          <w:bCs/>
        </w:rPr>
        <w:t>HBF could not find an assessment in the Council’s evidence as to what the level of unmet might be in neighbouring areas HBF are concerned that many of those local authorities adjoining or with close links to Sevenoaks may struggle to meet their housing needs. The table below shows the level of delivery that is expected by the new standard method compared to the previous iteration. It is clear that a sign</w:t>
      </w:r>
      <w:r>
        <w:rPr>
          <w:rFonts w:ascii="Times New Roman" w:hAnsi="Times New Roman" w:cs="Times New Roman"/>
          <w:bCs/>
        </w:rPr>
        <w:t>ificant</w:t>
      </w:r>
      <w:r w:rsidRPr="004E2A9A">
        <w:rPr>
          <w:rFonts w:ascii="Times New Roman" w:hAnsi="Times New Roman" w:cs="Times New Roman"/>
          <w:bCs/>
        </w:rPr>
        <w:t xml:space="preserve"> increase in allocations </w:t>
      </w:r>
      <w:r w:rsidR="007D6D29">
        <w:rPr>
          <w:rFonts w:ascii="Times New Roman" w:hAnsi="Times New Roman" w:cs="Times New Roman"/>
          <w:bCs/>
        </w:rPr>
        <w:t xml:space="preserve">across the sub region </w:t>
      </w:r>
      <w:r w:rsidRPr="004E2A9A">
        <w:rPr>
          <w:rFonts w:ascii="Times New Roman" w:hAnsi="Times New Roman" w:cs="Times New Roman"/>
          <w:bCs/>
        </w:rPr>
        <w:t>will be required</w:t>
      </w:r>
      <w:r>
        <w:rPr>
          <w:rFonts w:ascii="Times New Roman" w:hAnsi="Times New Roman" w:cs="Times New Roman"/>
          <w:bCs/>
        </w:rPr>
        <w:t xml:space="preserve"> and that there</w:t>
      </w:r>
      <w:r w:rsidR="00E64324">
        <w:rPr>
          <w:rFonts w:ascii="Times New Roman" w:hAnsi="Times New Roman" w:cs="Times New Roman"/>
          <w:bCs/>
        </w:rPr>
        <w:t xml:space="preserve"> is a significant risk that housing needs will not be met in full. </w:t>
      </w:r>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37"/>
        <w:gridCol w:w="2734"/>
        <w:gridCol w:w="2185"/>
        <w:gridCol w:w="2508"/>
      </w:tblGrid>
      <w:tr w:rsidR="00581984" w:rsidRPr="005E58D7" w14:paraId="646C53FB" w14:textId="77777777" w:rsidTr="005126D7">
        <w:tc>
          <w:tcPr>
            <w:tcW w:w="1346" w:type="pct"/>
            <w:tcBorders>
              <w:top w:val="single" w:sz="18" w:space="0" w:color="auto"/>
              <w:bottom w:val="single" w:sz="18" w:space="0" w:color="auto"/>
            </w:tcBorders>
            <w:shd w:val="clear" w:color="auto" w:fill="FFFFFF" w:themeFill="background1"/>
            <w:vAlign w:val="center"/>
          </w:tcPr>
          <w:p w14:paraId="75C3852D" w14:textId="5527B9E2" w:rsidR="00581984" w:rsidRPr="005E58D7" w:rsidRDefault="00581984" w:rsidP="005126D7">
            <w:pPr>
              <w:rPr>
                <w:rFonts w:ascii="Times New Roman" w:hAnsi="Times New Roman" w:cs="Times New Roman"/>
                <w:b/>
                <w:bCs/>
                <w:sz w:val="22"/>
                <w:szCs w:val="22"/>
              </w:rPr>
            </w:pPr>
            <w:bookmarkStart w:id="0" w:name="_Hlk215472134"/>
            <w:r w:rsidRPr="005126D7">
              <w:rPr>
                <w:rFonts w:ascii="Times New Roman" w:hAnsi="Times New Roman" w:cs="Times New Roman"/>
                <w:b/>
                <w:bCs/>
                <w:sz w:val="22"/>
                <w:szCs w:val="22"/>
              </w:rPr>
              <w:t>LPA</w:t>
            </w:r>
          </w:p>
        </w:tc>
        <w:tc>
          <w:tcPr>
            <w:tcW w:w="1345" w:type="pct"/>
            <w:tcBorders>
              <w:top w:val="single" w:sz="18" w:space="0" w:color="auto"/>
              <w:bottom w:val="single" w:sz="18" w:space="0" w:color="auto"/>
            </w:tcBorders>
            <w:shd w:val="clear" w:color="auto" w:fill="FFFFFF" w:themeFill="background1"/>
            <w:vAlign w:val="center"/>
          </w:tcPr>
          <w:p w14:paraId="6B951630" w14:textId="77777777" w:rsidR="00581984" w:rsidRPr="005E58D7" w:rsidRDefault="00581984" w:rsidP="005126D7">
            <w:pPr>
              <w:jc w:val="center"/>
              <w:rPr>
                <w:rFonts w:ascii="Times New Roman" w:hAnsi="Times New Roman" w:cs="Times New Roman"/>
                <w:b/>
                <w:bCs/>
                <w:sz w:val="22"/>
                <w:szCs w:val="22"/>
              </w:rPr>
            </w:pPr>
            <w:r w:rsidRPr="005E58D7">
              <w:rPr>
                <w:rFonts w:ascii="Times New Roman" w:hAnsi="Times New Roman" w:cs="Times New Roman"/>
                <w:b/>
                <w:bCs/>
                <w:sz w:val="22"/>
                <w:szCs w:val="22"/>
              </w:rPr>
              <w:t>LHN under the new standard method</w:t>
            </w:r>
          </w:p>
        </w:tc>
        <w:tc>
          <w:tcPr>
            <w:tcW w:w="1075" w:type="pct"/>
            <w:tcBorders>
              <w:top w:val="single" w:sz="18" w:space="0" w:color="auto"/>
              <w:bottom w:val="single" w:sz="18" w:space="0" w:color="auto"/>
            </w:tcBorders>
            <w:shd w:val="clear" w:color="auto" w:fill="FFFFFF" w:themeFill="background1"/>
            <w:vAlign w:val="center"/>
          </w:tcPr>
          <w:p w14:paraId="5B92B970" w14:textId="0902CAC1" w:rsidR="00581984" w:rsidRPr="005126D7" w:rsidRDefault="00581984" w:rsidP="005126D7">
            <w:pPr>
              <w:jc w:val="center"/>
              <w:rPr>
                <w:rFonts w:ascii="Times New Roman" w:hAnsi="Times New Roman" w:cs="Times New Roman"/>
                <w:b/>
                <w:bCs/>
                <w:sz w:val="22"/>
                <w:szCs w:val="22"/>
              </w:rPr>
            </w:pPr>
            <w:r w:rsidRPr="005126D7">
              <w:rPr>
                <w:rFonts w:ascii="Times New Roman" w:hAnsi="Times New Roman" w:cs="Times New Roman"/>
                <w:b/>
                <w:bCs/>
                <w:sz w:val="22"/>
                <w:szCs w:val="22"/>
              </w:rPr>
              <w:t>LHN under the previous standard method</w:t>
            </w:r>
          </w:p>
        </w:tc>
        <w:tc>
          <w:tcPr>
            <w:tcW w:w="1234" w:type="pct"/>
            <w:tcBorders>
              <w:top w:val="single" w:sz="18" w:space="0" w:color="auto"/>
              <w:bottom w:val="single" w:sz="18" w:space="0" w:color="auto"/>
            </w:tcBorders>
            <w:shd w:val="clear" w:color="auto" w:fill="FFFFFF" w:themeFill="background1"/>
            <w:vAlign w:val="center"/>
          </w:tcPr>
          <w:p w14:paraId="5181321D" w14:textId="004887F9" w:rsidR="00581984" w:rsidRPr="005E58D7" w:rsidRDefault="00581984" w:rsidP="005126D7">
            <w:pPr>
              <w:jc w:val="center"/>
              <w:rPr>
                <w:rFonts w:ascii="Times New Roman" w:hAnsi="Times New Roman" w:cs="Times New Roman"/>
                <w:b/>
                <w:bCs/>
                <w:sz w:val="22"/>
                <w:szCs w:val="22"/>
              </w:rPr>
            </w:pPr>
            <w:r w:rsidRPr="005E58D7">
              <w:rPr>
                <w:rFonts w:ascii="Times New Roman" w:hAnsi="Times New Roman" w:cs="Times New Roman"/>
                <w:b/>
                <w:bCs/>
                <w:sz w:val="22"/>
                <w:szCs w:val="22"/>
              </w:rPr>
              <w:t>Difference</w:t>
            </w:r>
          </w:p>
        </w:tc>
      </w:tr>
      <w:tr w:rsidR="003A43FF" w:rsidRPr="005E58D7" w14:paraId="66634D69" w14:textId="77777777" w:rsidTr="005126D7">
        <w:tc>
          <w:tcPr>
            <w:tcW w:w="1346" w:type="pct"/>
            <w:tcBorders>
              <w:top w:val="single" w:sz="18" w:space="0" w:color="auto"/>
            </w:tcBorders>
          </w:tcPr>
          <w:p w14:paraId="48BA0B8A" w14:textId="77777777" w:rsidR="003A43FF" w:rsidRPr="005E58D7" w:rsidRDefault="003A43FF" w:rsidP="00980B27">
            <w:pPr>
              <w:jc w:val="both"/>
              <w:rPr>
                <w:rFonts w:ascii="Times New Roman" w:hAnsi="Times New Roman" w:cs="Times New Roman"/>
                <w:sz w:val="22"/>
                <w:szCs w:val="22"/>
              </w:rPr>
            </w:pPr>
            <w:r w:rsidRPr="005E58D7">
              <w:rPr>
                <w:rFonts w:ascii="Times New Roman" w:hAnsi="Times New Roman" w:cs="Times New Roman"/>
                <w:sz w:val="22"/>
                <w:szCs w:val="22"/>
              </w:rPr>
              <w:t xml:space="preserve">Dartford </w:t>
            </w:r>
          </w:p>
        </w:tc>
        <w:tc>
          <w:tcPr>
            <w:tcW w:w="1345" w:type="pct"/>
            <w:tcBorders>
              <w:top w:val="single" w:sz="18" w:space="0" w:color="auto"/>
            </w:tcBorders>
            <w:vAlign w:val="center"/>
          </w:tcPr>
          <w:p w14:paraId="24599B48" w14:textId="77777777" w:rsidR="003A43FF" w:rsidRPr="005E58D7" w:rsidRDefault="003A43FF" w:rsidP="005126D7">
            <w:pPr>
              <w:jc w:val="center"/>
              <w:rPr>
                <w:rFonts w:ascii="Times New Roman" w:hAnsi="Times New Roman" w:cs="Times New Roman"/>
                <w:sz w:val="22"/>
                <w:szCs w:val="22"/>
              </w:rPr>
            </w:pPr>
            <w:r w:rsidRPr="005E58D7">
              <w:rPr>
                <w:rFonts w:ascii="Times New Roman" w:hAnsi="Times New Roman" w:cs="Times New Roman"/>
                <w:sz w:val="22"/>
                <w:szCs w:val="22"/>
              </w:rPr>
              <w:t>712</w:t>
            </w:r>
          </w:p>
        </w:tc>
        <w:tc>
          <w:tcPr>
            <w:tcW w:w="1075" w:type="pct"/>
            <w:tcBorders>
              <w:top w:val="single" w:sz="18" w:space="0" w:color="auto"/>
            </w:tcBorders>
            <w:vAlign w:val="center"/>
          </w:tcPr>
          <w:p w14:paraId="1CA6CD16" w14:textId="77777777" w:rsidR="003A43FF" w:rsidRPr="005126D7" w:rsidRDefault="003A43FF" w:rsidP="005126D7">
            <w:pPr>
              <w:jc w:val="center"/>
              <w:rPr>
                <w:rFonts w:ascii="Times New Roman" w:hAnsi="Times New Roman" w:cs="Times New Roman"/>
                <w:sz w:val="22"/>
                <w:szCs w:val="22"/>
              </w:rPr>
            </w:pPr>
            <w:r w:rsidRPr="005126D7">
              <w:rPr>
                <w:rFonts w:ascii="Times New Roman" w:hAnsi="Times New Roman" w:cs="Times New Roman"/>
                <w:sz w:val="22"/>
                <w:szCs w:val="22"/>
              </w:rPr>
              <w:t>792</w:t>
            </w:r>
          </w:p>
        </w:tc>
        <w:tc>
          <w:tcPr>
            <w:tcW w:w="1234" w:type="pct"/>
            <w:tcBorders>
              <w:top w:val="single" w:sz="18" w:space="0" w:color="auto"/>
            </w:tcBorders>
            <w:vAlign w:val="center"/>
          </w:tcPr>
          <w:p w14:paraId="461673BF" w14:textId="77777777" w:rsidR="003A43FF" w:rsidRPr="005E58D7" w:rsidRDefault="003A43FF" w:rsidP="005126D7">
            <w:pPr>
              <w:jc w:val="center"/>
              <w:rPr>
                <w:rFonts w:ascii="Times New Roman" w:hAnsi="Times New Roman" w:cs="Times New Roman"/>
                <w:sz w:val="22"/>
                <w:szCs w:val="22"/>
              </w:rPr>
            </w:pPr>
            <w:r w:rsidRPr="005E58D7">
              <w:rPr>
                <w:rFonts w:ascii="Times New Roman" w:hAnsi="Times New Roman" w:cs="Times New Roman"/>
                <w:sz w:val="22"/>
                <w:szCs w:val="22"/>
              </w:rPr>
              <w:t>-80</w:t>
            </w:r>
          </w:p>
        </w:tc>
      </w:tr>
      <w:tr w:rsidR="003A43FF" w:rsidRPr="005E58D7" w14:paraId="6C350EBC" w14:textId="77777777" w:rsidTr="005126D7">
        <w:tc>
          <w:tcPr>
            <w:tcW w:w="1346" w:type="pct"/>
          </w:tcPr>
          <w:p w14:paraId="4CC581C4" w14:textId="017A82A5" w:rsidR="003A43FF" w:rsidRPr="005126D7" w:rsidRDefault="003A43FF" w:rsidP="003A43FF">
            <w:pPr>
              <w:jc w:val="both"/>
              <w:rPr>
                <w:rFonts w:ascii="Times New Roman" w:hAnsi="Times New Roman" w:cs="Times New Roman"/>
                <w:b/>
                <w:bCs/>
                <w:sz w:val="22"/>
                <w:szCs w:val="22"/>
              </w:rPr>
            </w:pPr>
            <w:r w:rsidRPr="005E58D7">
              <w:rPr>
                <w:rFonts w:ascii="Times New Roman" w:hAnsi="Times New Roman" w:cs="Times New Roman"/>
                <w:sz w:val="22"/>
                <w:szCs w:val="22"/>
              </w:rPr>
              <w:t xml:space="preserve">Gravesham </w:t>
            </w:r>
          </w:p>
        </w:tc>
        <w:tc>
          <w:tcPr>
            <w:tcW w:w="1345" w:type="pct"/>
            <w:vAlign w:val="center"/>
          </w:tcPr>
          <w:p w14:paraId="50100914" w14:textId="53F2A6BE" w:rsidR="003A43FF" w:rsidRPr="005126D7" w:rsidRDefault="003A43FF" w:rsidP="005126D7">
            <w:pPr>
              <w:jc w:val="center"/>
              <w:rPr>
                <w:rFonts w:ascii="Times New Roman" w:hAnsi="Times New Roman" w:cs="Times New Roman"/>
                <w:b/>
                <w:bCs/>
                <w:sz w:val="22"/>
                <w:szCs w:val="22"/>
              </w:rPr>
            </w:pPr>
            <w:r w:rsidRPr="005E58D7">
              <w:rPr>
                <w:rFonts w:ascii="Times New Roman" w:hAnsi="Times New Roman" w:cs="Times New Roman"/>
                <w:sz w:val="22"/>
                <w:szCs w:val="22"/>
              </w:rPr>
              <w:t>672</w:t>
            </w:r>
          </w:p>
        </w:tc>
        <w:tc>
          <w:tcPr>
            <w:tcW w:w="1075" w:type="pct"/>
            <w:vAlign w:val="center"/>
          </w:tcPr>
          <w:p w14:paraId="12392C0B" w14:textId="1EF3A6B6" w:rsidR="003A43FF" w:rsidRPr="005126D7" w:rsidRDefault="003A43FF" w:rsidP="005126D7">
            <w:pPr>
              <w:jc w:val="center"/>
              <w:rPr>
                <w:rFonts w:ascii="Times New Roman" w:hAnsi="Times New Roman" w:cs="Times New Roman"/>
                <w:b/>
                <w:bCs/>
                <w:sz w:val="22"/>
                <w:szCs w:val="22"/>
              </w:rPr>
            </w:pPr>
            <w:r w:rsidRPr="005126D7">
              <w:rPr>
                <w:rFonts w:ascii="Times New Roman" w:hAnsi="Times New Roman" w:cs="Times New Roman"/>
                <w:sz w:val="22"/>
                <w:szCs w:val="22"/>
              </w:rPr>
              <w:t>661</w:t>
            </w:r>
          </w:p>
        </w:tc>
        <w:tc>
          <w:tcPr>
            <w:tcW w:w="1234" w:type="pct"/>
            <w:vAlign w:val="center"/>
          </w:tcPr>
          <w:p w14:paraId="365B6B6D" w14:textId="044F5156" w:rsidR="003A43FF" w:rsidRPr="005126D7" w:rsidRDefault="003A43FF" w:rsidP="005126D7">
            <w:pPr>
              <w:jc w:val="center"/>
              <w:rPr>
                <w:rFonts w:ascii="Times New Roman" w:hAnsi="Times New Roman" w:cs="Times New Roman"/>
                <w:b/>
                <w:bCs/>
                <w:sz w:val="22"/>
                <w:szCs w:val="22"/>
              </w:rPr>
            </w:pPr>
            <w:r w:rsidRPr="005E58D7">
              <w:rPr>
                <w:rFonts w:ascii="Times New Roman" w:hAnsi="Times New Roman" w:cs="Times New Roman"/>
                <w:sz w:val="22"/>
                <w:szCs w:val="22"/>
              </w:rPr>
              <w:t>+11</w:t>
            </w:r>
          </w:p>
        </w:tc>
      </w:tr>
      <w:tr w:rsidR="003A43FF" w:rsidRPr="005E58D7" w14:paraId="6606B45B" w14:textId="77777777" w:rsidTr="005126D7">
        <w:tc>
          <w:tcPr>
            <w:tcW w:w="1346" w:type="pct"/>
          </w:tcPr>
          <w:p w14:paraId="2ADEAF08" w14:textId="77777777" w:rsidR="003A43FF" w:rsidRPr="005E58D7" w:rsidRDefault="003A43FF" w:rsidP="003A43FF">
            <w:pPr>
              <w:jc w:val="both"/>
              <w:rPr>
                <w:rFonts w:ascii="Times New Roman" w:hAnsi="Times New Roman" w:cs="Times New Roman"/>
                <w:sz w:val="22"/>
                <w:szCs w:val="22"/>
              </w:rPr>
            </w:pPr>
            <w:r w:rsidRPr="005E58D7">
              <w:rPr>
                <w:rFonts w:ascii="Times New Roman" w:hAnsi="Times New Roman" w:cs="Times New Roman"/>
                <w:sz w:val="22"/>
                <w:szCs w:val="22"/>
              </w:rPr>
              <w:t xml:space="preserve">Sevenoaks </w:t>
            </w:r>
          </w:p>
        </w:tc>
        <w:tc>
          <w:tcPr>
            <w:tcW w:w="1345" w:type="pct"/>
            <w:vAlign w:val="center"/>
          </w:tcPr>
          <w:p w14:paraId="2632F2C4" w14:textId="77777777" w:rsidR="003A43FF" w:rsidRPr="005E58D7" w:rsidRDefault="003A43FF" w:rsidP="005126D7">
            <w:pPr>
              <w:jc w:val="center"/>
              <w:rPr>
                <w:rFonts w:ascii="Times New Roman" w:hAnsi="Times New Roman" w:cs="Times New Roman"/>
                <w:sz w:val="22"/>
                <w:szCs w:val="22"/>
              </w:rPr>
            </w:pPr>
            <w:r w:rsidRPr="005E58D7">
              <w:rPr>
                <w:rFonts w:ascii="Times New Roman" w:hAnsi="Times New Roman" w:cs="Times New Roman"/>
                <w:sz w:val="22"/>
                <w:szCs w:val="22"/>
              </w:rPr>
              <w:t>1,149</w:t>
            </w:r>
          </w:p>
        </w:tc>
        <w:tc>
          <w:tcPr>
            <w:tcW w:w="1075" w:type="pct"/>
            <w:vAlign w:val="center"/>
          </w:tcPr>
          <w:p w14:paraId="7B02F4A0" w14:textId="4B28F6E0" w:rsidR="003A43FF" w:rsidRPr="005126D7" w:rsidRDefault="003A43FF" w:rsidP="005126D7">
            <w:pPr>
              <w:jc w:val="center"/>
              <w:rPr>
                <w:rFonts w:ascii="Times New Roman" w:hAnsi="Times New Roman" w:cs="Times New Roman"/>
                <w:sz w:val="22"/>
                <w:szCs w:val="22"/>
              </w:rPr>
            </w:pPr>
            <w:r w:rsidRPr="005126D7">
              <w:rPr>
                <w:rFonts w:ascii="Times New Roman" w:hAnsi="Times New Roman" w:cs="Times New Roman"/>
                <w:sz w:val="22"/>
                <w:szCs w:val="22"/>
              </w:rPr>
              <w:t>704</w:t>
            </w:r>
          </w:p>
        </w:tc>
        <w:tc>
          <w:tcPr>
            <w:tcW w:w="1234" w:type="pct"/>
            <w:vAlign w:val="center"/>
          </w:tcPr>
          <w:p w14:paraId="0B981FC0" w14:textId="7B11F578" w:rsidR="003A43FF" w:rsidRPr="005E58D7" w:rsidRDefault="003A43FF" w:rsidP="005126D7">
            <w:pPr>
              <w:jc w:val="center"/>
              <w:rPr>
                <w:rFonts w:ascii="Times New Roman" w:hAnsi="Times New Roman" w:cs="Times New Roman"/>
                <w:sz w:val="22"/>
                <w:szCs w:val="22"/>
              </w:rPr>
            </w:pPr>
            <w:r w:rsidRPr="005E58D7">
              <w:rPr>
                <w:rFonts w:ascii="Times New Roman" w:hAnsi="Times New Roman" w:cs="Times New Roman"/>
                <w:sz w:val="22"/>
                <w:szCs w:val="22"/>
              </w:rPr>
              <w:t>+445</w:t>
            </w:r>
          </w:p>
        </w:tc>
      </w:tr>
      <w:tr w:rsidR="003A43FF" w:rsidRPr="005E58D7" w14:paraId="3B4D5D86" w14:textId="77777777" w:rsidTr="005126D7">
        <w:tc>
          <w:tcPr>
            <w:tcW w:w="1346" w:type="pct"/>
          </w:tcPr>
          <w:p w14:paraId="2A41FC53" w14:textId="77777777" w:rsidR="003A43FF" w:rsidRPr="005E58D7" w:rsidRDefault="003A43FF" w:rsidP="003A43FF">
            <w:pPr>
              <w:jc w:val="both"/>
              <w:rPr>
                <w:rFonts w:ascii="Times New Roman" w:hAnsi="Times New Roman" w:cs="Times New Roman"/>
                <w:sz w:val="22"/>
                <w:szCs w:val="22"/>
              </w:rPr>
            </w:pPr>
            <w:r w:rsidRPr="005E58D7">
              <w:rPr>
                <w:rFonts w:ascii="Times New Roman" w:hAnsi="Times New Roman" w:cs="Times New Roman"/>
                <w:sz w:val="22"/>
                <w:szCs w:val="22"/>
              </w:rPr>
              <w:t xml:space="preserve">Tunbridge Wells </w:t>
            </w:r>
          </w:p>
        </w:tc>
        <w:tc>
          <w:tcPr>
            <w:tcW w:w="1345" w:type="pct"/>
            <w:vAlign w:val="center"/>
          </w:tcPr>
          <w:p w14:paraId="18DD5372" w14:textId="77777777" w:rsidR="003A43FF" w:rsidRPr="005E58D7" w:rsidRDefault="003A43FF" w:rsidP="005126D7">
            <w:pPr>
              <w:jc w:val="center"/>
              <w:rPr>
                <w:rFonts w:ascii="Times New Roman" w:hAnsi="Times New Roman" w:cs="Times New Roman"/>
                <w:sz w:val="22"/>
                <w:szCs w:val="22"/>
              </w:rPr>
            </w:pPr>
            <w:r w:rsidRPr="005E58D7">
              <w:rPr>
                <w:rFonts w:ascii="Times New Roman" w:hAnsi="Times New Roman" w:cs="Times New Roman"/>
                <w:sz w:val="22"/>
                <w:szCs w:val="22"/>
              </w:rPr>
              <w:t>1,098</w:t>
            </w:r>
          </w:p>
        </w:tc>
        <w:tc>
          <w:tcPr>
            <w:tcW w:w="1075" w:type="pct"/>
            <w:vAlign w:val="center"/>
          </w:tcPr>
          <w:p w14:paraId="035E1C53" w14:textId="7D93C204" w:rsidR="003A43FF" w:rsidRPr="005126D7" w:rsidRDefault="003A43FF" w:rsidP="005126D7">
            <w:pPr>
              <w:jc w:val="center"/>
              <w:rPr>
                <w:rFonts w:ascii="Times New Roman" w:hAnsi="Times New Roman" w:cs="Times New Roman"/>
                <w:sz w:val="22"/>
                <w:szCs w:val="22"/>
              </w:rPr>
            </w:pPr>
            <w:r w:rsidRPr="005126D7">
              <w:rPr>
                <w:rFonts w:ascii="Times New Roman" w:hAnsi="Times New Roman" w:cs="Times New Roman"/>
                <w:sz w:val="22"/>
                <w:szCs w:val="22"/>
              </w:rPr>
              <w:t>660</w:t>
            </w:r>
          </w:p>
        </w:tc>
        <w:tc>
          <w:tcPr>
            <w:tcW w:w="1234" w:type="pct"/>
            <w:vAlign w:val="center"/>
          </w:tcPr>
          <w:p w14:paraId="7DD6FA4D" w14:textId="73F11922" w:rsidR="003A43FF" w:rsidRPr="005E58D7" w:rsidRDefault="003A43FF" w:rsidP="005126D7">
            <w:pPr>
              <w:jc w:val="center"/>
              <w:rPr>
                <w:rFonts w:ascii="Times New Roman" w:hAnsi="Times New Roman" w:cs="Times New Roman"/>
                <w:sz w:val="22"/>
                <w:szCs w:val="22"/>
              </w:rPr>
            </w:pPr>
            <w:r w:rsidRPr="005E58D7">
              <w:rPr>
                <w:rFonts w:ascii="Times New Roman" w:hAnsi="Times New Roman" w:cs="Times New Roman"/>
                <w:sz w:val="22"/>
                <w:szCs w:val="22"/>
              </w:rPr>
              <w:t>+438</w:t>
            </w:r>
          </w:p>
        </w:tc>
      </w:tr>
      <w:tr w:rsidR="003A43FF" w:rsidRPr="005E58D7" w14:paraId="4512E25A" w14:textId="77777777" w:rsidTr="005126D7">
        <w:tc>
          <w:tcPr>
            <w:tcW w:w="1346" w:type="pct"/>
          </w:tcPr>
          <w:p w14:paraId="2209B9C5" w14:textId="77777777" w:rsidR="003A43FF" w:rsidRPr="005E58D7" w:rsidRDefault="003A43FF" w:rsidP="003A43FF">
            <w:pPr>
              <w:jc w:val="both"/>
              <w:rPr>
                <w:rFonts w:ascii="Times New Roman" w:hAnsi="Times New Roman" w:cs="Times New Roman"/>
                <w:sz w:val="22"/>
                <w:szCs w:val="22"/>
              </w:rPr>
            </w:pPr>
            <w:r w:rsidRPr="005E58D7">
              <w:rPr>
                <w:rFonts w:ascii="Times New Roman" w:hAnsi="Times New Roman" w:cs="Times New Roman"/>
                <w:sz w:val="22"/>
                <w:szCs w:val="22"/>
              </w:rPr>
              <w:t xml:space="preserve">Tonbridge and Malling </w:t>
            </w:r>
          </w:p>
        </w:tc>
        <w:tc>
          <w:tcPr>
            <w:tcW w:w="1345" w:type="pct"/>
            <w:vAlign w:val="center"/>
          </w:tcPr>
          <w:p w14:paraId="2D6E3E05" w14:textId="77777777" w:rsidR="003A43FF" w:rsidRPr="005E58D7" w:rsidRDefault="003A43FF" w:rsidP="005126D7">
            <w:pPr>
              <w:jc w:val="center"/>
              <w:rPr>
                <w:rFonts w:ascii="Times New Roman" w:hAnsi="Times New Roman" w:cs="Times New Roman"/>
                <w:sz w:val="22"/>
                <w:szCs w:val="22"/>
              </w:rPr>
            </w:pPr>
            <w:r w:rsidRPr="005E58D7">
              <w:rPr>
                <w:rFonts w:ascii="Times New Roman" w:hAnsi="Times New Roman" w:cs="Times New Roman"/>
                <w:sz w:val="22"/>
                <w:szCs w:val="22"/>
              </w:rPr>
              <w:t>1,096</w:t>
            </w:r>
          </w:p>
        </w:tc>
        <w:tc>
          <w:tcPr>
            <w:tcW w:w="1075" w:type="pct"/>
            <w:vAlign w:val="center"/>
          </w:tcPr>
          <w:p w14:paraId="1C1672F7" w14:textId="28872112" w:rsidR="003A43FF" w:rsidRPr="005126D7" w:rsidRDefault="003A43FF" w:rsidP="005126D7">
            <w:pPr>
              <w:jc w:val="center"/>
              <w:rPr>
                <w:rFonts w:ascii="Times New Roman" w:hAnsi="Times New Roman" w:cs="Times New Roman"/>
                <w:sz w:val="22"/>
                <w:szCs w:val="22"/>
              </w:rPr>
            </w:pPr>
            <w:r w:rsidRPr="005126D7">
              <w:rPr>
                <w:rFonts w:ascii="Times New Roman" w:hAnsi="Times New Roman" w:cs="Times New Roman"/>
                <w:sz w:val="22"/>
                <w:szCs w:val="22"/>
              </w:rPr>
              <w:t>820</w:t>
            </w:r>
          </w:p>
        </w:tc>
        <w:tc>
          <w:tcPr>
            <w:tcW w:w="1234" w:type="pct"/>
            <w:vAlign w:val="center"/>
          </w:tcPr>
          <w:p w14:paraId="794E1F47" w14:textId="265B6AA1" w:rsidR="003A43FF" w:rsidRPr="005E58D7" w:rsidRDefault="003A43FF" w:rsidP="005126D7">
            <w:pPr>
              <w:jc w:val="center"/>
              <w:rPr>
                <w:rFonts w:ascii="Times New Roman" w:hAnsi="Times New Roman" w:cs="Times New Roman"/>
                <w:sz w:val="22"/>
                <w:szCs w:val="22"/>
              </w:rPr>
            </w:pPr>
            <w:r w:rsidRPr="005E58D7">
              <w:rPr>
                <w:rFonts w:ascii="Times New Roman" w:hAnsi="Times New Roman" w:cs="Times New Roman"/>
                <w:sz w:val="22"/>
                <w:szCs w:val="22"/>
              </w:rPr>
              <w:t>+279</w:t>
            </w:r>
          </w:p>
        </w:tc>
      </w:tr>
      <w:tr w:rsidR="003A43FF" w:rsidRPr="005E58D7" w14:paraId="7166F26F" w14:textId="77777777" w:rsidTr="005126D7">
        <w:tc>
          <w:tcPr>
            <w:tcW w:w="1346" w:type="pct"/>
          </w:tcPr>
          <w:p w14:paraId="00825E68" w14:textId="77777777" w:rsidR="003A43FF" w:rsidRPr="005E58D7" w:rsidRDefault="003A43FF" w:rsidP="003A43FF">
            <w:pPr>
              <w:jc w:val="both"/>
              <w:rPr>
                <w:rFonts w:ascii="Times New Roman" w:hAnsi="Times New Roman" w:cs="Times New Roman"/>
                <w:sz w:val="22"/>
                <w:szCs w:val="22"/>
              </w:rPr>
            </w:pPr>
            <w:r w:rsidRPr="005E58D7">
              <w:rPr>
                <w:rFonts w:ascii="Times New Roman" w:hAnsi="Times New Roman" w:cs="Times New Roman"/>
                <w:sz w:val="22"/>
                <w:szCs w:val="22"/>
              </w:rPr>
              <w:t xml:space="preserve">Wealden </w:t>
            </w:r>
          </w:p>
        </w:tc>
        <w:tc>
          <w:tcPr>
            <w:tcW w:w="1345" w:type="pct"/>
            <w:vAlign w:val="center"/>
          </w:tcPr>
          <w:p w14:paraId="6DFAF3E6" w14:textId="77777777" w:rsidR="003A43FF" w:rsidRPr="005E58D7" w:rsidRDefault="003A43FF" w:rsidP="005126D7">
            <w:pPr>
              <w:jc w:val="center"/>
              <w:rPr>
                <w:rFonts w:ascii="Times New Roman" w:hAnsi="Times New Roman" w:cs="Times New Roman"/>
                <w:sz w:val="22"/>
                <w:szCs w:val="22"/>
              </w:rPr>
            </w:pPr>
            <w:r w:rsidRPr="005E58D7">
              <w:rPr>
                <w:rFonts w:ascii="Times New Roman" w:hAnsi="Times New Roman" w:cs="Times New Roman"/>
                <w:sz w:val="22"/>
                <w:szCs w:val="22"/>
              </w:rPr>
              <w:t>1,433</w:t>
            </w:r>
          </w:p>
        </w:tc>
        <w:tc>
          <w:tcPr>
            <w:tcW w:w="1075" w:type="pct"/>
            <w:vAlign w:val="center"/>
          </w:tcPr>
          <w:p w14:paraId="72AC7226" w14:textId="630C6EB4" w:rsidR="003A43FF" w:rsidRPr="005126D7" w:rsidRDefault="003A43FF" w:rsidP="005126D7">
            <w:pPr>
              <w:jc w:val="center"/>
              <w:rPr>
                <w:rFonts w:ascii="Times New Roman" w:hAnsi="Times New Roman" w:cs="Times New Roman"/>
                <w:sz w:val="22"/>
                <w:szCs w:val="22"/>
              </w:rPr>
            </w:pPr>
            <w:r w:rsidRPr="005126D7">
              <w:rPr>
                <w:rFonts w:ascii="Times New Roman" w:hAnsi="Times New Roman" w:cs="Times New Roman"/>
                <w:sz w:val="22"/>
                <w:szCs w:val="22"/>
              </w:rPr>
              <w:t>1,186</w:t>
            </w:r>
          </w:p>
        </w:tc>
        <w:tc>
          <w:tcPr>
            <w:tcW w:w="1234" w:type="pct"/>
            <w:vAlign w:val="center"/>
          </w:tcPr>
          <w:p w14:paraId="4F6BB0B5" w14:textId="40B81FE5" w:rsidR="003A43FF" w:rsidRPr="005E58D7" w:rsidRDefault="003A43FF" w:rsidP="005126D7">
            <w:pPr>
              <w:jc w:val="center"/>
              <w:rPr>
                <w:rFonts w:ascii="Times New Roman" w:hAnsi="Times New Roman" w:cs="Times New Roman"/>
                <w:sz w:val="22"/>
                <w:szCs w:val="22"/>
              </w:rPr>
            </w:pPr>
            <w:r w:rsidRPr="005E58D7">
              <w:rPr>
                <w:rFonts w:ascii="Times New Roman" w:hAnsi="Times New Roman" w:cs="Times New Roman"/>
                <w:sz w:val="22"/>
                <w:szCs w:val="22"/>
              </w:rPr>
              <w:t>+247</w:t>
            </w:r>
          </w:p>
        </w:tc>
      </w:tr>
      <w:tr w:rsidR="003A43FF" w:rsidRPr="005E58D7" w14:paraId="29A66D6D" w14:textId="77777777" w:rsidTr="005126D7">
        <w:tc>
          <w:tcPr>
            <w:tcW w:w="1346" w:type="pct"/>
          </w:tcPr>
          <w:p w14:paraId="156F6EA2" w14:textId="77777777" w:rsidR="003A43FF" w:rsidRPr="005E58D7" w:rsidRDefault="003A43FF" w:rsidP="003A43FF">
            <w:pPr>
              <w:jc w:val="both"/>
              <w:rPr>
                <w:rFonts w:ascii="Times New Roman" w:hAnsi="Times New Roman" w:cs="Times New Roman"/>
                <w:sz w:val="22"/>
                <w:szCs w:val="22"/>
              </w:rPr>
            </w:pPr>
            <w:r w:rsidRPr="005E58D7">
              <w:rPr>
                <w:rFonts w:ascii="Times New Roman" w:hAnsi="Times New Roman" w:cs="Times New Roman"/>
                <w:sz w:val="22"/>
                <w:szCs w:val="22"/>
              </w:rPr>
              <w:t xml:space="preserve">Tandridge </w:t>
            </w:r>
          </w:p>
        </w:tc>
        <w:tc>
          <w:tcPr>
            <w:tcW w:w="1345" w:type="pct"/>
            <w:vAlign w:val="center"/>
          </w:tcPr>
          <w:p w14:paraId="2123837F" w14:textId="77777777" w:rsidR="003A43FF" w:rsidRPr="005E58D7" w:rsidRDefault="003A43FF" w:rsidP="005126D7">
            <w:pPr>
              <w:jc w:val="center"/>
              <w:rPr>
                <w:rFonts w:ascii="Times New Roman" w:hAnsi="Times New Roman" w:cs="Times New Roman"/>
                <w:sz w:val="22"/>
                <w:szCs w:val="22"/>
              </w:rPr>
            </w:pPr>
            <w:r w:rsidRPr="005E58D7">
              <w:rPr>
                <w:rFonts w:ascii="Times New Roman" w:hAnsi="Times New Roman" w:cs="Times New Roman"/>
                <w:sz w:val="22"/>
                <w:szCs w:val="22"/>
              </w:rPr>
              <w:t>843</w:t>
            </w:r>
          </w:p>
        </w:tc>
        <w:tc>
          <w:tcPr>
            <w:tcW w:w="1075" w:type="pct"/>
            <w:vAlign w:val="center"/>
          </w:tcPr>
          <w:p w14:paraId="7F340A69" w14:textId="6EFFCDF3" w:rsidR="003A43FF" w:rsidRPr="005126D7" w:rsidRDefault="003A43FF" w:rsidP="005126D7">
            <w:pPr>
              <w:jc w:val="center"/>
              <w:rPr>
                <w:rFonts w:ascii="Times New Roman" w:hAnsi="Times New Roman" w:cs="Times New Roman"/>
                <w:sz w:val="22"/>
                <w:szCs w:val="22"/>
              </w:rPr>
            </w:pPr>
            <w:r w:rsidRPr="005126D7">
              <w:rPr>
                <w:rFonts w:ascii="Times New Roman" w:hAnsi="Times New Roman" w:cs="Times New Roman"/>
                <w:sz w:val="22"/>
                <w:szCs w:val="22"/>
              </w:rPr>
              <w:t>634</w:t>
            </w:r>
          </w:p>
        </w:tc>
        <w:tc>
          <w:tcPr>
            <w:tcW w:w="1234" w:type="pct"/>
            <w:vAlign w:val="center"/>
          </w:tcPr>
          <w:p w14:paraId="6A78717B" w14:textId="0F81BCC8" w:rsidR="003A43FF" w:rsidRPr="005E58D7" w:rsidRDefault="003A43FF" w:rsidP="005126D7">
            <w:pPr>
              <w:jc w:val="center"/>
              <w:rPr>
                <w:rFonts w:ascii="Times New Roman" w:hAnsi="Times New Roman" w:cs="Times New Roman"/>
                <w:sz w:val="22"/>
                <w:szCs w:val="22"/>
              </w:rPr>
            </w:pPr>
            <w:r w:rsidRPr="005E58D7">
              <w:rPr>
                <w:rFonts w:ascii="Times New Roman" w:hAnsi="Times New Roman" w:cs="Times New Roman"/>
                <w:sz w:val="22"/>
                <w:szCs w:val="22"/>
              </w:rPr>
              <w:t>+209</w:t>
            </w:r>
          </w:p>
        </w:tc>
      </w:tr>
      <w:bookmarkEnd w:id="0"/>
    </w:tbl>
    <w:p w14:paraId="1E97AD7D" w14:textId="77777777" w:rsidR="00AB36AA" w:rsidRPr="00AB36AA" w:rsidRDefault="00AB36AA" w:rsidP="000649EB">
      <w:pPr>
        <w:widowControl/>
        <w:suppressAutoHyphens w:val="0"/>
        <w:autoSpaceDE/>
        <w:spacing w:line="360" w:lineRule="auto"/>
        <w:jc w:val="both"/>
        <w:rPr>
          <w:rFonts w:ascii="Times New Roman" w:hAnsi="Times New Roman" w:cs="Times New Roman"/>
          <w:bCs/>
        </w:rPr>
      </w:pPr>
    </w:p>
    <w:p w14:paraId="76966996" w14:textId="134A36EF" w:rsidR="0094692C" w:rsidRDefault="008C7D55" w:rsidP="009C7CB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If</w:t>
      </w:r>
      <w:r w:rsidR="00965D07">
        <w:rPr>
          <w:rFonts w:ascii="Times New Roman" w:hAnsi="Times New Roman" w:cs="Times New Roman"/>
          <w:bCs/>
        </w:rPr>
        <w:t xml:space="preserve"> the </w:t>
      </w:r>
      <w:r w:rsidR="002B2293">
        <w:rPr>
          <w:rFonts w:ascii="Times New Roman" w:hAnsi="Times New Roman" w:cs="Times New Roman"/>
          <w:bCs/>
        </w:rPr>
        <w:t>Council</w:t>
      </w:r>
      <w:r w:rsidR="00965D07">
        <w:rPr>
          <w:rFonts w:ascii="Times New Roman" w:hAnsi="Times New Roman" w:cs="Times New Roman"/>
          <w:bCs/>
        </w:rPr>
        <w:t xml:space="preserve"> cannot mee</w:t>
      </w:r>
      <w:r w:rsidR="005843F5">
        <w:rPr>
          <w:rFonts w:ascii="Times New Roman" w:hAnsi="Times New Roman" w:cs="Times New Roman"/>
          <w:bCs/>
        </w:rPr>
        <w:t xml:space="preserve">t </w:t>
      </w:r>
      <w:r w:rsidR="002B2293">
        <w:rPr>
          <w:rFonts w:ascii="Times New Roman" w:hAnsi="Times New Roman" w:cs="Times New Roman"/>
          <w:bCs/>
        </w:rPr>
        <w:t>a</w:t>
      </w:r>
      <w:r w:rsidR="005843F5">
        <w:rPr>
          <w:rFonts w:ascii="Times New Roman" w:hAnsi="Times New Roman" w:cs="Times New Roman"/>
          <w:bCs/>
        </w:rPr>
        <w:t xml:space="preserve">ny of these </w:t>
      </w:r>
      <w:r w:rsidR="002B2293">
        <w:rPr>
          <w:rFonts w:ascii="Times New Roman" w:hAnsi="Times New Roman" w:cs="Times New Roman"/>
          <w:bCs/>
        </w:rPr>
        <w:t>needs,</w:t>
      </w:r>
      <w:r w:rsidR="005843F5">
        <w:rPr>
          <w:rFonts w:ascii="Times New Roman" w:hAnsi="Times New Roman" w:cs="Times New Roman"/>
          <w:bCs/>
        </w:rPr>
        <w:t xml:space="preserve"> it must be clear as to why it cannot as well as considering the impact on Sevenoaks of those needs not being met and the </w:t>
      </w:r>
      <w:r w:rsidR="002B2293">
        <w:rPr>
          <w:rFonts w:ascii="Times New Roman" w:hAnsi="Times New Roman" w:cs="Times New Roman"/>
          <w:bCs/>
        </w:rPr>
        <w:t xml:space="preserve">worsening situation with regard to unmet needs in the wider sub region should Sevenoaks be a contributor to those needs. </w:t>
      </w:r>
    </w:p>
    <w:p w14:paraId="511B7BA4" w14:textId="5BB709B2" w:rsidR="00E941FB" w:rsidRPr="008553CD" w:rsidRDefault="00E941FB" w:rsidP="00E941FB">
      <w:pPr>
        <w:widowControl/>
        <w:suppressAutoHyphens w:val="0"/>
        <w:autoSpaceDE/>
        <w:spacing w:after="240" w:line="360" w:lineRule="auto"/>
        <w:jc w:val="both"/>
        <w:rPr>
          <w:rFonts w:ascii="Times New Roman" w:hAnsi="Times New Roman" w:cs="Times New Roman"/>
          <w:bCs/>
          <w:i/>
          <w:iCs/>
          <w:u w:val="single"/>
        </w:rPr>
      </w:pPr>
      <w:r w:rsidRPr="008553CD">
        <w:rPr>
          <w:rFonts w:ascii="Times New Roman" w:hAnsi="Times New Roman" w:cs="Times New Roman"/>
          <w:bCs/>
          <w:i/>
          <w:iCs/>
          <w:u w:val="single"/>
        </w:rPr>
        <w:t>Conclusion on the housing requirement</w:t>
      </w:r>
    </w:p>
    <w:p w14:paraId="03B2B1D3" w14:textId="26078A7E" w:rsidR="00E941FB" w:rsidRDefault="00E941FB" w:rsidP="009C7CB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w:t>
      </w:r>
      <w:r w:rsidR="00B35FC0">
        <w:rPr>
          <w:rFonts w:ascii="Times New Roman" w:hAnsi="Times New Roman" w:cs="Times New Roman"/>
          <w:bCs/>
        </w:rPr>
        <w:t>agrees that the minimum number of hom</w:t>
      </w:r>
      <w:r w:rsidR="005910D5">
        <w:rPr>
          <w:rFonts w:ascii="Times New Roman" w:hAnsi="Times New Roman" w:cs="Times New Roman"/>
          <w:bCs/>
        </w:rPr>
        <w:t>e</w:t>
      </w:r>
      <w:r w:rsidR="00B35FC0">
        <w:rPr>
          <w:rFonts w:ascii="Times New Roman" w:hAnsi="Times New Roman" w:cs="Times New Roman"/>
          <w:bCs/>
        </w:rPr>
        <w:t>s th</w:t>
      </w:r>
      <w:r w:rsidR="005910D5">
        <w:rPr>
          <w:rFonts w:ascii="Times New Roman" w:hAnsi="Times New Roman" w:cs="Times New Roman"/>
          <w:bCs/>
        </w:rPr>
        <w:t>e</w:t>
      </w:r>
      <w:r w:rsidR="00B35FC0">
        <w:rPr>
          <w:rFonts w:ascii="Times New Roman" w:hAnsi="Times New Roman" w:cs="Times New Roman"/>
          <w:bCs/>
        </w:rPr>
        <w:t xml:space="preserve"> Council must </w:t>
      </w:r>
      <w:r w:rsidR="00CF6263">
        <w:rPr>
          <w:rFonts w:ascii="Times New Roman" w:hAnsi="Times New Roman" w:cs="Times New Roman"/>
          <w:bCs/>
        </w:rPr>
        <w:t xml:space="preserve">plan for is 1,145 dpa. However, as part of the next iteration of </w:t>
      </w:r>
      <w:proofErr w:type="spellStart"/>
      <w:r w:rsidR="00CF6263">
        <w:rPr>
          <w:rFonts w:ascii="Times New Roman" w:hAnsi="Times New Roman" w:cs="Times New Roman"/>
          <w:bCs/>
        </w:rPr>
        <w:t>th</w:t>
      </w:r>
      <w:proofErr w:type="spellEnd"/>
      <w:r w:rsidR="00CF6263">
        <w:rPr>
          <w:rFonts w:ascii="Times New Roman" w:hAnsi="Times New Roman" w:cs="Times New Roman"/>
          <w:bCs/>
        </w:rPr>
        <w:t xml:space="preserve"> is local plan it will need</w:t>
      </w:r>
      <w:r w:rsidR="001103D3" w:rsidRPr="001103D3">
        <w:rPr>
          <w:rFonts w:ascii="Times New Roman" w:hAnsi="Times New Roman" w:cs="Times New Roman"/>
          <w:bCs/>
        </w:rPr>
        <w:t xml:space="preserve"> </w:t>
      </w:r>
      <w:r w:rsidR="001103D3">
        <w:rPr>
          <w:rFonts w:ascii="Times New Roman" w:hAnsi="Times New Roman" w:cs="Times New Roman"/>
          <w:bCs/>
        </w:rPr>
        <w:t>to consider, as set out in paragraph 61 of the NPPF,</w:t>
      </w:r>
      <w:r w:rsidR="00CF6263">
        <w:rPr>
          <w:rFonts w:ascii="Times New Roman" w:hAnsi="Times New Roman" w:cs="Times New Roman"/>
          <w:bCs/>
        </w:rPr>
        <w:t xml:space="preserve"> </w:t>
      </w:r>
      <w:r w:rsidR="001103D3">
        <w:rPr>
          <w:rFonts w:ascii="Times New Roman" w:hAnsi="Times New Roman" w:cs="Times New Roman"/>
          <w:bCs/>
        </w:rPr>
        <w:t xml:space="preserve">the unmet </w:t>
      </w:r>
      <w:r w:rsidR="001103D3">
        <w:rPr>
          <w:rFonts w:ascii="Times New Roman" w:hAnsi="Times New Roman" w:cs="Times New Roman"/>
          <w:bCs/>
        </w:rPr>
        <w:lastRenderedPageBreak/>
        <w:t>housing needs of neighbouring areas</w:t>
      </w:r>
      <w:r w:rsidR="00C806F3">
        <w:rPr>
          <w:rFonts w:ascii="Times New Roman" w:hAnsi="Times New Roman" w:cs="Times New Roman"/>
          <w:bCs/>
        </w:rPr>
        <w:t xml:space="preserve"> and whether it </w:t>
      </w:r>
      <w:proofErr w:type="spellStart"/>
      <w:r w:rsidR="00C806F3">
        <w:rPr>
          <w:rFonts w:ascii="Times New Roman" w:hAnsi="Times New Roman" w:cs="Times New Roman"/>
          <w:bCs/>
        </w:rPr>
        <w:t>si</w:t>
      </w:r>
      <w:proofErr w:type="spellEnd"/>
      <w:r w:rsidR="00C806F3">
        <w:rPr>
          <w:rFonts w:ascii="Times New Roman" w:hAnsi="Times New Roman" w:cs="Times New Roman"/>
          <w:bCs/>
        </w:rPr>
        <w:t xml:space="preserve"> possible to meet any of </w:t>
      </w:r>
      <w:proofErr w:type="spellStart"/>
      <w:r w:rsidR="00C806F3">
        <w:rPr>
          <w:rFonts w:ascii="Times New Roman" w:hAnsi="Times New Roman" w:cs="Times New Roman"/>
          <w:bCs/>
        </w:rPr>
        <w:t>otse</w:t>
      </w:r>
      <w:proofErr w:type="spellEnd"/>
      <w:r w:rsidR="00C806F3">
        <w:rPr>
          <w:rFonts w:ascii="Times New Roman" w:hAnsi="Times New Roman" w:cs="Times New Roman"/>
          <w:bCs/>
        </w:rPr>
        <w:t xml:space="preserve"> needs within Sevenoaks. With regard overall housing needs HBF </w:t>
      </w:r>
      <w:r w:rsidR="001D223D">
        <w:rPr>
          <w:rFonts w:ascii="Times New Roman" w:hAnsi="Times New Roman" w:cs="Times New Roman"/>
          <w:bCs/>
        </w:rPr>
        <w:t xml:space="preserve">consider the period over which the total housing </w:t>
      </w:r>
      <w:r w:rsidR="00927C9B">
        <w:rPr>
          <w:rFonts w:ascii="Times New Roman" w:hAnsi="Times New Roman" w:cs="Times New Roman"/>
          <w:bCs/>
        </w:rPr>
        <w:t>requirement</w:t>
      </w:r>
      <w:r w:rsidR="001D223D">
        <w:rPr>
          <w:rFonts w:ascii="Times New Roman" w:hAnsi="Times New Roman" w:cs="Times New Roman"/>
          <w:bCs/>
        </w:rPr>
        <w:t xml:space="preserve"> is </w:t>
      </w:r>
      <w:r w:rsidR="008553CD">
        <w:rPr>
          <w:rFonts w:ascii="Times New Roman" w:hAnsi="Times New Roman" w:cs="Times New Roman"/>
          <w:bCs/>
        </w:rPr>
        <w:t>considered</w:t>
      </w:r>
      <w:r w:rsidR="001D223D">
        <w:rPr>
          <w:rFonts w:ascii="Times New Roman" w:hAnsi="Times New Roman" w:cs="Times New Roman"/>
          <w:bCs/>
        </w:rPr>
        <w:t xml:space="preserve"> </w:t>
      </w:r>
      <w:r w:rsidR="00927C9B">
        <w:rPr>
          <w:rFonts w:ascii="Times New Roman" w:hAnsi="Times New Roman" w:cs="Times New Roman"/>
          <w:bCs/>
        </w:rPr>
        <w:t>unsound</w:t>
      </w:r>
      <w:r w:rsidR="001D223D">
        <w:rPr>
          <w:rFonts w:ascii="Times New Roman" w:hAnsi="Times New Roman" w:cs="Times New Roman"/>
          <w:bCs/>
        </w:rPr>
        <w:t xml:space="preserve"> and inconsistent with national policy. The plan period should be </w:t>
      </w:r>
      <w:r w:rsidR="006D73A9">
        <w:rPr>
          <w:rFonts w:ascii="Times New Roman" w:hAnsi="Times New Roman" w:cs="Times New Roman"/>
          <w:bCs/>
        </w:rPr>
        <w:t xml:space="preserve">brough forward to 2026/27 </w:t>
      </w:r>
      <w:r w:rsidR="00927C9B">
        <w:rPr>
          <w:rFonts w:ascii="Times New Roman" w:hAnsi="Times New Roman" w:cs="Times New Roman"/>
          <w:bCs/>
        </w:rPr>
        <w:t>and</w:t>
      </w:r>
      <w:r w:rsidR="006D73A9">
        <w:rPr>
          <w:rFonts w:ascii="Times New Roman" w:hAnsi="Times New Roman" w:cs="Times New Roman"/>
          <w:bCs/>
        </w:rPr>
        <w:t xml:space="preserve"> extend by two years to </w:t>
      </w:r>
      <w:r w:rsidR="00927C9B">
        <w:rPr>
          <w:rFonts w:ascii="Times New Roman" w:hAnsi="Times New Roman" w:cs="Times New Roman"/>
          <w:bCs/>
        </w:rPr>
        <w:t>2042/43. This would increase the minimum number of homes the Council are</w:t>
      </w:r>
      <w:r w:rsidR="001141B0">
        <w:rPr>
          <w:rFonts w:ascii="Times New Roman" w:hAnsi="Times New Roman" w:cs="Times New Roman"/>
          <w:bCs/>
        </w:rPr>
        <w:t xml:space="preserve"> </w:t>
      </w:r>
      <w:r w:rsidR="00927C9B">
        <w:rPr>
          <w:rFonts w:ascii="Times New Roman" w:hAnsi="Times New Roman" w:cs="Times New Roman"/>
          <w:bCs/>
        </w:rPr>
        <w:t>required to plan f</w:t>
      </w:r>
      <w:r w:rsidR="001141B0">
        <w:rPr>
          <w:rFonts w:ascii="Times New Roman" w:hAnsi="Times New Roman" w:cs="Times New Roman"/>
          <w:bCs/>
        </w:rPr>
        <w:t>or</w:t>
      </w:r>
      <w:r w:rsidR="00EC6239">
        <w:rPr>
          <w:rFonts w:ascii="Times New Roman" w:hAnsi="Times New Roman" w:cs="Times New Roman"/>
          <w:bCs/>
        </w:rPr>
        <w:t xml:space="preserve"> in this local plan</w:t>
      </w:r>
      <w:r w:rsidR="001141B0">
        <w:rPr>
          <w:rFonts w:ascii="Times New Roman" w:hAnsi="Times New Roman" w:cs="Times New Roman"/>
          <w:bCs/>
        </w:rPr>
        <w:t>,</w:t>
      </w:r>
      <w:r w:rsidR="00927C9B">
        <w:rPr>
          <w:rFonts w:ascii="Times New Roman" w:hAnsi="Times New Roman" w:cs="Times New Roman"/>
          <w:bCs/>
        </w:rPr>
        <w:t xml:space="preserve"> from 18,900 to </w:t>
      </w:r>
      <w:r w:rsidR="00EC6239">
        <w:rPr>
          <w:rFonts w:ascii="Times New Roman" w:hAnsi="Times New Roman" w:cs="Times New Roman"/>
          <w:bCs/>
        </w:rPr>
        <w:t>20,610 homes.</w:t>
      </w:r>
    </w:p>
    <w:p w14:paraId="2FDF06BF" w14:textId="672F23AE" w:rsidR="00B7414A" w:rsidRPr="008D42C9" w:rsidRDefault="00180C40" w:rsidP="00E52F5D">
      <w:pPr>
        <w:widowControl/>
        <w:suppressAutoHyphens w:val="0"/>
        <w:autoSpaceDE/>
        <w:spacing w:after="240" w:line="360" w:lineRule="auto"/>
        <w:jc w:val="both"/>
        <w:rPr>
          <w:rFonts w:ascii="Times New Roman" w:hAnsi="Times New Roman" w:cs="Times New Roman"/>
          <w:b/>
        </w:rPr>
      </w:pPr>
      <w:r w:rsidRPr="008D42C9">
        <w:rPr>
          <w:rFonts w:ascii="Times New Roman" w:hAnsi="Times New Roman" w:cs="Times New Roman"/>
          <w:b/>
        </w:rPr>
        <w:t xml:space="preserve">Housing </w:t>
      </w:r>
      <w:r w:rsidR="00A94C93">
        <w:rPr>
          <w:rFonts w:ascii="Times New Roman" w:hAnsi="Times New Roman" w:cs="Times New Roman"/>
          <w:b/>
        </w:rPr>
        <w:t>land supply</w:t>
      </w:r>
    </w:p>
    <w:p w14:paraId="0DD4201C" w14:textId="3BF8B450" w:rsidR="004446E7" w:rsidRDefault="00180C40" w:rsidP="002832A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Housing trajectories for the two options have not bee</w:t>
      </w:r>
      <w:r w:rsidR="002D5310">
        <w:rPr>
          <w:rFonts w:ascii="Times New Roman" w:hAnsi="Times New Roman" w:cs="Times New Roman"/>
          <w:bCs/>
        </w:rPr>
        <w:t>n</w:t>
      </w:r>
      <w:r>
        <w:rPr>
          <w:rFonts w:ascii="Times New Roman" w:hAnsi="Times New Roman" w:cs="Times New Roman"/>
          <w:bCs/>
        </w:rPr>
        <w:t xml:space="preserve"> provided by the Council. </w:t>
      </w:r>
      <w:r w:rsidR="00ED191C">
        <w:rPr>
          <w:rFonts w:ascii="Times New Roman" w:hAnsi="Times New Roman" w:cs="Times New Roman"/>
          <w:bCs/>
        </w:rPr>
        <w:t xml:space="preserve">This makes it difficult to comment whether either of the proposed options are deliverable over the plan period and would allow for a five year housing land supply on adoption. </w:t>
      </w:r>
      <w:r w:rsidR="00162C30">
        <w:rPr>
          <w:rFonts w:ascii="Times New Roman" w:hAnsi="Times New Roman" w:cs="Times New Roman"/>
          <w:bCs/>
        </w:rPr>
        <w:t xml:space="preserve">Evidence will therefore </w:t>
      </w:r>
      <w:r w:rsidR="00F00576">
        <w:rPr>
          <w:rFonts w:ascii="Times New Roman" w:hAnsi="Times New Roman" w:cs="Times New Roman"/>
          <w:bCs/>
        </w:rPr>
        <w:t>need</w:t>
      </w:r>
      <w:r w:rsidR="00162C30">
        <w:rPr>
          <w:rFonts w:ascii="Times New Roman" w:hAnsi="Times New Roman" w:cs="Times New Roman"/>
          <w:bCs/>
        </w:rPr>
        <w:t xml:space="preserve"> to be provided </w:t>
      </w:r>
      <w:r w:rsidR="00F00576">
        <w:rPr>
          <w:rFonts w:ascii="Times New Roman" w:hAnsi="Times New Roman" w:cs="Times New Roman"/>
          <w:bCs/>
        </w:rPr>
        <w:t>justifying each component element of housing supply and the expectations as t</w:t>
      </w:r>
      <w:r w:rsidR="00CF6E4E">
        <w:rPr>
          <w:rFonts w:ascii="Times New Roman" w:hAnsi="Times New Roman" w:cs="Times New Roman"/>
          <w:bCs/>
        </w:rPr>
        <w:t>o</w:t>
      </w:r>
      <w:r w:rsidR="00F00576">
        <w:rPr>
          <w:rFonts w:ascii="Times New Roman" w:hAnsi="Times New Roman" w:cs="Times New Roman"/>
          <w:bCs/>
        </w:rPr>
        <w:t xml:space="preserve"> when these will be delivered during the plan period.</w:t>
      </w:r>
      <w:r w:rsidR="00580794">
        <w:rPr>
          <w:rFonts w:ascii="Times New Roman" w:hAnsi="Times New Roman" w:cs="Times New Roman"/>
          <w:bCs/>
        </w:rPr>
        <w:t xml:space="preserve"> </w:t>
      </w:r>
      <w:r w:rsidR="001301B9">
        <w:rPr>
          <w:rFonts w:ascii="Times New Roman" w:hAnsi="Times New Roman" w:cs="Times New Roman"/>
          <w:bCs/>
        </w:rPr>
        <w:t xml:space="preserve">While </w:t>
      </w:r>
      <w:r w:rsidR="00580794">
        <w:rPr>
          <w:rFonts w:ascii="Times New Roman" w:hAnsi="Times New Roman" w:cs="Times New Roman"/>
          <w:bCs/>
        </w:rPr>
        <w:t xml:space="preserve">HBF do not generally comment on the deliverability of specific sites </w:t>
      </w:r>
      <w:r w:rsidR="001301B9">
        <w:rPr>
          <w:rFonts w:ascii="Times New Roman" w:hAnsi="Times New Roman" w:cs="Times New Roman"/>
          <w:bCs/>
        </w:rPr>
        <w:t xml:space="preserve">it will be of </w:t>
      </w:r>
      <w:r w:rsidR="00101E5F">
        <w:rPr>
          <w:rFonts w:ascii="Times New Roman" w:hAnsi="Times New Roman" w:cs="Times New Roman"/>
          <w:bCs/>
        </w:rPr>
        <w:t>particular</w:t>
      </w:r>
      <w:r w:rsidR="001301B9">
        <w:rPr>
          <w:rFonts w:ascii="Times New Roman" w:hAnsi="Times New Roman" w:cs="Times New Roman"/>
          <w:bCs/>
        </w:rPr>
        <w:t xml:space="preserve"> </w:t>
      </w:r>
      <w:r w:rsidR="00101E5F">
        <w:rPr>
          <w:rFonts w:ascii="Times New Roman" w:hAnsi="Times New Roman" w:cs="Times New Roman"/>
          <w:bCs/>
        </w:rPr>
        <w:t>importance</w:t>
      </w:r>
      <w:r w:rsidR="001301B9">
        <w:rPr>
          <w:rFonts w:ascii="Times New Roman" w:hAnsi="Times New Roman" w:cs="Times New Roman"/>
          <w:bCs/>
        </w:rPr>
        <w:t xml:space="preserve"> for</w:t>
      </w:r>
      <w:r w:rsidR="00101E5F">
        <w:rPr>
          <w:rFonts w:ascii="Times New Roman" w:hAnsi="Times New Roman" w:cs="Times New Roman"/>
          <w:bCs/>
        </w:rPr>
        <w:t xml:space="preserve"> t</w:t>
      </w:r>
      <w:r w:rsidR="001301B9">
        <w:rPr>
          <w:rFonts w:ascii="Times New Roman" w:hAnsi="Times New Roman" w:cs="Times New Roman"/>
          <w:bCs/>
        </w:rPr>
        <w:t xml:space="preserve">he </w:t>
      </w:r>
      <w:r w:rsidR="00101E5F">
        <w:rPr>
          <w:rFonts w:ascii="Times New Roman" w:hAnsi="Times New Roman" w:cs="Times New Roman"/>
          <w:bCs/>
        </w:rPr>
        <w:t>Council</w:t>
      </w:r>
      <w:r w:rsidR="001301B9">
        <w:rPr>
          <w:rFonts w:ascii="Times New Roman" w:hAnsi="Times New Roman" w:cs="Times New Roman"/>
          <w:bCs/>
        </w:rPr>
        <w:t xml:space="preserve"> to show why </w:t>
      </w:r>
      <w:r w:rsidR="00101E5F">
        <w:rPr>
          <w:rFonts w:ascii="Times New Roman" w:hAnsi="Times New Roman" w:cs="Times New Roman"/>
          <w:bCs/>
        </w:rPr>
        <w:t xml:space="preserve">the proposed allocations that are carried forward from the adopted local plan </w:t>
      </w:r>
      <w:r w:rsidR="006E0057">
        <w:rPr>
          <w:rFonts w:ascii="Times New Roman" w:hAnsi="Times New Roman" w:cs="Times New Roman"/>
          <w:bCs/>
        </w:rPr>
        <w:t xml:space="preserve">will be delivered given that they have not come forward in 10 years, and in some cases even longer. </w:t>
      </w:r>
    </w:p>
    <w:p w14:paraId="641F6030" w14:textId="3F3A2092" w:rsidR="00180C40" w:rsidRDefault="00F00576" w:rsidP="002832A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 In order to ensure the plan is </w:t>
      </w:r>
      <w:r w:rsidR="00856EC4">
        <w:rPr>
          <w:rFonts w:ascii="Times New Roman" w:hAnsi="Times New Roman" w:cs="Times New Roman"/>
          <w:bCs/>
        </w:rPr>
        <w:t>consistent</w:t>
      </w:r>
      <w:r>
        <w:rPr>
          <w:rFonts w:ascii="Times New Roman" w:hAnsi="Times New Roman" w:cs="Times New Roman"/>
          <w:bCs/>
        </w:rPr>
        <w:t xml:space="preserve"> with </w:t>
      </w:r>
      <w:r w:rsidR="00856EC4">
        <w:rPr>
          <w:rFonts w:ascii="Times New Roman" w:hAnsi="Times New Roman" w:cs="Times New Roman"/>
          <w:bCs/>
        </w:rPr>
        <w:t>paragraph</w:t>
      </w:r>
      <w:r>
        <w:rPr>
          <w:rFonts w:ascii="Times New Roman" w:hAnsi="Times New Roman" w:cs="Times New Roman"/>
          <w:bCs/>
        </w:rPr>
        <w:t xml:space="preserve"> </w:t>
      </w:r>
      <w:r w:rsidR="00856EC4">
        <w:rPr>
          <w:rFonts w:ascii="Times New Roman" w:hAnsi="Times New Roman" w:cs="Times New Roman"/>
          <w:bCs/>
        </w:rPr>
        <w:t xml:space="preserve">78 of the NPPF </w:t>
      </w:r>
      <w:r w:rsidR="00CF6E4E">
        <w:rPr>
          <w:rFonts w:ascii="Times New Roman" w:hAnsi="Times New Roman" w:cs="Times New Roman"/>
          <w:bCs/>
        </w:rPr>
        <w:t xml:space="preserve">the </w:t>
      </w:r>
      <w:r w:rsidR="00F717C0">
        <w:rPr>
          <w:rFonts w:ascii="Times New Roman" w:hAnsi="Times New Roman" w:cs="Times New Roman"/>
          <w:bCs/>
        </w:rPr>
        <w:t>Council</w:t>
      </w:r>
      <w:r w:rsidR="00CF6E4E">
        <w:rPr>
          <w:rFonts w:ascii="Times New Roman" w:hAnsi="Times New Roman" w:cs="Times New Roman"/>
          <w:bCs/>
        </w:rPr>
        <w:t xml:space="preserve"> </w:t>
      </w:r>
      <w:r w:rsidR="00F717C0">
        <w:rPr>
          <w:rFonts w:ascii="Times New Roman" w:hAnsi="Times New Roman" w:cs="Times New Roman"/>
          <w:bCs/>
        </w:rPr>
        <w:t>will</w:t>
      </w:r>
      <w:r w:rsidR="00CF6E4E">
        <w:rPr>
          <w:rFonts w:ascii="Times New Roman" w:hAnsi="Times New Roman" w:cs="Times New Roman"/>
          <w:bCs/>
        </w:rPr>
        <w:t xml:space="preserve"> need to include a </w:t>
      </w:r>
      <w:r w:rsidR="00F717C0">
        <w:rPr>
          <w:rFonts w:ascii="Times New Roman" w:hAnsi="Times New Roman" w:cs="Times New Roman"/>
          <w:bCs/>
        </w:rPr>
        <w:t>trajectory</w:t>
      </w:r>
      <w:r w:rsidR="00CF6E4E">
        <w:rPr>
          <w:rFonts w:ascii="Times New Roman" w:hAnsi="Times New Roman" w:cs="Times New Roman"/>
          <w:bCs/>
        </w:rPr>
        <w:t xml:space="preserve"> </w:t>
      </w:r>
      <w:r w:rsidR="00F717C0">
        <w:rPr>
          <w:rFonts w:ascii="Times New Roman" w:hAnsi="Times New Roman" w:cs="Times New Roman"/>
          <w:bCs/>
        </w:rPr>
        <w:t>setting</w:t>
      </w:r>
      <w:r w:rsidR="00CF6E4E">
        <w:rPr>
          <w:rFonts w:ascii="Times New Roman" w:hAnsi="Times New Roman" w:cs="Times New Roman"/>
          <w:bCs/>
        </w:rPr>
        <w:t xml:space="preserve"> </w:t>
      </w:r>
      <w:r w:rsidR="00F717C0">
        <w:rPr>
          <w:rFonts w:ascii="Times New Roman" w:hAnsi="Times New Roman" w:cs="Times New Roman"/>
          <w:bCs/>
        </w:rPr>
        <w:t>out</w:t>
      </w:r>
      <w:r w:rsidR="00CF6E4E">
        <w:rPr>
          <w:rFonts w:ascii="Times New Roman" w:hAnsi="Times New Roman" w:cs="Times New Roman"/>
          <w:bCs/>
        </w:rPr>
        <w:t xml:space="preserve"> ho</w:t>
      </w:r>
      <w:r w:rsidR="00F717C0">
        <w:rPr>
          <w:rFonts w:ascii="Times New Roman" w:hAnsi="Times New Roman" w:cs="Times New Roman"/>
          <w:bCs/>
        </w:rPr>
        <w:t>w</w:t>
      </w:r>
      <w:r w:rsidR="00CF6E4E">
        <w:rPr>
          <w:rFonts w:ascii="Times New Roman" w:hAnsi="Times New Roman" w:cs="Times New Roman"/>
          <w:bCs/>
        </w:rPr>
        <w:t xml:space="preserve"> many homes </w:t>
      </w:r>
      <w:r w:rsidR="00FD031D">
        <w:rPr>
          <w:rFonts w:ascii="Times New Roman" w:hAnsi="Times New Roman" w:cs="Times New Roman"/>
          <w:bCs/>
        </w:rPr>
        <w:t xml:space="preserve">will be </w:t>
      </w:r>
      <w:r w:rsidR="00F717C0">
        <w:rPr>
          <w:rFonts w:ascii="Times New Roman" w:hAnsi="Times New Roman" w:cs="Times New Roman"/>
          <w:bCs/>
        </w:rPr>
        <w:t>delivered</w:t>
      </w:r>
      <w:r w:rsidR="00FD031D">
        <w:rPr>
          <w:rFonts w:ascii="Times New Roman" w:hAnsi="Times New Roman" w:cs="Times New Roman"/>
          <w:bCs/>
        </w:rPr>
        <w:t xml:space="preserve"> each year </w:t>
      </w:r>
      <w:r w:rsidR="00F717C0">
        <w:rPr>
          <w:rFonts w:ascii="Times New Roman" w:hAnsi="Times New Roman" w:cs="Times New Roman"/>
          <w:bCs/>
        </w:rPr>
        <w:t>against</w:t>
      </w:r>
      <w:r w:rsidR="00FD031D">
        <w:rPr>
          <w:rFonts w:ascii="Times New Roman" w:hAnsi="Times New Roman" w:cs="Times New Roman"/>
          <w:bCs/>
        </w:rPr>
        <w:t xml:space="preserve"> </w:t>
      </w:r>
      <w:r w:rsidR="00F717C0">
        <w:rPr>
          <w:rFonts w:ascii="Times New Roman" w:hAnsi="Times New Roman" w:cs="Times New Roman"/>
          <w:bCs/>
        </w:rPr>
        <w:t>the</w:t>
      </w:r>
      <w:r w:rsidR="00FD031D">
        <w:rPr>
          <w:rFonts w:ascii="Times New Roman" w:hAnsi="Times New Roman" w:cs="Times New Roman"/>
          <w:bCs/>
        </w:rPr>
        <w:t xml:space="preserve"> </w:t>
      </w:r>
      <w:r w:rsidR="00F717C0">
        <w:rPr>
          <w:rFonts w:ascii="Times New Roman" w:hAnsi="Times New Roman" w:cs="Times New Roman"/>
          <w:bCs/>
        </w:rPr>
        <w:t>proposed</w:t>
      </w:r>
      <w:r w:rsidR="00FD031D">
        <w:rPr>
          <w:rFonts w:ascii="Times New Roman" w:hAnsi="Times New Roman" w:cs="Times New Roman"/>
          <w:bCs/>
        </w:rPr>
        <w:t xml:space="preserve"> </w:t>
      </w:r>
      <w:r w:rsidR="00F717C0">
        <w:rPr>
          <w:rFonts w:ascii="Times New Roman" w:hAnsi="Times New Roman" w:cs="Times New Roman"/>
          <w:bCs/>
        </w:rPr>
        <w:t>housing</w:t>
      </w:r>
      <w:r w:rsidR="00FD031D">
        <w:rPr>
          <w:rFonts w:ascii="Times New Roman" w:hAnsi="Times New Roman" w:cs="Times New Roman"/>
          <w:bCs/>
        </w:rPr>
        <w:t xml:space="preserve"> </w:t>
      </w:r>
      <w:r w:rsidR="00F717C0">
        <w:rPr>
          <w:rFonts w:ascii="Times New Roman" w:hAnsi="Times New Roman" w:cs="Times New Roman"/>
          <w:bCs/>
        </w:rPr>
        <w:t>requirement</w:t>
      </w:r>
      <w:r w:rsidR="00FD031D">
        <w:rPr>
          <w:rFonts w:ascii="Times New Roman" w:hAnsi="Times New Roman" w:cs="Times New Roman"/>
          <w:bCs/>
        </w:rPr>
        <w:t xml:space="preserve">. HBF would recommend that </w:t>
      </w:r>
      <w:r w:rsidR="00F43BF4">
        <w:rPr>
          <w:rFonts w:ascii="Times New Roman" w:hAnsi="Times New Roman" w:cs="Times New Roman"/>
          <w:bCs/>
        </w:rPr>
        <w:t xml:space="preserve">this </w:t>
      </w:r>
      <w:r w:rsidR="00F717C0">
        <w:rPr>
          <w:rFonts w:ascii="Times New Roman" w:hAnsi="Times New Roman" w:cs="Times New Roman"/>
          <w:bCs/>
        </w:rPr>
        <w:t>includes</w:t>
      </w:r>
      <w:r w:rsidR="00F43BF4">
        <w:rPr>
          <w:rFonts w:ascii="Times New Roman" w:hAnsi="Times New Roman" w:cs="Times New Roman"/>
          <w:bCs/>
        </w:rPr>
        <w:t xml:space="preserve"> supply from all </w:t>
      </w:r>
      <w:r w:rsidR="00B449F2">
        <w:rPr>
          <w:rFonts w:ascii="Times New Roman" w:hAnsi="Times New Roman" w:cs="Times New Roman"/>
          <w:bCs/>
        </w:rPr>
        <w:t xml:space="preserve">sites that contribute to supply </w:t>
      </w:r>
      <w:r w:rsidR="00F43BF4">
        <w:rPr>
          <w:rFonts w:ascii="Times New Roman" w:hAnsi="Times New Roman" w:cs="Times New Roman"/>
          <w:bCs/>
        </w:rPr>
        <w:t xml:space="preserve">to </w:t>
      </w:r>
      <w:r w:rsidR="00B449F2">
        <w:rPr>
          <w:rFonts w:ascii="Times New Roman" w:hAnsi="Times New Roman" w:cs="Times New Roman"/>
          <w:bCs/>
        </w:rPr>
        <w:t xml:space="preserve">provide the necessary clarity </w:t>
      </w:r>
      <w:r w:rsidR="005C3052">
        <w:rPr>
          <w:rFonts w:ascii="Times New Roman" w:hAnsi="Times New Roman" w:cs="Times New Roman"/>
          <w:bCs/>
        </w:rPr>
        <w:t>as to</w:t>
      </w:r>
      <w:r w:rsidR="00F717C0">
        <w:rPr>
          <w:rFonts w:ascii="Times New Roman" w:hAnsi="Times New Roman" w:cs="Times New Roman"/>
          <w:bCs/>
        </w:rPr>
        <w:t xml:space="preserve"> when specific sites are expected to come forward and a</w:t>
      </w:r>
      <w:r w:rsidR="000C16A6">
        <w:rPr>
          <w:rFonts w:ascii="Times New Roman" w:hAnsi="Times New Roman" w:cs="Times New Roman"/>
          <w:bCs/>
        </w:rPr>
        <w:t>t w</w:t>
      </w:r>
      <w:r w:rsidR="00F717C0">
        <w:rPr>
          <w:rFonts w:ascii="Times New Roman" w:hAnsi="Times New Roman" w:cs="Times New Roman"/>
          <w:bCs/>
        </w:rPr>
        <w:t>hat rate.</w:t>
      </w:r>
    </w:p>
    <w:p w14:paraId="016B4F9A" w14:textId="432D718F" w:rsidR="001F27FF" w:rsidRDefault="001F27FF" w:rsidP="002832A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With regard to overall </w:t>
      </w:r>
      <w:r w:rsidR="00466B65">
        <w:rPr>
          <w:rFonts w:ascii="Times New Roman" w:hAnsi="Times New Roman" w:cs="Times New Roman"/>
          <w:bCs/>
        </w:rPr>
        <w:t>supply</w:t>
      </w:r>
      <w:r>
        <w:rPr>
          <w:rFonts w:ascii="Times New Roman" w:hAnsi="Times New Roman" w:cs="Times New Roman"/>
          <w:bCs/>
        </w:rPr>
        <w:t xml:space="preserve"> HBF recommend that there is a 10% buffer between the number of homes </w:t>
      </w:r>
      <w:r w:rsidR="007070C6">
        <w:rPr>
          <w:rFonts w:ascii="Times New Roman" w:hAnsi="Times New Roman" w:cs="Times New Roman"/>
          <w:bCs/>
        </w:rPr>
        <w:t>expected to be delivered over the</w:t>
      </w:r>
      <w:r w:rsidR="00466B65">
        <w:rPr>
          <w:rFonts w:ascii="Times New Roman" w:hAnsi="Times New Roman" w:cs="Times New Roman"/>
          <w:bCs/>
        </w:rPr>
        <w:t xml:space="preserve"> </w:t>
      </w:r>
      <w:r w:rsidR="007070C6">
        <w:rPr>
          <w:rFonts w:ascii="Times New Roman" w:hAnsi="Times New Roman" w:cs="Times New Roman"/>
          <w:bCs/>
        </w:rPr>
        <w:t>plan</w:t>
      </w:r>
      <w:r w:rsidR="00466B65">
        <w:rPr>
          <w:rFonts w:ascii="Times New Roman" w:hAnsi="Times New Roman" w:cs="Times New Roman"/>
          <w:bCs/>
        </w:rPr>
        <w:t xml:space="preserve"> </w:t>
      </w:r>
      <w:r w:rsidR="007070C6">
        <w:rPr>
          <w:rFonts w:ascii="Times New Roman" w:hAnsi="Times New Roman" w:cs="Times New Roman"/>
          <w:bCs/>
        </w:rPr>
        <w:t xml:space="preserve">period and the housing </w:t>
      </w:r>
      <w:r w:rsidR="00466B65">
        <w:rPr>
          <w:rFonts w:ascii="Times New Roman" w:hAnsi="Times New Roman" w:cs="Times New Roman"/>
          <w:bCs/>
        </w:rPr>
        <w:t>requirement</w:t>
      </w:r>
      <w:r w:rsidR="007070C6">
        <w:rPr>
          <w:rFonts w:ascii="Times New Roman" w:hAnsi="Times New Roman" w:cs="Times New Roman"/>
          <w:bCs/>
        </w:rPr>
        <w:t xml:space="preserve">. This buffer in supply is required to take account of the fact that not all sites </w:t>
      </w:r>
      <w:r w:rsidR="00466B65">
        <w:rPr>
          <w:rFonts w:ascii="Times New Roman" w:hAnsi="Times New Roman" w:cs="Times New Roman"/>
          <w:bCs/>
        </w:rPr>
        <w:t>deliver</w:t>
      </w:r>
      <w:r w:rsidR="007070C6">
        <w:rPr>
          <w:rFonts w:ascii="Times New Roman" w:hAnsi="Times New Roman" w:cs="Times New Roman"/>
          <w:bCs/>
        </w:rPr>
        <w:t xml:space="preserve"> as expected and will ensure that the </w:t>
      </w:r>
      <w:r w:rsidR="00466B65">
        <w:rPr>
          <w:rFonts w:ascii="Times New Roman" w:hAnsi="Times New Roman" w:cs="Times New Roman"/>
          <w:bCs/>
        </w:rPr>
        <w:t>Council</w:t>
      </w:r>
      <w:r w:rsidR="007070C6">
        <w:rPr>
          <w:rFonts w:ascii="Times New Roman" w:hAnsi="Times New Roman" w:cs="Times New Roman"/>
          <w:bCs/>
        </w:rPr>
        <w:t xml:space="preserve"> and others can be confident that </w:t>
      </w:r>
      <w:r w:rsidR="00CA5A8E">
        <w:rPr>
          <w:rFonts w:ascii="Times New Roman" w:hAnsi="Times New Roman" w:cs="Times New Roman"/>
          <w:bCs/>
        </w:rPr>
        <w:t xml:space="preserve">development needs will be met in full </w:t>
      </w:r>
      <w:r w:rsidR="00466B65">
        <w:rPr>
          <w:rFonts w:ascii="Times New Roman" w:hAnsi="Times New Roman" w:cs="Times New Roman"/>
          <w:bCs/>
        </w:rPr>
        <w:t xml:space="preserve">over the plan period </w:t>
      </w:r>
      <w:r w:rsidR="00CA5A8E">
        <w:rPr>
          <w:rFonts w:ascii="Times New Roman" w:hAnsi="Times New Roman" w:cs="Times New Roman"/>
          <w:bCs/>
        </w:rPr>
        <w:t xml:space="preserve">and that </w:t>
      </w:r>
      <w:r w:rsidR="00E246D6">
        <w:rPr>
          <w:rFonts w:ascii="Times New Roman" w:hAnsi="Times New Roman" w:cs="Times New Roman"/>
          <w:bCs/>
        </w:rPr>
        <w:t>the plan is</w:t>
      </w:r>
      <w:r w:rsidR="00466B65">
        <w:rPr>
          <w:rFonts w:ascii="Times New Roman" w:hAnsi="Times New Roman" w:cs="Times New Roman"/>
          <w:bCs/>
        </w:rPr>
        <w:t xml:space="preserve"> therefore both</w:t>
      </w:r>
      <w:r w:rsidR="00E246D6">
        <w:rPr>
          <w:rFonts w:ascii="Times New Roman" w:hAnsi="Times New Roman" w:cs="Times New Roman"/>
          <w:bCs/>
        </w:rPr>
        <w:t xml:space="preserve"> </w:t>
      </w:r>
      <w:r w:rsidR="00466B65">
        <w:rPr>
          <w:rFonts w:ascii="Times New Roman" w:hAnsi="Times New Roman" w:cs="Times New Roman"/>
          <w:bCs/>
        </w:rPr>
        <w:t>positively</w:t>
      </w:r>
      <w:r w:rsidR="00E246D6">
        <w:rPr>
          <w:rFonts w:ascii="Times New Roman" w:hAnsi="Times New Roman" w:cs="Times New Roman"/>
          <w:bCs/>
        </w:rPr>
        <w:t xml:space="preserve"> prepared and</w:t>
      </w:r>
      <w:r w:rsidR="00CA5A8E">
        <w:rPr>
          <w:rFonts w:ascii="Times New Roman" w:hAnsi="Times New Roman" w:cs="Times New Roman"/>
          <w:bCs/>
        </w:rPr>
        <w:t xml:space="preserve"> effectiv</w:t>
      </w:r>
      <w:r w:rsidR="00466B65">
        <w:rPr>
          <w:rFonts w:ascii="Times New Roman" w:hAnsi="Times New Roman" w:cs="Times New Roman"/>
          <w:bCs/>
        </w:rPr>
        <w:t>e.</w:t>
      </w:r>
      <w:r w:rsidR="00711E51">
        <w:rPr>
          <w:rFonts w:ascii="Times New Roman" w:hAnsi="Times New Roman" w:cs="Times New Roman"/>
          <w:bCs/>
        </w:rPr>
        <w:t xml:space="preserve"> This is particularly </w:t>
      </w:r>
      <w:r w:rsidR="00C9230E">
        <w:rPr>
          <w:rFonts w:ascii="Times New Roman" w:hAnsi="Times New Roman" w:cs="Times New Roman"/>
          <w:bCs/>
        </w:rPr>
        <w:t>important given that there is</w:t>
      </w:r>
      <w:r w:rsidR="00711E51">
        <w:rPr>
          <w:rFonts w:ascii="Times New Roman" w:hAnsi="Times New Roman" w:cs="Times New Roman"/>
          <w:bCs/>
        </w:rPr>
        <w:t xml:space="preserve"> a </w:t>
      </w:r>
      <w:r w:rsidR="00FA75C1">
        <w:rPr>
          <w:rFonts w:ascii="Times New Roman" w:hAnsi="Times New Roman" w:cs="Times New Roman"/>
          <w:bCs/>
        </w:rPr>
        <w:t>significant</w:t>
      </w:r>
      <w:r w:rsidR="00711E51">
        <w:rPr>
          <w:rFonts w:ascii="Times New Roman" w:hAnsi="Times New Roman" w:cs="Times New Roman"/>
          <w:bCs/>
        </w:rPr>
        <w:t xml:space="preserve"> </w:t>
      </w:r>
      <w:r w:rsidR="00FA75C1">
        <w:rPr>
          <w:rFonts w:ascii="Times New Roman" w:hAnsi="Times New Roman" w:cs="Times New Roman"/>
          <w:bCs/>
        </w:rPr>
        <w:t>reliance on</w:t>
      </w:r>
      <w:r w:rsidR="00711E51">
        <w:rPr>
          <w:rFonts w:ascii="Times New Roman" w:hAnsi="Times New Roman" w:cs="Times New Roman"/>
          <w:bCs/>
        </w:rPr>
        <w:t xml:space="preserve"> </w:t>
      </w:r>
      <w:r w:rsidR="00C9230E">
        <w:rPr>
          <w:rFonts w:ascii="Times New Roman" w:hAnsi="Times New Roman" w:cs="Times New Roman"/>
          <w:bCs/>
        </w:rPr>
        <w:t xml:space="preserve">two </w:t>
      </w:r>
      <w:r w:rsidR="00257345">
        <w:rPr>
          <w:rFonts w:ascii="Times New Roman" w:hAnsi="Times New Roman" w:cs="Times New Roman"/>
          <w:bCs/>
        </w:rPr>
        <w:t>strategic</w:t>
      </w:r>
      <w:r w:rsidR="00C9230E">
        <w:rPr>
          <w:rFonts w:ascii="Times New Roman" w:hAnsi="Times New Roman" w:cs="Times New Roman"/>
          <w:bCs/>
        </w:rPr>
        <w:t xml:space="preserve"> sites, Pedham Place and </w:t>
      </w:r>
      <w:r w:rsidR="00257345">
        <w:rPr>
          <w:rFonts w:ascii="Times New Roman" w:hAnsi="Times New Roman" w:cs="Times New Roman"/>
          <w:bCs/>
        </w:rPr>
        <w:t>land north of Sevenoaks to ensure needs are met in full</w:t>
      </w:r>
      <w:r w:rsidR="00677A22">
        <w:rPr>
          <w:rFonts w:ascii="Times New Roman" w:hAnsi="Times New Roman" w:cs="Times New Roman"/>
          <w:bCs/>
        </w:rPr>
        <w:t xml:space="preserve">. Such sites </w:t>
      </w:r>
      <w:r w:rsidR="00335D29">
        <w:rPr>
          <w:rFonts w:ascii="Times New Roman" w:hAnsi="Times New Roman" w:cs="Times New Roman"/>
          <w:bCs/>
        </w:rPr>
        <w:t>are complex to deliver</w:t>
      </w:r>
      <w:r w:rsidR="001D1581">
        <w:rPr>
          <w:rFonts w:ascii="Times New Roman" w:hAnsi="Times New Roman" w:cs="Times New Roman"/>
          <w:bCs/>
        </w:rPr>
        <w:t>, more prone to delay with the result that needs are not met.</w:t>
      </w:r>
      <w:r w:rsidR="00F912FF">
        <w:rPr>
          <w:rFonts w:ascii="Times New Roman" w:hAnsi="Times New Roman" w:cs="Times New Roman"/>
          <w:bCs/>
        </w:rPr>
        <w:t xml:space="preserve"> </w:t>
      </w:r>
    </w:p>
    <w:p w14:paraId="65150968" w14:textId="5D86C9BC" w:rsidR="001D1581" w:rsidRPr="00F373BB" w:rsidRDefault="001D1581" w:rsidP="001D1581">
      <w:pPr>
        <w:widowControl/>
        <w:suppressAutoHyphens w:val="0"/>
        <w:autoSpaceDE/>
        <w:spacing w:after="240" w:line="360" w:lineRule="auto"/>
        <w:jc w:val="both"/>
        <w:rPr>
          <w:rFonts w:ascii="Times New Roman" w:hAnsi="Times New Roman" w:cs="Times New Roman"/>
          <w:bCs/>
          <w:i/>
          <w:iCs/>
        </w:rPr>
      </w:pPr>
      <w:r w:rsidRPr="00F373BB">
        <w:rPr>
          <w:rFonts w:ascii="Times New Roman" w:hAnsi="Times New Roman" w:cs="Times New Roman"/>
          <w:bCs/>
          <w:i/>
          <w:iCs/>
        </w:rPr>
        <w:t>Stepped housing requirement</w:t>
      </w:r>
    </w:p>
    <w:p w14:paraId="0B37F168" w14:textId="2CF9977B" w:rsidR="00BD50CD" w:rsidRDefault="001D1581" w:rsidP="008718B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FE5527">
        <w:rPr>
          <w:rFonts w:ascii="Times New Roman" w:hAnsi="Times New Roman" w:cs="Times New Roman"/>
          <w:bCs/>
        </w:rPr>
        <w:t xml:space="preserve">The Council are not proposing </w:t>
      </w:r>
      <w:r w:rsidR="00D5530A" w:rsidRPr="00FE5527">
        <w:rPr>
          <w:rFonts w:ascii="Times New Roman" w:hAnsi="Times New Roman" w:cs="Times New Roman"/>
          <w:bCs/>
        </w:rPr>
        <w:t xml:space="preserve">in this consultation </w:t>
      </w:r>
      <w:r w:rsidR="00990C68" w:rsidRPr="00FE5527">
        <w:rPr>
          <w:rFonts w:ascii="Times New Roman" w:hAnsi="Times New Roman" w:cs="Times New Roman"/>
          <w:bCs/>
        </w:rPr>
        <w:t xml:space="preserve">to use </w:t>
      </w:r>
      <w:r w:rsidRPr="00FE5527">
        <w:rPr>
          <w:rFonts w:ascii="Times New Roman" w:hAnsi="Times New Roman" w:cs="Times New Roman"/>
          <w:bCs/>
        </w:rPr>
        <w:t>a stepped housing requirement</w:t>
      </w:r>
      <w:r w:rsidR="000D6B6E" w:rsidRPr="00FE5527">
        <w:rPr>
          <w:rFonts w:ascii="Times New Roman" w:hAnsi="Times New Roman" w:cs="Times New Roman"/>
          <w:bCs/>
        </w:rPr>
        <w:t>. However, HBF n</w:t>
      </w:r>
      <w:r w:rsidR="00FB1B21" w:rsidRPr="00FE5527">
        <w:rPr>
          <w:rFonts w:ascii="Times New Roman" w:hAnsi="Times New Roman" w:cs="Times New Roman"/>
          <w:bCs/>
        </w:rPr>
        <w:t xml:space="preserve">ote that </w:t>
      </w:r>
      <w:r w:rsidR="007D7D72" w:rsidRPr="00FE5527">
        <w:rPr>
          <w:rFonts w:ascii="Times New Roman" w:hAnsi="Times New Roman" w:cs="Times New Roman"/>
          <w:bCs/>
        </w:rPr>
        <w:t xml:space="preserve">in </w:t>
      </w:r>
      <w:r w:rsidR="00ED18DE" w:rsidRPr="00FE5527">
        <w:rPr>
          <w:rFonts w:ascii="Times New Roman" w:hAnsi="Times New Roman" w:cs="Times New Roman"/>
          <w:bCs/>
        </w:rPr>
        <w:t>paragraph</w:t>
      </w:r>
      <w:r w:rsidR="007D7D72" w:rsidRPr="00FE5527">
        <w:rPr>
          <w:rFonts w:ascii="Times New Roman" w:hAnsi="Times New Roman" w:cs="Times New Roman"/>
          <w:bCs/>
        </w:rPr>
        <w:t xml:space="preserve"> </w:t>
      </w:r>
      <w:r w:rsidR="00ED18DE" w:rsidRPr="00FE5527">
        <w:rPr>
          <w:rFonts w:ascii="Times New Roman" w:hAnsi="Times New Roman" w:cs="Times New Roman"/>
          <w:bCs/>
        </w:rPr>
        <w:t xml:space="preserve">5.2.9 </w:t>
      </w:r>
      <w:r w:rsidR="00FB1B21" w:rsidRPr="00FE5527">
        <w:rPr>
          <w:rFonts w:ascii="Times New Roman" w:hAnsi="Times New Roman" w:cs="Times New Roman"/>
          <w:bCs/>
        </w:rPr>
        <w:t xml:space="preserve">the </w:t>
      </w:r>
      <w:r w:rsidR="000D6B6E" w:rsidRPr="00FE5527">
        <w:rPr>
          <w:rFonts w:ascii="Times New Roman" w:hAnsi="Times New Roman" w:cs="Times New Roman"/>
          <w:bCs/>
        </w:rPr>
        <w:t>Interim SA</w:t>
      </w:r>
      <w:r w:rsidR="00FB1B21" w:rsidRPr="00FE5527">
        <w:rPr>
          <w:rFonts w:ascii="Times New Roman" w:hAnsi="Times New Roman" w:cs="Times New Roman"/>
          <w:bCs/>
        </w:rPr>
        <w:t xml:space="preserve"> </w:t>
      </w:r>
      <w:r w:rsidR="00C74B40" w:rsidRPr="00FE5527">
        <w:rPr>
          <w:rFonts w:ascii="Times New Roman" w:hAnsi="Times New Roman" w:cs="Times New Roman"/>
          <w:bCs/>
        </w:rPr>
        <w:t>rai</w:t>
      </w:r>
      <w:r w:rsidR="00C552B3" w:rsidRPr="00FE5527">
        <w:rPr>
          <w:rFonts w:ascii="Times New Roman" w:hAnsi="Times New Roman" w:cs="Times New Roman"/>
          <w:bCs/>
        </w:rPr>
        <w:t xml:space="preserve">ses the possibility of </w:t>
      </w:r>
      <w:r w:rsidR="002806F3" w:rsidRPr="00FE5527">
        <w:rPr>
          <w:rFonts w:ascii="Times New Roman" w:hAnsi="Times New Roman" w:cs="Times New Roman"/>
          <w:bCs/>
        </w:rPr>
        <w:t xml:space="preserve">the Council using </w:t>
      </w:r>
      <w:r w:rsidR="00C552B3" w:rsidRPr="00FE5527">
        <w:rPr>
          <w:rFonts w:ascii="Times New Roman" w:hAnsi="Times New Roman" w:cs="Times New Roman"/>
          <w:bCs/>
        </w:rPr>
        <w:t xml:space="preserve">a stepped requirement on the basis that this is a </w:t>
      </w:r>
      <w:r w:rsidR="00A942AB" w:rsidRPr="00FE5527">
        <w:rPr>
          <w:rFonts w:ascii="Times New Roman" w:hAnsi="Times New Roman" w:cs="Times New Roman"/>
          <w:bCs/>
        </w:rPr>
        <w:t>significant increase</w:t>
      </w:r>
      <w:r w:rsidR="00C552B3" w:rsidRPr="00FE5527">
        <w:rPr>
          <w:rFonts w:ascii="Times New Roman" w:hAnsi="Times New Roman" w:cs="Times New Roman"/>
          <w:bCs/>
        </w:rPr>
        <w:t xml:space="preserve"> in housing delivery compared to previous plans. </w:t>
      </w:r>
      <w:r w:rsidR="00BD50CD" w:rsidRPr="00FE5527">
        <w:rPr>
          <w:rFonts w:ascii="Times New Roman" w:hAnsi="Times New Roman" w:cs="Times New Roman"/>
          <w:bCs/>
        </w:rPr>
        <w:t xml:space="preserve">While </w:t>
      </w:r>
      <w:r w:rsidR="0084571A" w:rsidRPr="00FE5527">
        <w:rPr>
          <w:rFonts w:ascii="Times New Roman" w:hAnsi="Times New Roman" w:cs="Times New Roman"/>
          <w:bCs/>
        </w:rPr>
        <w:t xml:space="preserve">HBF </w:t>
      </w:r>
      <w:r w:rsidR="00D848CD" w:rsidRPr="00FE5527">
        <w:rPr>
          <w:rFonts w:ascii="Times New Roman" w:hAnsi="Times New Roman" w:cs="Times New Roman"/>
          <w:bCs/>
        </w:rPr>
        <w:t>recognises</w:t>
      </w:r>
      <w:r w:rsidR="0084571A" w:rsidRPr="00FE5527">
        <w:rPr>
          <w:rFonts w:ascii="Times New Roman" w:hAnsi="Times New Roman" w:cs="Times New Roman"/>
          <w:bCs/>
        </w:rPr>
        <w:t xml:space="preserve"> that PPG allows for stepped </w:t>
      </w:r>
      <w:r w:rsidR="00130CEE" w:rsidRPr="00FE5527">
        <w:rPr>
          <w:rFonts w:ascii="Times New Roman" w:hAnsi="Times New Roman" w:cs="Times New Roman"/>
          <w:bCs/>
        </w:rPr>
        <w:t>trajectories,</w:t>
      </w:r>
      <w:r w:rsidR="00BD50CD" w:rsidRPr="00FE5527">
        <w:rPr>
          <w:rFonts w:ascii="Times New Roman" w:hAnsi="Times New Roman" w:cs="Times New Roman"/>
          <w:bCs/>
        </w:rPr>
        <w:t xml:space="preserve"> a key starting point for any </w:t>
      </w:r>
      <w:r w:rsidR="00FE5527" w:rsidRPr="00FE5527">
        <w:rPr>
          <w:rFonts w:ascii="Times New Roman" w:hAnsi="Times New Roman" w:cs="Times New Roman"/>
          <w:bCs/>
        </w:rPr>
        <w:t xml:space="preserve">spatial strategy </w:t>
      </w:r>
      <w:r w:rsidR="00BD50CD" w:rsidRPr="00FE5527">
        <w:rPr>
          <w:rFonts w:ascii="Times New Roman" w:hAnsi="Times New Roman" w:cs="Times New Roman"/>
          <w:bCs/>
        </w:rPr>
        <w:t xml:space="preserve">should be to ensure that the plan delivers homes consistently across the plan period and does not seek to unnecessarily delay the delivery of new homes on the basis of the sites that are selected to meet housing needs. </w:t>
      </w:r>
      <w:r w:rsidR="00FC2E4A">
        <w:rPr>
          <w:rFonts w:ascii="Times New Roman" w:hAnsi="Times New Roman" w:cs="Times New Roman"/>
          <w:bCs/>
        </w:rPr>
        <w:t xml:space="preserve">As the Interim </w:t>
      </w:r>
      <w:r w:rsidR="00CF168E">
        <w:rPr>
          <w:rFonts w:ascii="Times New Roman" w:hAnsi="Times New Roman" w:cs="Times New Roman"/>
          <w:bCs/>
        </w:rPr>
        <w:t>SA recognises</w:t>
      </w:r>
      <w:r w:rsidR="00FC2E4A">
        <w:rPr>
          <w:rFonts w:ascii="Times New Roman" w:hAnsi="Times New Roman" w:cs="Times New Roman"/>
          <w:bCs/>
        </w:rPr>
        <w:t xml:space="preserve"> Sevenoaks is a buoyant housing market</w:t>
      </w:r>
      <w:r w:rsidR="008D5F2B">
        <w:rPr>
          <w:rFonts w:ascii="Times New Roman" w:hAnsi="Times New Roman" w:cs="Times New Roman"/>
          <w:bCs/>
        </w:rPr>
        <w:t xml:space="preserve">. It should also be noted that the market has been </w:t>
      </w:r>
      <w:r w:rsidR="00FA719B">
        <w:rPr>
          <w:rFonts w:ascii="Times New Roman" w:hAnsi="Times New Roman" w:cs="Times New Roman"/>
          <w:bCs/>
        </w:rPr>
        <w:t xml:space="preserve">constrained by the lack of local plan that amended Green </w:t>
      </w:r>
      <w:r w:rsidR="009B5B66">
        <w:rPr>
          <w:rFonts w:ascii="Times New Roman" w:hAnsi="Times New Roman" w:cs="Times New Roman"/>
          <w:bCs/>
        </w:rPr>
        <w:t>B</w:t>
      </w:r>
      <w:r w:rsidR="00FA719B">
        <w:rPr>
          <w:rFonts w:ascii="Times New Roman" w:hAnsi="Times New Roman" w:cs="Times New Roman"/>
          <w:bCs/>
        </w:rPr>
        <w:t>elt boundaries in order to increase the supply of land build new homes.</w:t>
      </w:r>
      <w:r w:rsidR="00BA3811">
        <w:rPr>
          <w:rFonts w:ascii="Times New Roman" w:hAnsi="Times New Roman" w:cs="Times New Roman"/>
          <w:bCs/>
        </w:rPr>
        <w:t xml:space="preserve"> </w:t>
      </w:r>
      <w:r w:rsidR="008C3C89">
        <w:rPr>
          <w:rFonts w:ascii="Times New Roman" w:hAnsi="Times New Roman" w:cs="Times New Roman"/>
          <w:bCs/>
        </w:rPr>
        <w:t xml:space="preserve"> </w:t>
      </w:r>
      <w:r w:rsidR="00A80349">
        <w:rPr>
          <w:rFonts w:ascii="Times New Roman" w:hAnsi="Times New Roman" w:cs="Times New Roman"/>
          <w:bCs/>
        </w:rPr>
        <w:t xml:space="preserve">The </w:t>
      </w:r>
      <w:r w:rsidR="00A931DE">
        <w:rPr>
          <w:rFonts w:ascii="Times New Roman" w:hAnsi="Times New Roman" w:cs="Times New Roman"/>
          <w:bCs/>
        </w:rPr>
        <w:t>strength</w:t>
      </w:r>
      <w:r w:rsidR="00A80349">
        <w:rPr>
          <w:rFonts w:ascii="Times New Roman" w:hAnsi="Times New Roman" w:cs="Times New Roman"/>
          <w:bCs/>
        </w:rPr>
        <w:t xml:space="preserve"> of the market</w:t>
      </w:r>
      <w:r w:rsidR="00FA719B">
        <w:rPr>
          <w:rFonts w:ascii="Times New Roman" w:hAnsi="Times New Roman" w:cs="Times New Roman"/>
          <w:bCs/>
        </w:rPr>
        <w:t xml:space="preserve"> and pent up </w:t>
      </w:r>
      <w:r w:rsidR="005668EC">
        <w:rPr>
          <w:rFonts w:ascii="Times New Roman" w:hAnsi="Times New Roman" w:cs="Times New Roman"/>
          <w:bCs/>
        </w:rPr>
        <w:t>demand for new homes</w:t>
      </w:r>
      <w:r w:rsidR="00A80349">
        <w:rPr>
          <w:rFonts w:ascii="Times New Roman" w:hAnsi="Times New Roman" w:cs="Times New Roman"/>
          <w:bCs/>
        </w:rPr>
        <w:t xml:space="preserve"> in Sevenoaks would suggest that </w:t>
      </w:r>
      <w:r w:rsidR="000C0BC3">
        <w:rPr>
          <w:rFonts w:ascii="Times New Roman" w:hAnsi="Times New Roman" w:cs="Times New Roman"/>
          <w:bCs/>
        </w:rPr>
        <w:t xml:space="preserve">with the right mix of small, </w:t>
      </w:r>
      <w:r w:rsidR="00055FBC">
        <w:rPr>
          <w:rFonts w:ascii="Times New Roman" w:hAnsi="Times New Roman" w:cs="Times New Roman"/>
          <w:bCs/>
        </w:rPr>
        <w:t>medium</w:t>
      </w:r>
      <w:r w:rsidR="000C0BC3">
        <w:rPr>
          <w:rFonts w:ascii="Times New Roman" w:hAnsi="Times New Roman" w:cs="Times New Roman"/>
          <w:bCs/>
        </w:rPr>
        <w:t xml:space="preserve"> and large sites available the Council </w:t>
      </w:r>
      <w:r w:rsidR="009502CD">
        <w:rPr>
          <w:rFonts w:ascii="Times New Roman" w:hAnsi="Times New Roman" w:cs="Times New Roman"/>
          <w:bCs/>
        </w:rPr>
        <w:t>will</w:t>
      </w:r>
      <w:r w:rsidR="00055FBC">
        <w:rPr>
          <w:rFonts w:ascii="Times New Roman" w:hAnsi="Times New Roman" w:cs="Times New Roman"/>
          <w:bCs/>
        </w:rPr>
        <w:t xml:space="preserve"> be able to deliver homes consistently cross the plan </w:t>
      </w:r>
      <w:r w:rsidR="00055FBC">
        <w:rPr>
          <w:rFonts w:ascii="Times New Roman" w:hAnsi="Times New Roman" w:cs="Times New Roman"/>
          <w:bCs/>
        </w:rPr>
        <w:lastRenderedPageBreak/>
        <w:t xml:space="preserve">period. </w:t>
      </w:r>
      <w:r w:rsidR="002E205F">
        <w:rPr>
          <w:rFonts w:ascii="Times New Roman" w:hAnsi="Times New Roman" w:cs="Times New Roman"/>
          <w:bCs/>
        </w:rPr>
        <w:t>Therefore</w:t>
      </w:r>
      <w:r w:rsidR="003E553B">
        <w:rPr>
          <w:rFonts w:ascii="Times New Roman" w:hAnsi="Times New Roman" w:cs="Times New Roman"/>
          <w:bCs/>
        </w:rPr>
        <w:t>,</w:t>
      </w:r>
      <w:r w:rsidR="002E205F">
        <w:rPr>
          <w:rFonts w:ascii="Times New Roman" w:hAnsi="Times New Roman" w:cs="Times New Roman"/>
          <w:bCs/>
        </w:rPr>
        <w:t xml:space="preserve"> the Council must do </w:t>
      </w:r>
      <w:r w:rsidR="00CA16D4">
        <w:rPr>
          <w:rFonts w:ascii="Times New Roman" w:hAnsi="Times New Roman" w:cs="Times New Roman"/>
          <w:bCs/>
        </w:rPr>
        <w:t xml:space="preserve">all it can to avoid pushing back the </w:t>
      </w:r>
      <w:r w:rsidR="003E553B">
        <w:rPr>
          <w:rFonts w:ascii="Times New Roman" w:hAnsi="Times New Roman" w:cs="Times New Roman"/>
          <w:bCs/>
        </w:rPr>
        <w:t>delivery</w:t>
      </w:r>
      <w:r w:rsidR="00CA16D4">
        <w:rPr>
          <w:rFonts w:ascii="Times New Roman" w:hAnsi="Times New Roman" w:cs="Times New Roman"/>
          <w:bCs/>
        </w:rPr>
        <w:t xml:space="preserve"> </w:t>
      </w:r>
      <w:r w:rsidR="003E553B">
        <w:rPr>
          <w:rFonts w:ascii="Times New Roman" w:hAnsi="Times New Roman" w:cs="Times New Roman"/>
          <w:bCs/>
        </w:rPr>
        <w:t>t</w:t>
      </w:r>
      <w:r w:rsidR="00CA16D4">
        <w:rPr>
          <w:rFonts w:ascii="Times New Roman" w:hAnsi="Times New Roman" w:cs="Times New Roman"/>
          <w:bCs/>
        </w:rPr>
        <w:t xml:space="preserve">o new homes to later in the plan period on the basis of its spatial strategy. </w:t>
      </w:r>
      <w:r w:rsidR="003E553B">
        <w:rPr>
          <w:rFonts w:ascii="Times New Roman" w:hAnsi="Times New Roman" w:cs="Times New Roman"/>
          <w:bCs/>
        </w:rPr>
        <w:t>If the Council choice of strategy reveals it</w:t>
      </w:r>
      <w:r w:rsidR="005C6B61">
        <w:rPr>
          <w:rFonts w:ascii="Times New Roman" w:hAnsi="Times New Roman" w:cs="Times New Roman"/>
          <w:bCs/>
        </w:rPr>
        <w:t xml:space="preserve"> cannot meet needs and</w:t>
      </w:r>
      <w:r w:rsidR="003E553B">
        <w:rPr>
          <w:rFonts w:ascii="Times New Roman" w:hAnsi="Times New Roman" w:cs="Times New Roman"/>
          <w:bCs/>
        </w:rPr>
        <w:t xml:space="preserve"> does not have a five year land supply on adoption it should seek to allocate additional sites</w:t>
      </w:r>
      <w:r w:rsidR="005C6B61">
        <w:rPr>
          <w:rFonts w:ascii="Times New Roman" w:hAnsi="Times New Roman" w:cs="Times New Roman"/>
          <w:bCs/>
        </w:rPr>
        <w:t xml:space="preserve"> not to amend the trajectory. A stepped trajectory should only be </w:t>
      </w:r>
      <w:r w:rsidR="00044572">
        <w:rPr>
          <w:rFonts w:ascii="Times New Roman" w:hAnsi="Times New Roman" w:cs="Times New Roman"/>
          <w:bCs/>
        </w:rPr>
        <w:t>entert</w:t>
      </w:r>
      <w:r w:rsidR="00E11FE5">
        <w:rPr>
          <w:rFonts w:ascii="Times New Roman" w:hAnsi="Times New Roman" w:cs="Times New Roman"/>
          <w:bCs/>
        </w:rPr>
        <w:t>ained</w:t>
      </w:r>
      <w:r w:rsidR="005C6B61">
        <w:rPr>
          <w:rFonts w:ascii="Times New Roman" w:hAnsi="Times New Roman" w:cs="Times New Roman"/>
          <w:bCs/>
        </w:rPr>
        <w:t xml:space="preserve"> once </w:t>
      </w:r>
      <w:r w:rsidR="00044572">
        <w:rPr>
          <w:rFonts w:ascii="Times New Roman" w:hAnsi="Times New Roman" w:cs="Times New Roman"/>
          <w:bCs/>
        </w:rPr>
        <w:t>all other steps to ensure a consistent supply of homes across the plan period have been considered</w:t>
      </w:r>
      <w:r w:rsidR="00467CF1">
        <w:rPr>
          <w:rFonts w:ascii="Times New Roman" w:hAnsi="Times New Roman" w:cs="Times New Roman"/>
          <w:bCs/>
        </w:rPr>
        <w:t xml:space="preserve"> to show that </w:t>
      </w:r>
      <w:r w:rsidR="00800EF0">
        <w:rPr>
          <w:rFonts w:ascii="Times New Roman" w:hAnsi="Times New Roman" w:cs="Times New Roman"/>
          <w:bCs/>
        </w:rPr>
        <w:t>the Council is not, as required by paragraph 68-12 of PPG, unnecessarily delaying meeting identif</w:t>
      </w:r>
      <w:r w:rsidR="00514820">
        <w:rPr>
          <w:rFonts w:ascii="Times New Roman" w:hAnsi="Times New Roman" w:cs="Times New Roman"/>
          <w:bCs/>
        </w:rPr>
        <w:t>ied</w:t>
      </w:r>
      <w:r w:rsidR="00800EF0">
        <w:rPr>
          <w:rFonts w:ascii="Times New Roman" w:hAnsi="Times New Roman" w:cs="Times New Roman"/>
          <w:bCs/>
        </w:rPr>
        <w:t xml:space="preserve"> development needs</w:t>
      </w:r>
      <w:r w:rsidR="00044572">
        <w:rPr>
          <w:rFonts w:ascii="Times New Roman" w:hAnsi="Times New Roman" w:cs="Times New Roman"/>
          <w:bCs/>
        </w:rPr>
        <w:t xml:space="preserve">. </w:t>
      </w:r>
    </w:p>
    <w:p w14:paraId="56394D84" w14:textId="2CC5EF3A" w:rsidR="00514820" w:rsidRPr="00B65951" w:rsidRDefault="00514820" w:rsidP="00514820">
      <w:pPr>
        <w:widowControl/>
        <w:suppressAutoHyphens w:val="0"/>
        <w:autoSpaceDE/>
        <w:spacing w:after="240" w:line="360" w:lineRule="auto"/>
        <w:jc w:val="both"/>
        <w:rPr>
          <w:rFonts w:ascii="Times New Roman" w:hAnsi="Times New Roman" w:cs="Times New Roman"/>
          <w:bCs/>
          <w:i/>
          <w:iCs/>
          <w:u w:val="single"/>
        </w:rPr>
      </w:pPr>
      <w:r w:rsidRPr="00B65951">
        <w:rPr>
          <w:rFonts w:ascii="Times New Roman" w:hAnsi="Times New Roman" w:cs="Times New Roman"/>
          <w:bCs/>
          <w:i/>
          <w:iCs/>
          <w:u w:val="single"/>
        </w:rPr>
        <w:t>10% small sites</w:t>
      </w:r>
    </w:p>
    <w:p w14:paraId="57CBB3A6" w14:textId="194248D2" w:rsidR="003426D8" w:rsidRPr="003426D8" w:rsidRDefault="00771662" w:rsidP="0077166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w:t>
      </w:r>
      <w:r w:rsidR="003426D8" w:rsidRPr="003426D8">
        <w:rPr>
          <w:rFonts w:ascii="Times New Roman" w:hAnsi="Times New Roman" w:cs="Times New Roman"/>
          <w:bCs/>
        </w:rPr>
        <w:t xml:space="preserve">he most effective way to plan for a consistent supply of homes is to identify larger strategic sites to meet longer term needs with the allocation of a wide range of small and medium sized sites that meet needs in the first half of the plan period. In taking such an approach the Council will also be better placed to ensure that it meets the aim of paragraph 73 of the NPPG to support SME developers and promote a good mix of sites in the local plan. In particular it will be important for the Council to ensure the spatial strategy allows the Council to meet limb a) of paragraph 73 that the at least 10% of it housing requirements are on sites of one hectare or less. </w:t>
      </w:r>
    </w:p>
    <w:p w14:paraId="3CB7C3D7" w14:textId="77777777" w:rsidR="003426D8" w:rsidRPr="00771662" w:rsidRDefault="003426D8" w:rsidP="0077166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771662">
        <w:rPr>
          <w:rFonts w:ascii="Times New Roman" w:hAnsi="Times New Roman" w:cs="Times New Roman"/>
          <w:bCs/>
        </w:rPr>
        <w:t>In meeting the requirement in paragraph 73 of the NPPF the Council must ensure it is achieved from identified sites – either as an allocation in the local plan or as a site in the Council’s Brownfield Register. The Council must not rely on assumed levels of windfall delivery on small sites to meet this requirement. Such an approach would be inconsistent with the NPPF which defines windfall sites in its Glossary as “</w:t>
      </w:r>
      <w:r w:rsidRPr="00191367">
        <w:rPr>
          <w:rFonts w:ascii="Times New Roman" w:hAnsi="Times New Roman" w:cs="Times New Roman"/>
          <w:bCs/>
          <w:i/>
          <w:iCs/>
        </w:rPr>
        <w:t>Sites not specifically identified in the development plan</w:t>
      </w:r>
      <w:r w:rsidRPr="00771662">
        <w:rPr>
          <w:rFonts w:ascii="Times New Roman" w:hAnsi="Times New Roman" w:cs="Times New Roman"/>
          <w:bCs/>
        </w:rPr>
        <w:t xml:space="preserve">”. It is important to recognise that the allocation of small sites is a priority and stems from the need to support small house builders by ensuring that they benefit from having their sites identified for development either through the local plan or brownfield register. The effect of an allocation is to take some of the risk out of that development and provide greater certainty that those sites come forward. This in turn will allow the SME sector to grow, deliver homes that will increase the diversity of the new homes that are available as well as bring those homes forward earlier in the plan period. </w:t>
      </w:r>
    </w:p>
    <w:p w14:paraId="70E0F574" w14:textId="77777777" w:rsidR="003426D8" w:rsidRPr="00771662" w:rsidRDefault="003426D8" w:rsidP="0077166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771662">
        <w:rPr>
          <w:rFonts w:ascii="Times New Roman" w:hAnsi="Times New Roman" w:cs="Times New Roman"/>
          <w:bCs/>
        </w:rPr>
        <w:t xml:space="preserve">The Council should also recognise that allocating small sites and supporting SME house builders not only ensures a stronger supply in the short term but also improves the diversity of choice within local housing markets, support local and regional supply chains and are often pivotal in bring forward innovation and supporting jobs growth locally, with 1 in 5 of the SME work force comprising of apprentices. A failure to allocate small sites will contribute to the continued decline in small and medium sized house builders. Recent research by the HBF has found that there are 85% fewer small house builders today than there were 20 years ago and that of a survey of SME house builders 93% said that planning was a major barrier to SME growth. Whilst this decline is due to a range of factors, more allocations of small sites would ease the burden on many SME developers and provide more certainty that their scheme will be permitted, allowing them to secure the necessary finance that is often unavailable to SMEs until permission is granted. </w:t>
      </w:r>
    </w:p>
    <w:p w14:paraId="2F6194E8" w14:textId="3DBCF4B7" w:rsidR="00B74198" w:rsidRPr="00771662" w:rsidRDefault="003426D8" w:rsidP="0077166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771662">
        <w:rPr>
          <w:rFonts w:ascii="Times New Roman" w:hAnsi="Times New Roman" w:cs="Times New Roman"/>
          <w:bCs/>
        </w:rPr>
        <w:t xml:space="preserve">Alongside the range of homes, the Council should also look to distribute sites across the settlements and avoid an over concentration of development in one location. There is a risk that where a number of large sites are </w:t>
      </w:r>
      <w:r w:rsidRPr="00771662">
        <w:rPr>
          <w:rFonts w:ascii="Times New Roman" w:hAnsi="Times New Roman" w:cs="Times New Roman"/>
          <w:bCs/>
        </w:rPr>
        <w:lastRenderedPageBreak/>
        <w:t xml:space="preserve">located in proximity to the other that the local market is saturated, reducing the number of homes that may be delivered at any one time. In considering locations for growth the Council should therefore look at all settlements and consider whether there are opportunities to grow smaller settlements and improve the infrastructure provision in those locations. There may also be opportunities for clusters of settlements to support growth by providing a range of services across those settlements as opposed to requiring just one settlement to meet all the needs of a new development.  </w:t>
      </w:r>
    </w:p>
    <w:p w14:paraId="01F6E802" w14:textId="77777777" w:rsidR="00BA3C0F" w:rsidRPr="000C77EA" w:rsidRDefault="00BA3C0F" w:rsidP="00BA3C0F">
      <w:pPr>
        <w:widowControl/>
        <w:suppressAutoHyphens w:val="0"/>
        <w:autoSpaceDE/>
        <w:spacing w:after="240" w:line="360" w:lineRule="auto"/>
        <w:jc w:val="both"/>
        <w:rPr>
          <w:rFonts w:ascii="Times New Roman" w:hAnsi="Times New Roman" w:cs="Times New Roman"/>
          <w:b/>
        </w:rPr>
      </w:pPr>
      <w:r w:rsidRPr="000C77EA">
        <w:rPr>
          <w:rFonts w:ascii="Times New Roman" w:hAnsi="Times New Roman" w:cs="Times New Roman"/>
          <w:b/>
        </w:rPr>
        <w:t>Development strategy options</w:t>
      </w:r>
    </w:p>
    <w:p w14:paraId="5F469582" w14:textId="21DD1B40" w:rsidR="00BA3C0F" w:rsidRPr="00BA3C0F" w:rsidRDefault="00BA3C0F" w:rsidP="00BA3C0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BA3C0F">
        <w:rPr>
          <w:rFonts w:ascii="Times New Roman" w:hAnsi="Times New Roman" w:cs="Times New Roman"/>
          <w:bCs/>
        </w:rPr>
        <w:t xml:space="preserve">The Council are proposing 2 development strategies. Option 1 delivers 16,321 homes and option 2, which includes the Pedham Place strategic allocation, delivers 18,900 homes. The first option leads to a shortfall of 854 homes with option 2 considered by the council to provide a surplus of 1,725 homes.  However, as outlined above HBF </w:t>
      </w:r>
      <w:proofErr w:type="gramStart"/>
      <w:r w:rsidRPr="00BA3C0F">
        <w:rPr>
          <w:rFonts w:ascii="Times New Roman" w:hAnsi="Times New Roman" w:cs="Times New Roman"/>
          <w:bCs/>
        </w:rPr>
        <w:t>do</w:t>
      </w:r>
      <w:proofErr w:type="gramEnd"/>
      <w:r w:rsidRPr="00BA3C0F">
        <w:rPr>
          <w:rFonts w:ascii="Times New Roman" w:hAnsi="Times New Roman" w:cs="Times New Roman"/>
          <w:bCs/>
        </w:rPr>
        <w:t xml:space="preserve"> not consider the period to be sound and that the plan period proposed </w:t>
      </w:r>
      <w:proofErr w:type="gramStart"/>
      <w:r w:rsidRPr="00BA3C0F">
        <w:rPr>
          <w:rFonts w:ascii="Times New Roman" w:hAnsi="Times New Roman" w:cs="Times New Roman"/>
          <w:bCs/>
        </w:rPr>
        <w:t>above</w:t>
      </w:r>
      <w:proofErr w:type="gramEnd"/>
      <w:r w:rsidRPr="00BA3C0F">
        <w:rPr>
          <w:rFonts w:ascii="Times New Roman" w:hAnsi="Times New Roman" w:cs="Times New Roman"/>
          <w:bCs/>
        </w:rPr>
        <w:t xml:space="preserve"> neither option meets housing needs in full, with the shortfall against option 1 being </w:t>
      </w:r>
      <w:r w:rsidR="00C272FA">
        <w:rPr>
          <w:rFonts w:ascii="Times New Roman" w:hAnsi="Times New Roman" w:cs="Times New Roman"/>
          <w:bCs/>
        </w:rPr>
        <w:t>3</w:t>
      </w:r>
      <w:r w:rsidRPr="00BA3C0F">
        <w:rPr>
          <w:rFonts w:ascii="Times New Roman" w:hAnsi="Times New Roman" w:cs="Times New Roman"/>
          <w:bCs/>
        </w:rPr>
        <w:t>,</w:t>
      </w:r>
      <w:r w:rsidR="00C272FA">
        <w:rPr>
          <w:rFonts w:ascii="Times New Roman" w:hAnsi="Times New Roman" w:cs="Times New Roman"/>
          <w:bCs/>
        </w:rPr>
        <w:t>144</w:t>
      </w:r>
      <w:r w:rsidRPr="00BA3C0F">
        <w:rPr>
          <w:rFonts w:ascii="Times New Roman" w:hAnsi="Times New Roman" w:cs="Times New Roman"/>
          <w:bCs/>
        </w:rPr>
        <w:t xml:space="preserve"> homes and against option 2 the shortfall is </w:t>
      </w:r>
      <w:r w:rsidR="00464619">
        <w:rPr>
          <w:rFonts w:ascii="Times New Roman" w:hAnsi="Times New Roman" w:cs="Times New Roman"/>
          <w:bCs/>
        </w:rPr>
        <w:t>565</w:t>
      </w:r>
      <w:r w:rsidRPr="00BA3C0F">
        <w:rPr>
          <w:rFonts w:ascii="Times New Roman" w:hAnsi="Times New Roman" w:cs="Times New Roman"/>
          <w:bCs/>
        </w:rPr>
        <w:t xml:space="preserve"> homes. As such </w:t>
      </w:r>
      <w:r w:rsidR="00482BE2">
        <w:rPr>
          <w:rFonts w:ascii="Times New Roman" w:hAnsi="Times New Roman" w:cs="Times New Roman"/>
          <w:bCs/>
        </w:rPr>
        <w:t xml:space="preserve">HBF does not consider either </w:t>
      </w:r>
      <w:r w:rsidR="00BB31E0">
        <w:rPr>
          <w:rFonts w:ascii="Times New Roman" w:hAnsi="Times New Roman" w:cs="Times New Roman"/>
          <w:bCs/>
        </w:rPr>
        <w:t>option</w:t>
      </w:r>
      <w:r w:rsidR="00482BE2">
        <w:rPr>
          <w:rFonts w:ascii="Times New Roman" w:hAnsi="Times New Roman" w:cs="Times New Roman"/>
          <w:bCs/>
        </w:rPr>
        <w:t xml:space="preserve"> to be </w:t>
      </w:r>
      <w:r w:rsidR="00BB31E0">
        <w:rPr>
          <w:rFonts w:ascii="Times New Roman" w:hAnsi="Times New Roman" w:cs="Times New Roman"/>
          <w:bCs/>
        </w:rPr>
        <w:t>sound</w:t>
      </w:r>
      <w:r w:rsidR="00482BE2">
        <w:rPr>
          <w:rFonts w:ascii="Times New Roman" w:hAnsi="Times New Roman" w:cs="Times New Roman"/>
          <w:bCs/>
        </w:rPr>
        <w:t xml:space="preserve"> at present as the</w:t>
      </w:r>
      <w:r w:rsidR="00BB31E0">
        <w:rPr>
          <w:rFonts w:ascii="Times New Roman" w:hAnsi="Times New Roman" w:cs="Times New Roman"/>
          <w:bCs/>
        </w:rPr>
        <w:t>y both</w:t>
      </w:r>
      <w:r w:rsidR="00482BE2">
        <w:rPr>
          <w:rFonts w:ascii="Times New Roman" w:hAnsi="Times New Roman" w:cs="Times New Roman"/>
          <w:bCs/>
        </w:rPr>
        <w:t xml:space="preserve"> </w:t>
      </w:r>
      <w:r w:rsidR="00BB31E0">
        <w:rPr>
          <w:rFonts w:ascii="Times New Roman" w:hAnsi="Times New Roman" w:cs="Times New Roman"/>
          <w:bCs/>
        </w:rPr>
        <w:t>lead</w:t>
      </w:r>
      <w:r w:rsidR="00482BE2">
        <w:rPr>
          <w:rFonts w:ascii="Times New Roman" w:hAnsi="Times New Roman" w:cs="Times New Roman"/>
          <w:bCs/>
        </w:rPr>
        <w:t xml:space="preserve"> t</w:t>
      </w:r>
      <w:r w:rsidR="00BB31E0">
        <w:rPr>
          <w:rFonts w:ascii="Times New Roman" w:hAnsi="Times New Roman" w:cs="Times New Roman"/>
          <w:bCs/>
        </w:rPr>
        <w:t>o substantial shortfalls in housing delivery against assessed needs</w:t>
      </w:r>
      <w:r w:rsidR="00E10801">
        <w:rPr>
          <w:rFonts w:ascii="Times New Roman" w:hAnsi="Times New Roman" w:cs="Times New Roman"/>
          <w:bCs/>
        </w:rPr>
        <w:t xml:space="preserve"> and that a strategy that meets needs in full </w:t>
      </w:r>
      <w:r w:rsidR="00036C7E">
        <w:rPr>
          <w:rFonts w:ascii="Times New Roman" w:hAnsi="Times New Roman" w:cs="Times New Roman"/>
          <w:bCs/>
        </w:rPr>
        <w:t>must be adopted by the Council.</w:t>
      </w:r>
    </w:p>
    <w:p w14:paraId="2EDAB4F7" w14:textId="4D8455F7" w:rsidR="005E6525" w:rsidRDefault="00036C7E" w:rsidP="00BA3C0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w:t>
      </w:r>
      <w:r w:rsidR="00BA3C0F" w:rsidRPr="00BA3C0F">
        <w:rPr>
          <w:rFonts w:ascii="Times New Roman" w:hAnsi="Times New Roman" w:cs="Times New Roman"/>
          <w:bCs/>
        </w:rPr>
        <w:t>he Council have considered a scenario that can meet housing needs in full. Table 5.2 indicates that scenario 5 would deliver 21,176 new homes and meet housing needs over a sound plan period.</w:t>
      </w:r>
      <w:r w:rsidR="00541F32">
        <w:rPr>
          <w:rFonts w:ascii="Times New Roman" w:hAnsi="Times New Roman" w:cs="Times New Roman"/>
          <w:bCs/>
        </w:rPr>
        <w:t xml:space="preserve"> While this scenario is not considered to be a</w:t>
      </w:r>
      <w:r w:rsidR="00656243">
        <w:rPr>
          <w:rFonts w:ascii="Times New Roman" w:hAnsi="Times New Roman" w:cs="Times New Roman"/>
          <w:bCs/>
        </w:rPr>
        <w:t>s</w:t>
      </w:r>
      <w:r w:rsidR="00541F32">
        <w:rPr>
          <w:rFonts w:ascii="Times New Roman" w:hAnsi="Times New Roman" w:cs="Times New Roman"/>
          <w:bCs/>
        </w:rPr>
        <w:t xml:space="preserve"> </w:t>
      </w:r>
      <w:r w:rsidR="00DA7735">
        <w:rPr>
          <w:rFonts w:ascii="Times New Roman" w:hAnsi="Times New Roman" w:cs="Times New Roman"/>
          <w:bCs/>
        </w:rPr>
        <w:t>sustainable</w:t>
      </w:r>
      <w:r w:rsidR="00541F32">
        <w:rPr>
          <w:rFonts w:ascii="Times New Roman" w:hAnsi="Times New Roman" w:cs="Times New Roman"/>
          <w:bCs/>
        </w:rPr>
        <w:t xml:space="preserve"> as </w:t>
      </w:r>
      <w:r w:rsidR="00F80E6F">
        <w:rPr>
          <w:rFonts w:ascii="Times New Roman" w:hAnsi="Times New Roman" w:cs="Times New Roman"/>
          <w:bCs/>
        </w:rPr>
        <w:t xml:space="preserve">the others tested it is </w:t>
      </w:r>
      <w:r w:rsidR="00656243">
        <w:rPr>
          <w:rFonts w:ascii="Times New Roman" w:hAnsi="Times New Roman" w:cs="Times New Roman"/>
          <w:bCs/>
        </w:rPr>
        <w:t>important</w:t>
      </w:r>
      <w:r w:rsidR="00F80E6F">
        <w:rPr>
          <w:rFonts w:ascii="Times New Roman" w:hAnsi="Times New Roman" w:cs="Times New Roman"/>
          <w:bCs/>
        </w:rPr>
        <w:t xml:space="preserve"> to </w:t>
      </w:r>
      <w:r w:rsidR="00656243">
        <w:rPr>
          <w:rFonts w:ascii="Times New Roman" w:hAnsi="Times New Roman" w:cs="Times New Roman"/>
          <w:bCs/>
        </w:rPr>
        <w:t>recognise</w:t>
      </w:r>
      <w:r w:rsidR="00F80E6F">
        <w:rPr>
          <w:rFonts w:ascii="Times New Roman" w:hAnsi="Times New Roman" w:cs="Times New Roman"/>
          <w:bCs/>
        </w:rPr>
        <w:t xml:space="preserve"> the </w:t>
      </w:r>
      <w:r w:rsidR="00656243">
        <w:rPr>
          <w:rFonts w:ascii="Times New Roman" w:hAnsi="Times New Roman" w:cs="Times New Roman"/>
          <w:bCs/>
        </w:rPr>
        <w:t>strategy</w:t>
      </w:r>
      <w:r w:rsidR="00F80E6F">
        <w:rPr>
          <w:rFonts w:ascii="Times New Roman" w:hAnsi="Times New Roman" w:cs="Times New Roman"/>
          <w:bCs/>
        </w:rPr>
        <w:t xml:space="preserve"> </w:t>
      </w:r>
      <w:r w:rsidR="00595939">
        <w:rPr>
          <w:rFonts w:ascii="Times New Roman" w:hAnsi="Times New Roman" w:cs="Times New Roman"/>
          <w:bCs/>
        </w:rPr>
        <w:t>adopted</w:t>
      </w:r>
      <w:r w:rsidR="00656243">
        <w:rPr>
          <w:rFonts w:ascii="Times New Roman" w:hAnsi="Times New Roman" w:cs="Times New Roman"/>
          <w:bCs/>
        </w:rPr>
        <w:t xml:space="preserve"> does </w:t>
      </w:r>
      <w:r w:rsidR="00595939">
        <w:rPr>
          <w:rFonts w:ascii="Times New Roman" w:hAnsi="Times New Roman" w:cs="Times New Roman"/>
          <w:bCs/>
        </w:rPr>
        <w:t xml:space="preserve">not have </w:t>
      </w:r>
      <w:r w:rsidR="00656243">
        <w:rPr>
          <w:rFonts w:ascii="Times New Roman" w:hAnsi="Times New Roman" w:cs="Times New Roman"/>
          <w:bCs/>
        </w:rPr>
        <w:t>to</w:t>
      </w:r>
      <w:r w:rsidR="00595939">
        <w:rPr>
          <w:rFonts w:ascii="Times New Roman" w:hAnsi="Times New Roman" w:cs="Times New Roman"/>
          <w:bCs/>
        </w:rPr>
        <w:t xml:space="preserve"> be most sus</w:t>
      </w:r>
      <w:r w:rsidR="00656243">
        <w:rPr>
          <w:rFonts w:ascii="Times New Roman" w:hAnsi="Times New Roman" w:cs="Times New Roman"/>
          <w:bCs/>
        </w:rPr>
        <w:t xml:space="preserve">tainable </w:t>
      </w:r>
      <w:r w:rsidR="00595939">
        <w:rPr>
          <w:rFonts w:ascii="Times New Roman" w:hAnsi="Times New Roman" w:cs="Times New Roman"/>
          <w:bCs/>
        </w:rPr>
        <w:t xml:space="preserve">strategy and </w:t>
      </w:r>
      <w:r w:rsidR="00656243">
        <w:rPr>
          <w:rFonts w:ascii="Times New Roman" w:hAnsi="Times New Roman" w:cs="Times New Roman"/>
          <w:bCs/>
        </w:rPr>
        <w:t>given</w:t>
      </w:r>
      <w:r w:rsidR="00595939">
        <w:rPr>
          <w:rFonts w:ascii="Times New Roman" w:hAnsi="Times New Roman" w:cs="Times New Roman"/>
          <w:bCs/>
        </w:rPr>
        <w:t xml:space="preserve"> that </w:t>
      </w:r>
      <w:r w:rsidR="00DA7735">
        <w:rPr>
          <w:rFonts w:ascii="Times New Roman" w:hAnsi="Times New Roman" w:cs="Times New Roman"/>
          <w:bCs/>
        </w:rPr>
        <w:t>the primary</w:t>
      </w:r>
      <w:r w:rsidR="00595939">
        <w:rPr>
          <w:rFonts w:ascii="Times New Roman" w:hAnsi="Times New Roman" w:cs="Times New Roman"/>
          <w:bCs/>
        </w:rPr>
        <w:t xml:space="preserve"> objective of national policy is to meet development needs in full careful </w:t>
      </w:r>
      <w:r w:rsidR="00656243">
        <w:rPr>
          <w:rFonts w:ascii="Times New Roman" w:hAnsi="Times New Roman" w:cs="Times New Roman"/>
          <w:bCs/>
        </w:rPr>
        <w:t>consideration must be given to this or indeed other strategi</w:t>
      </w:r>
      <w:r w:rsidR="00DA7735">
        <w:rPr>
          <w:rFonts w:ascii="Times New Roman" w:hAnsi="Times New Roman" w:cs="Times New Roman"/>
          <w:bCs/>
        </w:rPr>
        <w:t>es that</w:t>
      </w:r>
      <w:r w:rsidR="00656243">
        <w:rPr>
          <w:rFonts w:ascii="Times New Roman" w:hAnsi="Times New Roman" w:cs="Times New Roman"/>
          <w:bCs/>
        </w:rPr>
        <w:t xml:space="preserve"> meet housing needs in full. </w:t>
      </w:r>
      <w:r w:rsidR="00DA7735">
        <w:rPr>
          <w:rFonts w:ascii="Times New Roman" w:hAnsi="Times New Roman" w:cs="Times New Roman"/>
          <w:bCs/>
        </w:rPr>
        <w:t xml:space="preserve">The </w:t>
      </w:r>
      <w:r w:rsidR="00BA3C0F" w:rsidRPr="00BA3C0F">
        <w:rPr>
          <w:rFonts w:ascii="Times New Roman" w:hAnsi="Times New Roman" w:cs="Times New Roman"/>
          <w:bCs/>
        </w:rPr>
        <w:t xml:space="preserve">Council </w:t>
      </w:r>
      <w:r w:rsidR="00DA7735">
        <w:rPr>
          <w:rFonts w:ascii="Times New Roman" w:hAnsi="Times New Roman" w:cs="Times New Roman"/>
          <w:bCs/>
        </w:rPr>
        <w:t xml:space="preserve">must </w:t>
      </w:r>
      <w:r w:rsidR="00770B9F">
        <w:rPr>
          <w:rFonts w:ascii="Times New Roman" w:hAnsi="Times New Roman" w:cs="Times New Roman"/>
          <w:bCs/>
        </w:rPr>
        <w:t xml:space="preserve">therefore </w:t>
      </w:r>
      <w:r w:rsidR="00BA3C0F" w:rsidRPr="00BA3C0F">
        <w:rPr>
          <w:rFonts w:ascii="Times New Roman" w:hAnsi="Times New Roman" w:cs="Times New Roman"/>
          <w:bCs/>
        </w:rPr>
        <w:t>explore in more detail</w:t>
      </w:r>
      <w:r w:rsidR="002224E9">
        <w:rPr>
          <w:rFonts w:ascii="Times New Roman" w:hAnsi="Times New Roman" w:cs="Times New Roman"/>
          <w:bCs/>
        </w:rPr>
        <w:t xml:space="preserve"> a range of higher growth </w:t>
      </w:r>
      <w:r w:rsidR="00BA3C0F" w:rsidRPr="00BA3C0F">
        <w:rPr>
          <w:rFonts w:ascii="Times New Roman" w:hAnsi="Times New Roman" w:cs="Times New Roman"/>
          <w:bCs/>
        </w:rPr>
        <w:t>scenario</w:t>
      </w:r>
      <w:r w:rsidR="00AE27F0">
        <w:rPr>
          <w:rFonts w:ascii="Times New Roman" w:hAnsi="Times New Roman" w:cs="Times New Roman"/>
          <w:bCs/>
        </w:rPr>
        <w:t>s that</w:t>
      </w:r>
      <w:r w:rsidR="00BA3C0F" w:rsidRPr="00BA3C0F">
        <w:rPr>
          <w:rFonts w:ascii="Times New Roman" w:hAnsi="Times New Roman" w:cs="Times New Roman"/>
          <w:bCs/>
        </w:rPr>
        <w:t xml:space="preserve"> would be able to meet housing needs in full given that both the options proposed by the Council fail to meet housing needs over a sound plan period. It is noted that paragraph that paragraph 5.4.104 and 5.4.105 recognises that the different scenarios reached were based on conclusion in the sub areas that were finely balanced and that for a number of settlements it is suggested that higher growth scenarios should be considered as the plan progresses. The reason for more limited testing of options was to keep the number of </w:t>
      </w:r>
      <w:r w:rsidR="00A62F81" w:rsidRPr="00BA3C0F">
        <w:rPr>
          <w:rFonts w:ascii="Times New Roman" w:hAnsi="Times New Roman" w:cs="Times New Roman"/>
          <w:bCs/>
        </w:rPr>
        <w:t>options</w:t>
      </w:r>
      <w:r w:rsidR="00BA3C0F" w:rsidRPr="00BA3C0F">
        <w:rPr>
          <w:rFonts w:ascii="Times New Roman" w:hAnsi="Times New Roman" w:cs="Times New Roman"/>
          <w:bCs/>
        </w:rPr>
        <w:t xml:space="preserve"> to a reasonable number, however given that needs are higher than is being suggested by the Council it is self-evident that there are other reasonable alternatives that should be considered prior to the next iteration of the local plan being prepared.  </w:t>
      </w:r>
    </w:p>
    <w:p w14:paraId="0D041574" w14:textId="0580EFBA" w:rsidR="00D26BCB" w:rsidRPr="00D26BCB" w:rsidRDefault="00D26BCB" w:rsidP="00D26BCB">
      <w:pPr>
        <w:widowControl/>
        <w:suppressAutoHyphens w:val="0"/>
        <w:autoSpaceDE/>
        <w:spacing w:after="240" w:line="360" w:lineRule="auto"/>
        <w:jc w:val="both"/>
        <w:rPr>
          <w:rFonts w:ascii="Times New Roman" w:hAnsi="Times New Roman" w:cs="Times New Roman"/>
          <w:bCs/>
          <w:i/>
          <w:iCs/>
        </w:rPr>
      </w:pPr>
      <w:r w:rsidRPr="00D26BCB">
        <w:rPr>
          <w:rFonts w:ascii="Times New Roman" w:hAnsi="Times New Roman" w:cs="Times New Roman"/>
          <w:bCs/>
          <w:i/>
          <w:iCs/>
        </w:rPr>
        <w:t>Development in the National Landscape.</w:t>
      </w:r>
    </w:p>
    <w:p w14:paraId="05CAA88F" w14:textId="5A9BFEBA" w:rsidR="00D823E5" w:rsidRDefault="00B474ED" w:rsidP="00BA3C0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I</w:t>
      </w:r>
      <w:r w:rsidR="00DB3F89">
        <w:rPr>
          <w:rFonts w:ascii="Times New Roman" w:hAnsi="Times New Roman" w:cs="Times New Roman"/>
          <w:bCs/>
        </w:rPr>
        <w:t>n</w:t>
      </w:r>
      <w:r>
        <w:rPr>
          <w:rFonts w:ascii="Times New Roman" w:hAnsi="Times New Roman" w:cs="Times New Roman"/>
          <w:bCs/>
        </w:rPr>
        <w:t xml:space="preserve"> meeting housing needs in full it would </w:t>
      </w:r>
      <w:r w:rsidR="00DB3F89">
        <w:rPr>
          <w:rFonts w:ascii="Times New Roman" w:hAnsi="Times New Roman" w:cs="Times New Roman"/>
          <w:bCs/>
        </w:rPr>
        <w:t xml:space="preserve">appear to be necessary from the Council’s position that </w:t>
      </w:r>
      <w:r w:rsidR="00EA018F">
        <w:rPr>
          <w:rFonts w:ascii="Times New Roman" w:hAnsi="Times New Roman" w:cs="Times New Roman"/>
          <w:bCs/>
        </w:rPr>
        <w:t xml:space="preserve">in addition to amending Green </w:t>
      </w:r>
      <w:r w:rsidR="00F52617">
        <w:rPr>
          <w:rFonts w:ascii="Times New Roman" w:hAnsi="Times New Roman" w:cs="Times New Roman"/>
          <w:bCs/>
        </w:rPr>
        <w:t>B</w:t>
      </w:r>
      <w:r w:rsidR="00EA018F">
        <w:rPr>
          <w:rFonts w:ascii="Times New Roman" w:hAnsi="Times New Roman" w:cs="Times New Roman"/>
          <w:bCs/>
        </w:rPr>
        <w:t xml:space="preserve">elt boundaries sites </w:t>
      </w:r>
      <w:r w:rsidR="00B831D2">
        <w:rPr>
          <w:rFonts w:ascii="Times New Roman" w:hAnsi="Times New Roman" w:cs="Times New Roman"/>
          <w:bCs/>
        </w:rPr>
        <w:t>will</w:t>
      </w:r>
      <w:r w:rsidR="00EA018F">
        <w:rPr>
          <w:rFonts w:ascii="Times New Roman" w:hAnsi="Times New Roman" w:cs="Times New Roman"/>
          <w:bCs/>
        </w:rPr>
        <w:t xml:space="preserve"> need to come forward within the National Landscape. </w:t>
      </w:r>
      <w:r w:rsidR="005F2229">
        <w:rPr>
          <w:rFonts w:ascii="Times New Roman" w:hAnsi="Times New Roman" w:cs="Times New Roman"/>
          <w:bCs/>
        </w:rPr>
        <w:t>Indeed,</w:t>
      </w:r>
      <w:r w:rsidR="00D16003">
        <w:rPr>
          <w:rFonts w:ascii="Times New Roman" w:hAnsi="Times New Roman" w:cs="Times New Roman"/>
          <w:bCs/>
        </w:rPr>
        <w:t xml:space="preserve"> </w:t>
      </w:r>
      <w:r w:rsidR="002E35BB">
        <w:rPr>
          <w:rFonts w:ascii="Times New Roman" w:hAnsi="Times New Roman" w:cs="Times New Roman"/>
          <w:bCs/>
        </w:rPr>
        <w:t>the only option that meets needs in full</w:t>
      </w:r>
      <w:r w:rsidR="00F476A2">
        <w:rPr>
          <w:rFonts w:ascii="Times New Roman" w:hAnsi="Times New Roman" w:cs="Times New Roman"/>
          <w:bCs/>
        </w:rPr>
        <w:t xml:space="preserve"> over a policy compliant plan period</w:t>
      </w:r>
      <w:r w:rsidR="002E35BB">
        <w:rPr>
          <w:rFonts w:ascii="Times New Roman" w:hAnsi="Times New Roman" w:cs="Times New Roman"/>
          <w:bCs/>
        </w:rPr>
        <w:t xml:space="preserve"> is scenario 5 that </w:t>
      </w:r>
      <w:r w:rsidR="00A31928">
        <w:rPr>
          <w:rFonts w:ascii="Times New Roman" w:hAnsi="Times New Roman" w:cs="Times New Roman"/>
          <w:bCs/>
        </w:rPr>
        <w:t>includes</w:t>
      </w:r>
      <w:r w:rsidR="002E35BB">
        <w:rPr>
          <w:rFonts w:ascii="Times New Roman" w:hAnsi="Times New Roman" w:cs="Times New Roman"/>
          <w:bCs/>
        </w:rPr>
        <w:t xml:space="preserve"> </w:t>
      </w:r>
      <w:r w:rsidR="00A31928">
        <w:rPr>
          <w:rFonts w:ascii="Times New Roman" w:hAnsi="Times New Roman" w:cs="Times New Roman"/>
          <w:bCs/>
        </w:rPr>
        <w:t>a number of sites in the National Landscape alongside Pedham Place.</w:t>
      </w:r>
      <w:r w:rsidR="00A852AB">
        <w:rPr>
          <w:rFonts w:ascii="Times New Roman" w:hAnsi="Times New Roman" w:cs="Times New Roman"/>
          <w:bCs/>
        </w:rPr>
        <w:t xml:space="preserve"> The question therefore is whether th</w:t>
      </w:r>
      <w:r w:rsidR="005F2229">
        <w:rPr>
          <w:rFonts w:ascii="Times New Roman" w:hAnsi="Times New Roman" w:cs="Times New Roman"/>
          <w:bCs/>
        </w:rPr>
        <w:t>e</w:t>
      </w:r>
      <w:r w:rsidR="00A852AB">
        <w:rPr>
          <w:rFonts w:ascii="Times New Roman" w:hAnsi="Times New Roman" w:cs="Times New Roman"/>
          <w:bCs/>
        </w:rPr>
        <w:t xml:space="preserve">re is </w:t>
      </w:r>
      <w:r w:rsidR="005F2229">
        <w:rPr>
          <w:rFonts w:ascii="Times New Roman" w:hAnsi="Times New Roman" w:cs="Times New Roman"/>
          <w:bCs/>
        </w:rPr>
        <w:t>sufficient</w:t>
      </w:r>
      <w:r w:rsidR="00A852AB">
        <w:rPr>
          <w:rFonts w:ascii="Times New Roman" w:hAnsi="Times New Roman" w:cs="Times New Roman"/>
          <w:bCs/>
        </w:rPr>
        <w:t xml:space="preserve"> </w:t>
      </w:r>
      <w:r w:rsidR="005F2229">
        <w:rPr>
          <w:rFonts w:ascii="Times New Roman" w:hAnsi="Times New Roman" w:cs="Times New Roman"/>
          <w:bCs/>
        </w:rPr>
        <w:t>justification</w:t>
      </w:r>
      <w:r w:rsidR="00711205">
        <w:rPr>
          <w:rFonts w:ascii="Times New Roman" w:hAnsi="Times New Roman" w:cs="Times New Roman"/>
          <w:bCs/>
        </w:rPr>
        <w:t xml:space="preserve"> to </w:t>
      </w:r>
      <w:r w:rsidR="005F2229">
        <w:rPr>
          <w:rFonts w:ascii="Times New Roman" w:hAnsi="Times New Roman" w:cs="Times New Roman"/>
          <w:bCs/>
        </w:rPr>
        <w:t>allocate</w:t>
      </w:r>
      <w:r w:rsidR="00711205">
        <w:rPr>
          <w:rFonts w:ascii="Times New Roman" w:hAnsi="Times New Roman" w:cs="Times New Roman"/>
          <w:bCs/>
        </w:rPr>
        <w:t xml:space="preserve"> sit</w:t>
      </w:r>
      <w:r w:rsidR="005F2229">
        <w:rPr>
          <w:rFonts w:ascii="Times New Roman" w:hAnsi="Times New Roman" w:cs="Times New Roman"/>
          <w:bCs/>
        </w:rPr>
        <w:t>e</w:t>
      </w:r>
      <w:r w:rsidR="00711205">
        <w:rPr>
          <w:rFonts w:ascii="Times New Roman" w:hAnsi="Times New Roman" w:cs="Times New Roman"/>
          <w:bCs/>
        </w:rPr>
        <w:t xml:space="preserve">s in the </w:t>
      </w:r>
      <w:r w:rsidR="005F2229">
        <w:rPr>
          <w:rFonts w:ascii="Times New Roman" w:hAnsi="Times New Roman" w:cs="Times New Roman"/>
          <w:bCs/>
        </w:rPr>
        <w:t>national land</w:t>
      </w:r>
      <w:r w:rsidR="00711205">
        <w:rPr>
          <w:rFonts w:ascii="Times New Roman" w:hAnsi="Times New Roman" w:cs="Times New Roman"/>
          <w:bCs/>
        </w:rPr>
        <w:t xml:space="preserve">scape to ensure </w:t>
      </w:r>
      <w:r w:rsidR="005F2229">
        <w:rPr>
          <w:rFonts w:ascii="Times New Roman" w:hAnsi="Times New Roman" w:cs="Times New Roman"/>
          <w:bCs/>
        </w:rPr>
        <w:t>housing needs</w:t>
      </w:r>
      <w:r w:rsidR="00711205">
        <w:rPr>
          <w:rFonts w:ascii="Times New Roman" w:hAnsi="Times New Roman" w:cs="Times New Roman"/>
          <w:bCs/>
        </w:rPr>
        <w:t xml:space="preserve"> are met in full.</w:t>
      </w:r>
    </w:p>
    <w:p w14:paraId="30FBFA2B" w14:textId="2AF1C535" w:rsidR="00711205" w:rsidRPr="00C30BCF" w:rsidRDefault="00711205" w:rsidP="00BA3C0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lastRenderedPageBreak/>
        <w:t>I</w:t>
      </w:r>
      <w:r w:rsidR="00B92783">
        <w:rPr>
          <w:rFonts w:ascii="Times New Roman" w:hAnsi="Times New Roman" w:cs="Times New Roman"/>
          <w:bCs/>
        </w:rPr>
        <w:t>n</w:t>
      </w:r>
      <w:r>
        <w:rPr>
          <w:rFonts w:ascii="Times New Roman" w:hAnsi="Times New Roman" w:cs="Times New Roman"/>
          <w:bCs/>
        </w:rPr>
        <w:t xml:space="preserve"> considering this issue the Council </w:t>
      </w:r>
      <w:r w:rsidR="001173D8">
        <w:rPr>
          <w:rFonts w:ascii="Times New Roman" w:hAnsi="Times New Roman" w:cs="Times New Roman"/>
          <w:bCs/>
        </w:rPr>
        <w:t>refers</w:t>
      </w:r>
      <w:r>
        <w:rPr>
          <w:rFonts w:ascii="Times New Roman" w:hAnsi="Times New Roman" w:cs="Times New Roman"/>
          <w:bCs/>
        </w:rPr>
        <w:t xml:space="preserve"> to</w:t>
      </w:r>
      <w:r w:rsidR="0038738B">
        <w:rPr>
          <w:rFonts w:ascii="Times New Roman" w:hAnsi="Times New Roman" w:cs="Times New Roman"/>
          <w:bCs/>
        </w:rPr>
        <w:t xml:space="preserve"> its</w:t>
      </w:r>
      <w:r>
        <w:rPr>
          <w:rFonts w:ascii="Times New Roman" w:hAnsi="Times New Roman" w:cs="Times New Roman"/>
          <w:bCs/>
        </w:rPr>
        <w:t xml:space="preserve"> statutory duty to </w:t>
      </w:r>
      <w:r w:rsidR="0099545C">
        <w:rPr>
          <w:rFonts w:ascii="Times New Roman" w:hAnsi="Times New Roman" w:cs="Times New Roman"/>
          <w:bCs/>
        </w:rPr>
        <w:t xml:space="preserve">further the purpose of </w:t>
      </w:r>
      <w:r w:rsidR="00C52673">
        <w:rPr>
          <w:rFonts w:ascii="Times New Roman" w:hAnsi="Times New Roman" w:cs="Times New Roman"/>
          <w:bCs/>
        </w:rPr>
        <w:t>conserving</w:t>
      </w:r>
      <w:r w:rsidR="0099545C">
        <w:rPr>
          <w:rFonts w:ascii="Times New Roman" w:hAnsi="Times New Roman" w:cs="Times New Roman"/>
          <w:bCs/>
        </w:rPr>
        <w:t xml:space="preserve"> and enhancing the natural beauty of National Land</w:t>
      </w:r>
      <w:r w:rsidR="005F2229">
        <w:rPr>
          <w:rFonts w:ascii="Times New Roman" w:hAnsi="Times New Roman" w:cs="Times New Roman"/>
          <w:bCs/>
        </w:rPr>
        <w:t xml:space="preserve">scapes as well as paragraph 190 of the NPPF </w:t>
      </w:r>
      <w:r w:rsidR="00B13D02">
        <w:rPr>
          <w:rFonts w:ascii="Times New Roman" w:hAnsi="Times New Roman" w:cs="Times New Roman"/>
          <w:bCs/>
        </w:rPr>
        <w:t xml:space="preserve">which states </w:t>
      </w:r>
      <w:r w:rsidR="00B13D02" w:rsidRPr="00B13D02">
        <w:rPr>
          <w:rFonts w:ascii="Times New Roman" w:hAnsi="Times New Roman" w:cs="Times New Roman"/>
          <w:bCs/>
          <w:lang w:val="en-GB"/>
        </w:rPr>
        <w:t xml:space="preserve">that planning permission </w:t>
      </w:r>
      <w:r w:rsidR="001B15E9">
        <w:rPr>
          <w:rFonts w:ascii="Times New Roman" w:hAnsi="Times New Roman" w:cs="Times New Roman"/>
          <w:bCs/>
          <w:lang w:val="en-GB"/>
        </w:rPr>
        <w:t>for major</w:t>
      </w:r>
      <w:r w:rsidR="00EE27E2">
        <w:rPr>
          <w:rFonts w:ascii="Times New Roman" w:hAnsi="Times New Roman" w:cs="Times New Roman"/>
          <w:bCs/>
          <w:lang w:val="en-GB"/>
        </w:rPr>
        <w:t xml:space="preserve"> development </w:t>
      </w:r>
      <w:r w:rsidR="00B13D02" w:rsidRPr="00B13D02">
        <w:rPr>
          <w:rFonts w:ascii="Times New Roman" w:hAnsi="Times New Roman" w:cs="Times New Roman"/>
          <w:bCs/>
          <w:lang w:val="en-GB"/>
        </w:rPr>
        <w:t>should be refused other than in exceptional circumstances, and where it can be demonstrated that the development is in the public interest</w:t>
      </w:r>
      <w:r w:rsidR="00EE27E2">
        <w:rPr>
          <w:rFonts w:ascii="Times New Roman" w:hAnsi="Times New Roman" w:cs="Times New Roman"/>
          <w:bCs/>
          <w:lang w:val="en-GB"/>
        </w:rPr>
        <w:t>.</w:t>
      </w:r>
      <w:r w:rsidR="00A82D9F">
        <w:rPr>
          <w:rFonts w:ascii="Times New Roman" w:hAnsi="Times New Roman" w:cs="Times New Roman"/>
          <w:bCs/>
          <w:lang w:val="en-GB"/>
        </w:rPr>
        <w:t xml:space="preserve"> </w:t>
      </w:r>
      <w:r w:rsidR="00962214">
        <w:rPr>
          <w:rFonts w:ascii="Times New Roman" w:hAnsi="Times New Roman" w:cs="Times New Roman"/>
          <w:bCs/>
          <w:lang w:val="en-GB"/>
        </w:rPr>
        <w:t>Notably</w:t>
      </w:r>
      <w:r w:rsidR="00A82D9F">
        <w:rPr>
          <w:rFonts w:ascii="Times New Roman" w:hAnsi="Times New Roman" w:cs="Times New Roman"/>
          <w:bCs/>
          <w:lang w:val="en-GB"/>
        </w:rPr>
        <w:t xml:space="preserve"> paragraph 190 goes</w:t>
      </w:r>
      <w:r w:rsidR="00962214">
        <w:rPr>
          <w:rFonts w:ascii="Times New Roman" w:hAnsi="Times New Roman" w:cs="Times New Roman"/>
          <w:bCs/>
          <w:lang w:val="en-GB"/>
        </w:rPr>
        <w:t xml:space="preserve"> on to provi</w:t>
      </w:r>
      <w:r w:rsidR="002C272A">
        <w:rPr>
          <w:rFonts w:ascii="Times New Roman" w:hAnsi="Times New Roman" w:cs="Times New Roman"/>
          <w:bCs/>
          <w:lang w:val="en-GB"/>
        </w:rPr>
        <w:t xml:space="preserve">de detail as to what </w:t>
      </w:r>
      <w:r w:rsidR="00C30BCF">
        <w:rPr>
          <w:rFonts w:ascii="Times New Roman" w:hAnsi="Times New Roman" w:cs="Times New Roman"/>
          <w:bCs/>
          <w:lang w:val="en-GB"/>
        </w:rPr>
        <w:t>should</w:t>
      </w:r>
      <w:r w:rsidR="002C272A">
        <w:rPr>
          <w:rFonts w:ascii="Times New Roman" w:hAnsi="Times New Roman" w:cs="Times New Roman"/>
          <w:bCs/>
          <w:lang w:val="en-GB"/>
        </w:rPr>
        <w:t xml:space="preserve"> be assessed when </w:t>
      </w:r>
      <w:r w:rsidR="00C30BCF">
        <w:rPr>
          <w:rFonts w:ascii="Times New Roman" w:hAnsi="Times New Roman" w:cs="Times New Roman"/>
          <w:bCs/>
          <w:lang w:val="en-GB"/>
        </w:rPr>
        <w:t>considering</w:t>
      </w:r>
      <w:r w:rsidR="002C272A">
        <w:rPr>
          <w:rFonts w:ascii="Times New Roman" w:hAnsi="Times New Roman" w:cs="Times New Roman"/>
          <w:bCs/>
          <w:lang w:val="en-GB"/>
        </w:rPr>
        <w:t xml:space="preserve"> </w:t>
      </w:r>
      <w:r w:rsidR="00C30BCF">
        <w:rPr>
          <w:rFonts w:ascii="Times New Roman" w:hAnsi="Times New Roman" w:cs="Times New Roman"/>
          <w:bCs/>
          <w:lang w:val="en-GB"/>
        </w:rPr>
        <w:t>such</w:t>
      </w:r>
      <w:r w:rsidR="002C272A">
        <w:rPr>
          <w:rFonts w:ascii="Times New Roman" w:hAnsi="Times New Roman" w:cs="Times New Roman"/>
          <w:bCs/>
          <w:lang w:val="en-GB"/>
        </w:rPr>
        <w:t xml:space="preserve"> development</w:t>
      </w:r>
      <w:r w:rsidR="00C30BCF">
        <w:rPr>
          <w:rFonts w:ascii="Times New Roman" w:hAnsi="Times New Roman" w:cs="Times New Roman"/>
          <w:bCs/>
          <w:lang w:val="en-GB"/>
        </w:rPr>
        <w:t xml:space="preserve"> </w:t>
      </w:r>
      <w:r w:rsidR="002C272A">
        <w:rPr>
          <w:rFonts w:ascii="Times New Roman" w:hAnsi="Times New Roman" w:cs="Times New Roman"/>
          <w:bCs/>
          <w:lang w:val="en-GB"/>
        </w:rPr>
        <w:t>in</w:t>
      </w:r>
      <w:r w:rsidR="00C30BCF">
        <w:rPr>
          <w:rFonts w:ascii="Times New Roman" w:hAnsi="Times New Roman" w:cs="Times New Roman"/>
          <w:bCs/>
          <w:lang w:val="en-GB"/>
        </w:rPr>
        <w:t xml:space="preserve"> </w:t>
      </w:r>
      <w:r w:rsidR="002C272A">
        <w:rPr>
          <w:rFonts w:ascii="Times New Roman" w:hAnsi="Times New Roman" w:cs="Times New Roman"/>
          <w:bCs/>
          <w:lang w:val="en-GB"/>
        </w:rPr>
        <w:t xml:space="preserve">the NL </w:t>
      </w:r>
      <w:r w:rsidR="00C30BCF">
        <w:rPr>
          <w:rFonts w:ascii="Times New Roman" w:hAnsi="Times New Roman" w:cs="Times New Roman"/>
          <w:bCs/>
          <w:lang w:val="en-GB"/>
        </w:rPr>
        <w:t>including:</w:t>
      </w:r>
    </w:p>
    <w:p w14:paraId="0655037E" w14:textId="3B92098D" w:rsidR="00B962CB" w:rsidRPr="00B962CB" w:rsidRDefault="00B962CB" w:rsidP="00B962CB">
      <w:pPr>
        <w:pStyle w:val="ListParagraph"/>
        <w:widowControl/>
        <w:suppressAutoHyphens w:val="0"/>
        <w:autoSpaceDE/>
        <w:spacing w:after="240" w:line="360" w:lineRule="auto"/>
        <w:ind w:left="720" w:right="571"/>
        <w:jc w:val="both"/>
        <w:rPr>
          <w:rFonts w:ascii="Times New Roman" w:hAnsi="Times New Roman" w:cs="Times New Roman"/>
          <w:bCs/>
          <w:i/>
          <w:iCs/>
        </w:rPr>
      </w:pPr>
      <w:r w:rsidRPr="00B962CB">
        <w:rPr>
          <w:rFonts w:ascii="Times New Roman" w:hAnsi="Times New Roman" w:cs="Times New Roman"/>
          <w:bCs/>
          <w:i/>
          <w:iCs/>
        </w:rPr>
        <w:t>“a) the need for the development, including in terms of any national considerations, and the impact of permitting it, or refusing it, upon the local economy.</w:t>
      </w:r>
    </w:p>
    <w:p w14:paraId="1FB4F8A3" w14:textId="04545510" w:rsidR="00B962CB" w:rsidRPr="00B962CB" w:rsidRDefault="00B962CB" w:rsidP="00B962CB">
      <w:pPr>
        <w:pStyle w:val="ListParagraph"/>
        <w:widowControl/>
        <w:suppressAutoHyphens w:val="0"/>
        <w:autoSpaceDE/>
        <w:spacing w:after="240" w:line="360" w:lineRule="auto"/>
        <w:ind w:left="720" w:right="571"/>
        <w:jc w:val="both"/>
        <w:rPr>
          <w:rFonts w:ascii="Times New Roman" w:hAnsi="Times New Roman" w:cs="Times New Roman"/>
          <w:bCs/>
          <w:i/>
          <w:iCs/>
        </w:rPr>
      </w:pPr>
      <w:r w:rsidRPr="00B962CB">
        <w:rPr>
          <w:rFonts w:ascii="Times New Roman" w:hAnsi="Times New Roman" w:cs="Times New Roman"/>
          <w:bCs/>
          <w:i/>
          <w:iCs/>
        </w:rPr>
        <w:t>b) the cost of, and scope for, developing outside the designated area, or meeting the need for it in some other way; and</w:t>
      </w:r>
    </w:p>
    <w:p w14:paraId="57AA91DB" w14:textId="3C1CAD7D" w:rsidR="00C30BCF" w:rsidRPr="00B962CB" w:rsidRDefault="00B962CB" w:rsidP="00B962CB">
      <w:pPr>
        <w:pStyle w:val="ListParagraph"/>
        <w:widowControl/>
        <w:suppressAutoHyphens w:val="0"/>
        <w:autoSpaceDE/>
        <w:spacing w:after="240" w:line="360" w:lineRule="auto"/>
        <w:ind w:left="720" w:right="571"/>
        <w:jc w:val="both"/>
        <w:rPr>
          <w:rFonts w:ascii="Times New Roman" w:hAnsi="Times New Roman" w:cs="Times New Roman"/>
          <w:bCs/>
          <w:i/>
          <w:iCs/>
        </w:rPr>
      </w:pPr>
      <w:r w:rsidRPr="00B962CB">
        <w:rPr>
          <w:rFonts w:ascii="Times New Roman" w:hAnsi="Times New Roman" w:cs="Times New Roman"/>
          <w:bCs/>
          <w:i/>
          <w:iCs/>
        </w:rPr>
        <w:t>c) any detrimental effect on the environment, the landscape and recreational opportunities, and the extent to which that could be moderated.”</w:t>
      </w:r>
    </w:p>
    <w:p w14:paraId="05DAFA97" w14:textId="0F60E268" w:rsidR="005126D7" w:rsidRDefault="00B92783" w:rsidP="005126D7">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B36CF8">
        <w:rPr>
          <w:rFonts w:ascii="Times New Roman" w:hAnsi="Times New Roman" w:cs="Times New Roman"/>
          <w:bCs/>
          <w:lang w:val="en-GB"/>
        </w:rPr>
        <w:t xml:space="preserve">As such </w:t>
      </w:r>
      <w:r w:rsidR="005C5B03" w:rsidRPr="00B36CF8">
        <w:rPr>
          <w:rFonts w:ascii="Times New Roman" w:hAnsi="Times New Roman" w:cs="Times New Roman"/>
          <w:bCs/>
          <w:lang w:val="en-GB"/>
        </w:rPr>
        <w:t>while NPPF is clear that scale and extent of development will be limited it does not place</w:t>
      </w:r>
      <w:r w:rsidRPr="00B36CF8">
        <w:rPr>
          <w:rFonts w:ascii="Times New Roman" w:hAnsi="Times New Roman" w:cs="Times New Roman"/>
          <w:bCs/>
          <w:lang w:val="en-GB"/>
        </w:rPr>
        <w:t xml:space="preserve"> a b</w:t>
      </w:r>
      <w:r w:rsidR="005C5B03" w:rsidRPr="00B36CF8">
        <w:rPr>
          <w:rFonts w:ascii="Times New Roman" w:hAnsi="Times New Roman" w:cs="Times New Roman"/>
          <w:bCs/>
          <w:lang w:val="en-GB"/>
        </w:rPr>
        <w:t>l</w:t>
      </w:r>
      <w:r w:rsidRPr="00B36CF8">
        <w:rPr>
          <w:rFonts w:ascii="Times New Roman" w:hAnsi="Times New Roman" w:cs="Times New Roman"/>
          <w:bCs/>
          <w:lang w:val="en-GB"/>
        </w:rPr>
        <w:t>anket ban</w:t>
      </w:r>
      <w:r w:rsidR="005C5B03" w:rsidRPr="00B36CF8">
        <w:rPr>
          <w:rFonts w:ascii="Times New Roman" w:hAnsi="Times New Roman" w:cs="Times New Roman"/>
          <w:bCs/>
          <w:lang w:val="en-GB"/>
        </w:rPr>
        <w:t xml:space="preserve"> development in the N</w:t>
      </w:r>
      <w:r w:rsidR="007D7453">
        <w:rPr>
          <w:rFonts w:ascii="Times New Roman" w:hAnsi="Times New Roman" w:cs="Times New Roman"/>
          <w:bCs/>
          <w:lang w:val="en-GB"/>
        </w:rPr>
        <w:t xml:space="preserve">ational </w:t>
      </w:r>
      <w:r w:rsidR="005C5B03" w:rsidRPr="00B36CF8">
        <w:rPr>
          <w:rFonts w:ascii="Times New Roman" w:hAnsi="Times New Roman" w:cs="Times New Roman"/>
          <w:bCs/>
          <w:lang w:val="en-GB"/>
        </w:rPr>
        <w:t>L</w:t>
      </w:r>
      <w:r w:rsidR="007D7453">
        <w:rPr>
          <w:rFonts w:ascii="Times New Roman" w:hAnsi="Times New Roman" w:cs="Times New Roman"/>
          <w:bCs/>
          <w:lang w:val="en-GB"/>
        </w:rPr>
        <w:t>andscape</w:t>
      </w:r>
      <w:r w:rsidR="005C5B03" w:rsidRPr="00B36CF8">
        <w:rPr>
          <w:rFonts w:ascii="Times New Roman" w:hAnsi="Times New Roman" w:cs="Times New Roman"/>
          <w:bCs/>
          <w:lang w:val="en-GB"/>
        </w:rPr>
        <w:t xml:space="preserve"> that </w:t>
      </w:r>
      <w:r w:rsidR="00C42F4A">
        <w:rPr>
          <w:rFonts w:ascii="Times New Roman" w:hAnsi="Times New Roman" w:cs="Times New Roman"/>
          <w:bCs/>
          <w:lang w:val="en-GB"/>
        </w:rPr>
        <w:t>allows</w:t>
      </w:r>
      <w:r w:rsidR="00970BC5" w:rsidRPr="00B36CF8">
        <w:rPr>
          <w:rFonts w:ascii="Times New Roman" w:hAnsi="Times New Roman" w:cs="Times New Roman"/>
          <w:bCs/>
          <w:lang w:val="en-GB"/>
        </w:rPr>
        <w:t xml:space="preserve"> the Council </w:t>
      </w:r>
      <w:r w:rsidR="00C42F4A">
        <w:rPr>
          <w:rFonts w:ascii="Times New Roman" w:hAnsi="Times New Roman" w:cs="Times New Roman"/>
          <w:bCs/>
          <w:lang w:val="en-GB"/>
        </w:rPr>
        <w:t xml:space="preserve">to </w:t>
      </w:r>
      <w:r w:rsidR="00B36CF8" w:rsidRPr="00B36CF8">
        <w:rPr>
          <w:rFonts w:ascii="Times New Roman" w:hAnsi="Times New Roman" w:cs="Times New Roman"/>
          <w:bCs/>
          <w:lang w:val="en-GB"/>
        </w:rPr>
        <w:t>exclud</w:t>
      </w:r>
      <w:r w:rsidR="00C42F4A">
        <w:rPr>
          <w:rFonts w:ascii="Times New Roman" w:hAnsi="Times New Roman" w:cs="Times New Roman"/>
          <w:bCs/>
          <w:lang w:val="en-GB"/>
        </w:rPr>
        <w:t>e</w:t>
      </w:r>
      <w:r w:rsidR="00B36CF8" w:rsidRPr="00B36CF8">
        <w:rPr>
          <w:rFonts w:ascii="Times New Roman" w:hAnsi="Times New Roman" w:cs="Times New Roman"/>
          <w:bCs/>
          <w:lang w:val="en-GB"/>
        </w:rPr>
        <w:t xml:space="preserve"> sites from more detailed assessment</w:t>
      </w:r>
      <w:r w:rsidR="00B36CF8" w:rsidRPr="00B36CF8">
        <w:rPr>
          <w:rFonts w:ascii="Times New Roman" w:hAnsi="Times New Roman" w:cs="Times New Roman"/>
          <w:bCs/>
        </w:rPr>
        <w:t xml:space="preserve"> </w:t>
      </w:r>
      <w:r w:rsidR="00F429BF">
        <w:rPr>
          <w:rFonts w:ascii="Times New Roman" w:hAnsi="Times New Roman" w:cs="Times New Roman"/>
          <w:bCs/>
        </w:rPr>
        <w:t xml:space="preserve">in relation to </w:t>
      </w:r>
      <w:r w:rsidR="007D7453">
        <w:rPr>
          <w:rFonts w:ascii="Times New Roman" w:hAnsi="Times New Roman" w:cs="Times New Roman"/>
          <w:bCs/>
        </w:rPr>
        <w:t>this particular designation</w:t>
      </w:r>
      <w:r w:rsidR="002E0987">
        <w:rPr>
          <w:rFonts w:ascii="Times New Roman" w:hAnsi="Times New Roman" w:cs="Times New Roman"/>
          <w:bCs/>
        </w:rPr>
        <w:t xml:space="preserve">. </w:t>
      </w:r>
      <w:r w:rsidR="00AC3878">
        <w:rPr>
          <w:rFonts w:ascii="Times New Roman" w:hAnsi="Times New Roman" w:cs="Times New Roman"/>
          <w:bCs/>
        </w:rPr>
        <w:t xml:space="preserve">It is therefore </w:t>
      </w:r>
      <w:r w:rsidR="00F429BF">
        <w:rPr>
          <w:rFonts w:ascii="Times New Roman" w:hAnsi="Times New Roman" w:cs="Times New Roman"/>
          <w:bCs/>
        </w:rPr>
        <w:t>surprising</w:t>
      </w:r>
      <w:r w:rsidR="00AC3878">
        <w:rPr>
          <w:rFonts w:ascii="Times New Roman" w:hAnsi="Times New Roman" w:cs="Times New Roman"/>
          <w:bCs/>
        </w:rPr>
        <w:t xml:space="preserve"> that the Council does not appear to have undertaken a more detailed assessment of every site promoted for development in the National Landscape given that it cannot meet housing needs in full without doing so.</w:t>
      </w:r>
      <w:r w:rsidR="007D7453">
        <w:rPr>
          <w:rFonts w:ascii="Times New Roman" w:hAnsi="Times New Roman" w:cs="Times New Roman"/>
          <w:bCs/>
        </w:rPr>
        <w:t xml:space="preserve"> </w:t>
      </w:r>
      <w:r w:rsidR="001B2D5B">
        <w:rPr>
          <w:rFonts w:ascii="Times New Roman" w:hAnsi="Times New Roman" w:cs="Times New Roman"/>
          <w:bCs/>
        </w:rPr>
        <w:t>Indeed,</w:t>
      </w:r>
      <w:r w:rsidR="0084416E">
        <w:rPr>
          <w:rFonts w:ascii="Times New Roman" w:hAnsi="Times New Roman" w:cs="Times New Roman"/>
          <w:bCs/>
        </w:rPr>
        <w:t xml:space="preserve"> the Council recognise this with regard to the potential allocation of Pedham Place which is promoted for allocation under option 2</w:t>
      </w:r>
      <w:r w:rsidR="004F3653">
        <w:rPr>
          <w:rFonts w:ascii="Times New Roman" w:hAnsi="Times New Roman" w:cs="Times New Roman"/>
          <w:bCs/>
        </w:rPr>
        <w:t xml:space="preserve">. </w:t>
      </w:r>
      <w:r w:rsidR="0007442C">
        <w:rPr>
          <w:rFonts w:ascii="Times New Roman" w:hAnsi="Times New Roman" w:cs="Times New Roman"/>
          <w:bCs/>
        </w:rPr>
        <w:t>As</w:t>
      </w:r>
      <w:r w:rsidR="004F3653">
        <w:rPr>
          <w:rFonts w:ascii="Times New Roman" w:hAnsi="Times New Roman" w:cs="Times New Roman"/>
          <w:bCs/>
        </w:rPr>
        <w:t xml:space="preserve"> more sites will be needed to ensure housing needs are met in full</w:t>
      </w:r>
      <w:r w:rsidR="00E27998">
        <w:rPr>
          <w:rFonts w:ascii="Times New Roman" w:hAnsi="Times New Roman" w:cs="Times New Roman"/>
          <w:bCs/>
        </w:rPr>
        <w:t xml:space="preserve"> over a sound plan period</w:t>
      </w:r>
      <w:r w:rsidR="004F3653">
        <w:rPr>
          <w:rFonts w:ascii="Times New Roman" w:hAnsi="Times New Roman" w:cs="Times New Roman"/>
          <w:bCs/>
        </w:rPr>
        <w:t xml:space="preserve"> </w:t>
      </w:r>
      <w:r w:rsidR="001B2D5B">
        <w:rPr>
          <w:rFonts w:ascii="Times New Roman" w:hAnsi="Times New Roman" w:cs="Times New Roman"/>
          <w:bCs/>
        </w:rPr>
        <w:t xml:space="preserve">the Council must </w:t>
      </w:r>
      <w:r w:rsidR="004D16C2">
        <w:rPr>
          <w:rFonts w:ascii="Times New Roman" w:hAnsi="Times New Roman" w:cs="Times New Roman"/>
          <w:bCs/>
        </w:rPr>
        <w:t xml:space="preserve">consider the relative </w:t>
      </w:r>
      <w:r w:rsidR="00404C67">
        <w:rPr>
          <w:rFonts w:ascii="Times New Roman" w:hAnsi="Times New Roman" w:cs="Times New Roman"/>
          <w:bCs/>
        </w:rPr>
        <w:t>detrimental effects</w:t>
      </w:r>
      <w:r w:rsidR="004D16C2">
        <w:rPr>
          <w:rFonts w:ascii="Times New Roman" w:hAnsi="Times New Roman" w:cs="Times New Roman"/>
          <w:bCs/>
        </w:rPr>
        <w:t xml:space="preserve"> and benefits of bringing forward </w:t>
      </w:r>
      <w:r w:rsidR="0002535A">
        <w:rPr>
          <w:rFonts w:ascii="Times New Roman" w:hAnsi="Times New Roman" w:cs="Times New Roman"/>
          <w:bCs/>
        </w:rPr>
        <w:t xml:space="preserve">all </w:t>
      </w:r>
      <w:r w:rsidR="0047274B">
        <w:rPr>
          <w:rFonts w:ascii="Times New Roman" w:hAnsi="Times New Roman" w:cs="Times New Roman"/>
          <w:bCs/>
        </w:rPr>
        <w:t>other</w:t>
      </w:r>
      <w:r w:rsidR="0002535A">
        <w:rPr>
          <w:rFonts w:ascii="Times New Roman" w:hAnsi="Times New Roman" w:cs="Times New Roman"/>
          <w:bCs/>
        </w:rPr>
        <w:t xml:space="preserve"> promoted</w:t>
      </w:r>
      <w:r w:rsidR="0047274B">
        <w:rPr>
          <w:rFonts w:ascii="Times New Roman" w:hAnsi="Times New Roman" w:cs="Times New Roman"/>
          <w:bCs/>
        </w:rPr>
        <w:t xml:space="preserve"> sites in </w:t>
      </w:r>
      <w:r w:rsidR="004D16C2">
        <w:rPr>
          <w:rFonts w:ascii="Times New Roman" w:hAnsi="Times New Roman" w:cs="Times New Roman"/>
          <w:bCs/>
        </w:rPr>
        <w:t>the National Landscape</w:t>
      </w:r>
      <w:r w:rsidR="0047274B">
        <w:rPr>
          <w:rFonts w:ascii="Times New Roman" w:hAnsi="Times New Roman" w:cs="Times New Roman"/>
          <w:bCs/>
        </w:rPr>
        <w:t>.</w:t>
      </w:r>
      <w:r w:rsidR="005A67A9">
        <w:rPr>
          <w:rFonts w:ascii="Times New Roman" w:hAnsi="Times New Roman" w:cs="Times New Roman"/>
          <w:bCs/>
        </w:rPr>
        <w:t xml:space="preserve"> </w:t>
      </w:r>
      <w:r w:rsidR="000851A4" w:rsidRPr="00811219">
        <w:rPr>
          <w:rFonts w:ascii="Times New Roman" w:hAnsi="Times New Roman" w:cs="Times New Roman"/>
          <w:bCs/>
        </w:rPr>
        <w:t xml:space="preserve">Without such </w:t>
      </w:r>
      <w:r w:rsidR="0002535A">
        <w:rPr>
          <w:rFonts w:ascii="Times New Roman" w:hAnsi="Times New Roman" w:cs="Times New Roman"/>
          <w:bCs/>
        </w:rPr>
        <w:t xml:space="preserve">an </w:t>
      </w:r>
      <w:r w:rsidR="005126D7" w:rsidRPr="00811219">
        <w:rPr>
          <w:rFonts w:ascii="Times New Roman" w:hAnsi="Times New Roman" w:cs="Times New Roman"/>
          <w:bCs/>
        </w:rPr>
        <w:t>assessment</w:t>
      </w:r>
      <w:r w:rsidR="000851A4" w:rsidRPr="00811219">
        <w:rPr>
          <w:rFonts w:ascii="Times New Roman" w:hAnsi="Times New Roman" w:cs="Times New Roman"/>
          <w:bCs/>
        </w:rPr>
        <w:t xml:space="preserve"> it is not possible to discount these sites </w:t>
      </w:r>
      <w:r w:rsidR="00934639" w:rsidRPr="00811219">
        <w:rPr>
          <w:rFonts w:ascii="Times New Roman" w:hAnsi="Times New Roman" w:cs="Times New Roman"/>
          <w:bCs/>
        </w:rPr>
        <w:t>at this stage</w:t>
      </w:r>
      <w:r w:rsidR="00B725C8">
        <w:rPr>
          <w:rFonts w:ascii="Times New Roman" w:hAnsi="Times New Roman" w:cs="Times New Roman"/>
          <w:bCs/>
        </w:rPr>
        <w:t xml:space="preserve"> as the Council have done</w:t>
      </w:r>
      <w:r w:rsidR="00934639" w:rsidRPr="00811219">
        <w:rPr>
          <w:rFonts w:ascii="Times New Roman" w:hAnsi="Times New Roman" w:cs="Times New Roman"/>
          <w:bCs/>
        </w:rPr>
        <w:t xml:space="preserve">. </w:t>
      </w:r>
      <w:r w:rsidR="006E2B2E" w:rsidRPr="00811219">
        <w:rPr>
          <w:rFonts w:ascii="Times New Roman" w:hAnsi="Times New Roman" w:cs="Times New Roman"/>
          <w:bCs/>
        </w:rPr>
        <w:t>It is</w:t>
      </w:r>
      <w:r w:rsidR="002D3323">
        <w:rPr>
          <w:rFonts w:ascii="Times New Roman" w:hAnsi="Times New Roman" w:cs="Times New Roman"/>
          <w:bCs/>
        </w:rPr>
        <w:t xml:space="preserve"> therefore</w:t>
      </w:r>
      <w:r w:rsidR="006E2B2E" w:rsidRPr="00811219">
        <w:rPr>
          <w:rFonts w:ascii="Times New Roman" w:hAnsi="Times New Roman" w:cs="Times New Roman"/>
          <w:bCs/>
        </w:rPr>
        <w:t xml:space="preserve"> HBFs </w:t>
      </w:r>
      <w:r w:rsidR="004C5104" w:rsidRPr="00811219">
        <w:rPr>
          <w:rFonts w:ascii="Times New Roman" w:hAnsi="Times New Roman" w:cs="Times New Roman"/>
          <w:bCs/>
        </w:rPr>
        <w:t>position</w:t>
      </w:r>
      <w:r w:rsidR="006E2B2E" w:rsidRPr="00811219">
        <w:rPr>
          <w:rFonts w:ascii="Times New Roman" w:hAnsi="Times New Roman" w:cs="Times New Roman"/>
          <w:bCs/>
        </w:rPr>
        <w:t xml:space="preserve"> that a detailed assessment as to the relative </w:t>
      </w:r>
      <w:r w:rsidR="005126D7">
        <w:rPr>
          <w:rFonts w:ascii="Times New Roman" w:hAnsi="Times New Roman" w:cs="Times New Roman"/>
          <w:bCs/>
        </w:rPr>
        <w:t xml:space="preserve">detrimental </w:t>
      </w:r>
      <w:r w:rsidR="00404C67">
        <w:rPr>
          <w:rFonts w:ascii="Times New Roman" w:hAnsi="Times New Roman" w:cs="Times New Roman"/>
          <w:bCs/>
        </w:rPr>
        <w:t xml:space="preserve">effects </w:t>
      </w:r>
      <w:r w:rsidR="006E2B2E" w:rsidRPr="00811219">
        <w:rPr>
          <w:rFonts w:ascii="Times New Roman" w:hAnsi="Times New Roman" w:cs="Times New Roman"/>
          <w:bCs/>
        </w:rPr>
        <w:t>and benefit</w:t>
      </w:r>
      <w:r w:rsidR="004C5104" w:rsidRPr="00811219">
        <w:rPr>
          <w:rFonts w:ascii="Times New Roman" w:hAnsi="Times New Roman" w:cs="Times New Roman"/>
          <w:bCs/>
        </w:rPr>
        <w:t xml:space="preserve">s </w:t>
      </w:r>
      <w:r w:rsidR="009E0180" w:rsidRPr="00811219">
        <w:rPr>
          <w:rFonts w:ascii="Times New Roman" w:hAnsi="Times New Roman" w:cs="Times New Roman"/>
          <w:bCs/>
        </w:rPr>
        <w:t xml:space="preserve">of </w:t>
      </w:r>
      <w:r w:rsidR="004068D6" w:rsidRPr="00811219">
        <w:rPr>
          <w:rFonts w:ascii="Times New Roman" w:hAnsi="Times New Roman" w:cs="Times New Roman"/>
          <w:bCs/>
        </w:rPr>
        <w:t xml:space="preserve">further development in the National Landscape </w:t>
      </w:r>
      <w:r w:rsidR="000A100A" w:rsidRPr="00811219">
        <w:rPr>
          <w:rFonts w:ascii="Times New Roman" w:hAnsi="Times New Roman" w:cs="Times New Roman"/>
          <w:bCs/>
        </w:rPr>
        <w:t xml:space="preserve">should </w:t>
      </w:r>
      <w:r w:rsidR="00934639" w:rsidRPr="00811219">
        <w:rPr>
          <w:rFonts w:ascii="Times New Roman" w:hAnsi="Times New Roman" w:cs="Times New Roman"/>
          <w:bCs/>
        </w:rPr>
        <w:t>be</w:t>
      </w:r>
      <w:r w:rsidR="000A100A" w:rsidRPr="00811219">
        <w:rPr>
          <w:rFonts w:ascii="Times New Roman" w:hAnsi="Times New Roman" w:cs="Times New Roman"/>
          <w:bCs/>
        </w:rPr>
        <w:t xml:space="preserve"> undertaken </w:t>
      </w:r>
      <w:r w:rsidR="00934639" w:rsidRPr="00811219">
        <w:rPr>
          <w:rFonts w:ascii="Times New Roman" w:hAnsi="Times New Roman" w:cs="Times New Roman"/>
          <w:bCs/>
        </w:rPr>
        <w:t>and</w:t>
      </w:r>
      <w:r w:rsidR="000A100A" w:rsidRPr="00811219">
        <w:rPr>
          <w:rFonts w:ascii="Times New Roman" w:hAnsi="Times New Roman" w:cs="Times New Roman"/>
          <w:bCs/>
        </w:rPr>
        <w:t xml:space="preserve"> </w:t>
      </w:r>
      <w:r w:rsidR="00D6169D" w:rsidRPr="00811219">
        <w:rPr>
          <w:rFonts w:ascii="Times New Roman" w:hAnsi="Times New Roman" w:cs="Times New Roman"/>
          <w:bCs/>
        </w:rPr>
        <w:t>will</w:t>
      </w:r>
      <w:r w:rsidR="004A00DC" w:rsidRPr="00811219">
        <w:rPr>
          <w:rFonts w:ascii="Times New Roman" w:hAnsi="Times New Roman" w:cs="Times New Roman"/>
          <w:bCs/>
        </w:rPr>
        <w:t xml:space="preserve"> be needed in order to inform any decision making relating to </w:t>
      </w:r>
      <w:r w:rsidR="00306DDB" w:rsidRPr="00811219">
        <w:rPr>
          <w:rFonts w:ascii="Times New Roman" w:hAnsi="Times New Roman" w:cs="Times New Roman"/>
          <w:bCs/>
        </w:rPr>
        <w:t xml:space="preserve">next iteration of the Sevenoaks Local Plan. </w:t>
      </w:r>
    </w:p>
    <w:p w14:paraId="567A003C" w14:textId="3CCB7ACB" w:rsidR="002B3E22" w:rsidRPr="0049081F" w:rsidRDefault="002B3E22" w:rsidP="002B3E22">
      <w:pPr>
        <w:widowControl/>
        <w:suppressAutoHyphens w:val="0"/>
        <w:autoSpaceDE/>
        <w:spacing w:after="240" w:line="360" w:lineRule="auto"/>
        <w:jc w:val="both"/>
        <w:rPr>
          <w:rFonts w:ascii="Times New Roman" w:hAnsi="Times New Roman" w:cs="Times New Roman"/>
          <w:bCs/>
          <w:i/>
          <w:iCs/>
        </w:rPr>
      </w:pPr>
      <w:r w:rsidRPr="0049081F">
        <w:rPr>
          <w:rFonts w:ascii="Times New Roman" w:hAnsi="Times New Roman" w:cs="Times New Roman"/>
          <w:bCs/>
          <w:i/>
          <w:iCs/>
        </w:rPr>
        <w:t xml:space="preserve">Settlement </w:t>
      </w:r>
      <w:r w:rsidR="002A130C" w:rsidRPr="0049081F">
        <w:rPr>
          <w:rFonts w:ascii="Times New Roman" w:hAnsi="Times New Roman" w:cs="Times New Roman"/>
          <w:bCs/>
          <w:i/>
          <w:iCs/>
        </w:rPr>
        <w:t>hierarchy</w:t>
      </w:r>
    </w:p>
    <w:p w14:paraId="0D7B6180" w14:textId="32BFF3ED" w:rsidR="002B3E22" w:rsidRPr="001B2A6F" w:rsidRDefault="00591779" w:rsidP="0049081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iCs/>
        </w:rPr>
      </w:pPr>
      <w:r>
        <w:rPr>
          <w:rFonts w:ascii="Times New Roman" w:hAnsi="Times New Roman" w:cs="Times New Roman"/>
          <w:bCs/>
        </w:rPr>
        <w:t xml:space="preserve">While the HBF </w:t>
      </w:r>
      <w:r w:rsidR="002A130C">
        <w:rPr>
          <w:rFonts w:ascii="Times New Roman" w:hAnsi="Times New Roman" w:cs="Times New Roman"/>
          <w:bCs/>
        </w:rPr>
        <w:t>has</w:t>
      </w:r>
      <w:r>
        <w:rPr>
          <w:rFonts w:ascii="Times New Roman" w:hAnsi="Times New Roman" w:cs="Times New Roman"/>
          <w:bCs/>
        </w:rPr>
        <w:t xml:space="preserve"> no comments on the </w:t>
      </w:r>
      <w:r w:rsidR="00A70EBC">
        <w:rPr>
          <w:rFonts w:ascii="Times New Roman" w:hAnsi="Times New Roman" w:cs="Times New Roman"/>
          <w:bCs/>
        </w:rPr>
        <w:t>settlement</w:t>
      </w:r>
      <w:r>
        <w:rPr>
          <w:rFonts w:ascii="Times New Roman" w:hAnsi="Times New Roman" w:cs="Times New Roman"/>
          <w:bCs/>
        </w:rPr>
        <w:t xml:space="preserve"> hierarchy itself it </w:t>
      </w:r>
      <w:r w:rsidR="00C172EC">
        <w:rPr>
          <w:rFonts w:ascii="Times New Roman" w:hAnsi="Times New Roman" w:cs="Times New Roman"/>
          <w:bCs/>
        </w:rPr>
        <w:t xml:space="preserve">is notable that the level of development in Westerham </w:t>
      </w:r>
      <w:r w:rsidR="00E260BB">
        <w:rPr>
          <w:rFonts w:ascii="Times New Roman" w:hAnsi="Times New Roman" w:cs="Times New Roman"/>
          <w:bCs/>
        </w:rPr>
        <w:t>given</w:t>
      </w:r>
      <w:r w:rsidR="00C172EC">
        <w:rPr>
          <w:rFonts w:ascii="Times New Roman" w:hAnsi="Times New Roman" w:cs="Times New Roman"/>
          <w:bCs/>
        </w:rPr>
        <w:t xml:space="preserve"> that it is</w:t>
      </w:r>
      <w:r w:rsidR="009E5D5D">
        <w:rPr>
          <w:rFonts w:ascii="Times New Roman" w:hAnsi="Times New Roman" w:cs="Times New Roman"/>
          <w:bCs/>
        </w:rPr>
        <w:t xml:space="preserve"> defined as a town and one of the main </w:t>
      </w:r>
      <w:r w:rsidR="00E260BB">
        <w:rPr>
          <w:rFonts w:ascii="Times New Roman" w:hAnsi="Times New Roman" w:cs="Times New Roman"/>
          <w:bCs/>
        </w:rPr>
        <w:t>settlements</w:t>
      </w:r>
      <w:r w:rsidR="009E5D5D">
        <w:rPr>
          <w:rFonts w:ascii="Times New Roman" w:hAnsi="Times New Roman" w:cs="Times New Roman"/>
          <w:bCs/>
        </w:rPr>
        <w:t xml:space="preserve"> </w:t>
      </w:r>
      <w:r w:rsidR="00E260BB">
        <w:rPr>
          <w:rFonts w:ascii="Times New Roman" w:hAnsi="Times New Roman" w:cs="Times New Roman"/>
          <w:bCs/>
        </w:rPr>
        <w:t xml:space="preserve">after the principal town of Sevenoaks. While we </w:t>
      </w:r>
      <w:r w:rsidR="002A130C">
        <w:rPr>
          <w:rFonts w:ascii="Times New Roman" w:hAnsi="Times New Roman" w:cs="Times New Roman"/>
          <w:bCs/>
        </w:rPr>
        <w:t>recognise</w:t>
      </w:r>
      <w:r w:rsidR="00E260BB">
        <w:rPr>
          <w:rFonts w:ascii="Times New Roman" w:hAnsi="Times New Roman" w:cs="Times New Roman"/>
          <w:bCs/>
        </w:rPr>
        <w:t xml:space="preserve"> that the Westerh</w:t>
      </w:r>
      <w:r w:rsidR="002A130C">
        <w:rPr>
          <w:rFonts w:ascii="Times New Roman" w:hAnsi="Times New Roman" w:cs="Times New Roman"/>
          <w:bCs/>
        </w:rPr>
        <w:t>a</w:t>
      </w:r>
      <w:r w:rsidR="00E260BB">
        <w:rPr>
          <w:rFonts w:ascii="Times New Roman" w:hAnsi="Times New Roman" w:cs="Times New Roman"/>
          <w:bCs/>
        </w:rPr>
        <w:t xml:space="preserve">m is </w:t>
      </w:r>
      <w:r w:rsidR="002A130C">
        <w:rPr>
          <w:rFonts w:ascii="Times New Roman" w:hAnsi="Times New Roman" w:cs="Times New Roman"/>
          <w:bCs/>
        </w:rPr>
        <w:t>surrounded</w:t>
      </w:r>
      <w:r w:rsidR="00E260BB">
        <w:rPr>
          <w:rFonts w:ascii="Times New Roman" w:hAnsi="Times New Roman" w:cs="Times New Roman"/>
          <w:bCs/>
        </w:rPr>
        <w:t xml:space="preserve"> by </w:t>
      </w:r>
      <w:r w:rsidR="00A9610D">
        <w:rPr>
          <w:rFonts w:ascii="Times New Roman" w:hAnsi="Times New Roman" w:cs="Times New Roman"/>
          <w:bCs/>
        </w:rPr>
        <w:t xml:space="preserve">National Landscape and Green Belt the </w:t>
      </w:r>
      <w:r w:rsidR="002A130C">
        <w:rPr>
          <w:rFonts w:ascii="Times New Roman" w:hAnsi="Times New Roman" w:cs="Times New Roman"/>
          <w:bCs/>
        </w:rPr>
        <w:t>allocation of</w:t>
      </w:r>
      <w:r w:rsidR="00A9610D">
        <w:rPr>
          <w:rFonts w:ascii="Times New Roman" w:hAnsi="Times New Roman" w:cs="Times New Roman"/>
          <w:bCs/>
        </w:rPr>
        <w:t xml:space="preserve"> </w:t>
      </w:r>
      <w:r w:rsidR="002A130C">
        <w:rPr>
          <w:rFonts w:ascii="Times New Roman" w:hAnsi="Times New Roman" w:cs="Times New Roman"/>
          <w:bCs/>
        </w:rPr>
        <w:t>land</w:t>
      </w:r>
      <w:r w:rsidR="00A9610D">
        <w:rPr>
          <w:rFonts w:ascii="Times New Roman" w:hAnsi="Times New Roman" w:cs="Times New Roman"/>
          <w:bCs/>
        </w:rPr>
        <w:t xml:space="preserve"> to </w:t>
      </w:r>
      <w:r w:rsidR="002A130C">
        <w:rPr>
          <w:rFonts w:ascii="Times New Roman" w:hAnsi="Times New Roman" w:cs="Times New Roman"/>
          <w:bCs/>
        </w:rPr>
        <w:t>deliver</w:t>
      </w:r>
      <w:r w:rsidR="00A9610D">
        <w:rPr>
          <w:rFonts w:ascii="Times New Roman" w:hAnsi="Times New Roman" w:cs="Times New Roman"/>
          <w:bCs/>
        </w:rPr>
        <w:t xml:space="preserve"> just 37 homes over</w:t>
      </w:r>
      <w:r w:rsidR="002A130C">
        <w:rPr>
          <w:rFonts w:ascii="Times New Roman" w:hAnsi="Times New Roman" w:cs="Times New Roman"/>
          <w:bCs/>
        </w:rPr>
        <w:t xml:space="preserve"> th</w:t>
      </w:r>
      <w:r w:rsidR="00A9610D">
        <w:rPr>
          <w:rFonts w:ascii="Times New Roman" w:hAnsi="Times New Roman" w:cs="Times New Roman"/>
          <w:bCs/>
        </w:rPr>
        <w:t>e</w:t>
      </w:r>
      <w:r w:rsidR="002A130C">
        <w:rPr>
          <w:rFonts w:ascii="Times New Roman" w:hAnsi="Times New Roman" w:cs="Times New Roman"/>
          <w:bCs/>
        </w:rPr>
        <w:t xml:space="preserve"> </w:t>
      </w:r>
      <w:r w:rsidR="00A9610D">
        <w:rPr>
          <w:rFonts w:ascii="Times New Roman" w:hAnsi="Times New Roman" w:cs="Times New Roman"/>
          <w:bCs/>
        </w:rPr>
        <w:t>plan period</w:t>
      </w:r>
      <w:r w:rsidR="001B2A6F">
        <w:rPr>
          <w:rFonts w:ascii="Times New Roman" w:hAnsi="Times New Roman" w:cs="Times New Roman"/>
          <w:bCs/>
        </w:rPr>
        <w:t xml:space="preserve">. The level of services within this settlement is clearly sufficient to be able to accommodate significantly more development. </w:t>
      </w:r>
      <w:r w:rsidR="001B2A6F">
        <w:rPr>
          <w:rFonts w:ascii="Times New Roman" w:hAnsi="Times New Roman" w:cs="Times New Roman"/>
          <w:bCs/>
          <w:iCs/>
        </w:rPr>
        <w:t xml:space="preserve">In </w:t>
      </w:r>
      <w:r w:rsidR="007419E6">
        <w:rPr>
          <w:rFonts w:ascii="Times New Roman" w:hAnsi="Times New Roman" w:cs="Times New Roman"/>
          <w:bCs/>
          <w:iCs/>
        </w:rPr>
        <w:t>fact,</w:t>
      </w:r>
      <w:r w:rsidR="001B2A6F">
        <w:rPr>
          <w:rFonts w:ascii="Times New Roman" w:hAnsi="Times New Roman" w:cs="Times New Roman"/>
          <w:bCs/>
          <w:iCs/>
        </w:rPr>
        <w:t xml:space="preserve"> further development would </w:t>
      </w:r>
      <w:r w:rsidR="009D18AB">
        <w:rPr>
          <w:rFonts w:ascii="Times New Roman" w:hAnsi="Times New Roman" w:cs="Times New Roman"/>
          <w:bCs/>
          <w:iCs/>
        </w:rPr>
        <w:t>align</w:t>
      </w:r>
      <w:r w:rsidR="001B2A6F">
        <w:rPr>
          <w:rFonts w:ascii="Times New Roman" w:hAnsi="Times New Roman" w:cs="Times New Roman"/>
          <w:bCs/>
          <w:iCs/>
        </w:rPr>
        <w:t xml:space="preserve"> with the Council’s own spatial strategy which </w:t>
      </w:r>
      <w:r w:rsidR="009D18AB">
        <w:rPr>
          <w:rFonts w:ascii="Times New Roman" w:hAnsi="Times New Roman" w:cs="Times New Roman"/>
          <w:bCs/>
          <w:iCs/>
        </w:rPr>
        <w:t xml:space="preserve">seeks </w:t>
      </w:r>
      <w:r w:rsidR="00B0654D">
        <w:rPr>
          <w:rFonts w:ascii="Times New Roman" w:hAnsi="Times New Roman" w:cs="Times New Roman"/>
          <w:bCs/>
          <w:iCs/>
        </w:rPr>
        <w:t>to</w:t>
      </w:r>
      <w:r w:rsidR="009D18AB">
        <w:rPr>
          <w:rFonts w:ascii="Times New Roman" w:hAnsi="Times New Roman" w:cs="Times New Roman"/>
          <w:bCs/>
          <w:iCs/>
        </w:rPr>
        <w:t xml:space="preserve"> locate development sequentially in the largest developments starting with Sevenoaks. </w:t>
      </w:r>
      <w:r w:rsidR="00AE683F">
        <w:rPr>
          <w:rFonts w:ascii="Times New Roman" w:hAnsi="Times New Roman" w:cs="Times New Roman"/>
          <w:bCs/>
          <w:iCs/>
        </w:rPr>
        <w:t xml:space="preserve">While HBF does not advocate </w:t>
      </w:r>
      <w:r w:rsidR="00677CD2">
        <w:rPr>
          <w:rFonts w:ascii="Times New Roman" w:hAnsi="Times New Roman" w:cs="Times New Roman"/>
          <w:bCs/>
          <w:iCs/>
        </w:rPr>
        <w:t xml:space="preserve">development in any </w:t>
      </w:r>
      <w:r w:rsidR="008C5CB7">
        <w:rPr>
          <w:rFonts w:ascii="Times New Roman" w:hAnsi="Times New Roman" w:cs="Times New Roman"/>
          <w:bCs/>
          <w:iCs/>
        </w:rPr>
        <w:t>particular</w:t>
      </w:r>
      <w:r w:rsidR="00677CD2">
        <w:rPr>
          <w:rFonts w:ascii="Times New Roman" w:hAnsi="Times New Roman" w:cs="Times New Roman"/>
          <w:bCs/>
          <w:iCs/>
        </w:rPr>
        <w:t xml:space="preserve"> </w:t>
      </w:r>
      <w:r w:rsidR="008C5CB7">
        <w:rPr>
          <w:rFonts w:ascii="Times New Roman" w:hAnsi="Times New Roman" w:cs="Times New Roman"/>
          <w:bCs/>
          <w:iCs/>
        </w:rPr>
        <w:t>location</w:t>
      </w:r>
      <w:r w:rsidR="00677CD2">
        <w:rPr>
          <w:rFonts w:ascii="Times New Roman" w:hAnsi="Times New Roman" w:cs="Times New Roman"/>
          <w:bCs/>
          <w:iCs/>
        </w:rPr>
        <w:t xml:space="preserve"> </w:t>
      </w:r>
      <w:r w:rsidR="00A21495">
        <w:rPr>
          <w:rFonts w:ascii="Times New Roman" w:hAnsi="Times New Roman" w:cs="Times New Roman"/>
          <w:bCs/>
          <w:iCs/>
        </w:rPr>
        <w:t xml:space="preserve">the concerns with </w:t>
      </w:r>
      <w:r w:rsidR="00920A79">
        <w:rPr>
          <w:rFonts w:ascii="Times New Roman" w:hAnsi="Times New Roman" w:cs="Times New Roman"/>
          <w:bCs/>
          <w:iCs/>
        </w:rPr>
        <w:t>regard</w:t>
      </w:r>
      <w:r w:rsidR="00A21495">
        <w:rPr>
          <w:rFonts w:ascii="Times New Roman" w:hAnsi="Times New Roman" w:cs="Times New Roman"/>
          <w:bCs/>
          <w:iCs/>
        </w:rPr>
        <w:t xml:space="preserve"> </w:t>
      </w:r>
      <w:r w:rsidR="00920A79">
        <w:rPr>
          <w:rFonts w:ascii="Times New Roman" w:hAnsi="Times New Roman" w:cs="Times New Roman"/>
          <w:bCs/>
          <w:iCs/>
        </w:rPr>
        <w:t>to</w:t>
      </w:r>
      <w:r w:rsidR="00A21495">
        <w:rPr>
          <w:rFonts w:ascii="Times New Roman" w:hAnsi="Times New Roman" w:cs="Times New Roman"/>
          <w:bCs/>
          <w:iCs/>
        </w:rPr>
        <w:t xml:space="preserve"> Westerham is an ex</w:t>
      </w:r>
      <w:r w:rsidR="00920A79">
        <w:rPr>
          <w:rFonts w:ascii="Times New Roman" w:hAnsi="Times New Roman" w:cs="Times New Roman"/>
          <w:bCs/>
          <w:iCs/>
        </w:rPr>
        <w:t>ample of the Council failing to have regard to national policy when considering its spatial strategy. I</w:t>
      </w:r>
      <w:r w:rsidR="00AD65F9">
        <w:rPr>
          <w:rFonts w:ascii="Times New Roman" w:hAnsi="Times New Roman" w:cs="Times New Roman"/>
          <w:bCs/>
          <w:iCs/>
        </w:rPr>
        <w:t>n</w:t>
      </w:r>
      <w:r w:rsidR="00920A79">
        <w:rPr>
          <w:rFonts w:ascii="Times New Roman" w:hAnsi="Times New Roman" w:cs="Times New Roman"/>
          <w:bCs/>
          <w:iCs/>
        </w:rPr>
        <w:t xml:space="preserve"> </w:t>
      </w:r>
      <w:r w:rsidR="00AD65F9">
        <w:rPr>
          <w:rFonts w:ascii="Times New Roman" w:hAnsi="Times New Roman" w:cs="Times New Roman"/>
          <w:bCs/>
          <w:iCs/>
        </w:rPr>
        <w:t>restricting</w:t>
      </w:r>
      <w:r w:rsidR="00920A79">
        <w:rPr>
          <w:rFonts w:ascii="Times New Roman" w:hAnsi="Times New Roman" w:cs="Times New Roman"/>
          <w:bCs/>
          <w:iCs/>
        </w:rPr>
        <w:t xml:space="preserve"> </w:t>
      </w:r>
      <w:r w:rsidR="00AD65F9">
        <w:rPr>
          <w:rFonts w:ascii="Times New Roman" w:hAnsi="Times New Roman" w:cs="Times New Roman"/>
          <w:bCs/>
          <w:iCs/>
        </w:rPr>
        <w:t>development</w:t>
      </w:r>
      <w:r w:rsidR="00920A79">
        <w:rPr>
          <w:rFonts w:ascii="Times New Roman" w:hAnsi="Times New Roman" w:cs="Times New Roman"/>
          <w:bCs/>
          <w:iCs/>
        </w:rPr>
        <w:t xml:space="preserve"> at Westerham </w:t>
      </w:r>
      <w:r w:rsidR="00DE4B7D">
        <w:rPr>
          <w:rFonts w:ascii="Times New Roman" w:hAnsi="Times New Roman" w:cs="Times New Roman"/>
          <w:bCs/>
          <w:iCs/>
        </w:rPr>
        <w:t xml:space="preserve">the </w:t>
      </w:r>
      <w:r w:rsidR="00AD65F9">
        <w:rPr>
          <w:rFonts w:ascii="Times New Roman" w:hAnsi="Times New Roman" w:cs="Times New Roman"/>
          <w:bCs/>
          <w:iCs/>
        </w:rPr>
        <w:t>Council</w:t>
      </w:r>
      <w:r w:rsidR="00DE4B7D">
        <w:rPr>
          <w:rFonts w:ascii="Times New Roman" w:hAnsi="Times New Roman" w:cs="Times New Roman"/>
          <w:bCs/>
          <w:iCs/>
        </w:rPr>
        <w:t xml:space="preserve"> is not only paying little heed to its own</w:t>
      </w:r>
      <w:r w:rsidR="00F91E4B">
        <w:rPr>
          <w:rFonts w:ascii="Times New Roman" w:hAnsi="Times New Roman" w:cs="Times New Roman"/>
          <w:bCs/>
          <w:iCs/>
        </w:rPr>
        <w:t xml:space="preserve"> </w:t>
      </w:r>
      <w:r w:rsidR="00465938">
        <w:rPr>
          <w:rFonts w:ascii="Times New Roman" w:hAnsi="Times New Roman" w:cs="Times New Roman"/>
          <w:bCs/>
          <w:iCs/>
        </w:rPr>
        <w:t xml:space="preserve">settlement hierarchy </w:t>
      </w:r>
      <w:r w:rsidR="00DE4B7D">
        <w:rPr>
          <w:rFonts w:ascii="Times New Roman" w:hAnsi="Times New Roman" w:cs="Times New Roman"/>
          <w:bCs/>
          <w:iCs/>
        </w:rPr>
        <w:t xml:space="preserve">but </w:t>
      </w:r>
      <w:r w:rsidR="00AD65F9">
        <w:rPr>
          <w:rFonts w:ascii="Times New Roman" w:hAnsi="Times New Roman" w:cs="Times New Roman"/>
          <w:bCs/>
          <w:iCs/>
        </w:rPr>
        <w:t>has</w:t>
      </w:r>
      <w:r w:rsidR="00CB1EEF">
        <w:rPr>
          <w:rFonts w:ascii="Times New Roman" w:hAnsi="Times New Roman" w:cs="Times New Roman"/>
          <w:bCs/>
          <w:iCs/>
        </w:rPr>
        <w:t xml:space="preserve"> </w:t>
      </w:r>
      <w:r w:rsidR="00145609">
        <w:rPr>
          <w:rFonts w:ascii="Times New Roman" w:hAnsi="Times New Roman" w:cs="Times New Roman"/>
          <w:bCs/>
          <w:iCs/>
        </w:rPr>
        <w:t xml:space="preserve">not </w:t>
      </w:r>
      <w:r w:rsidR="001B1855">
        <w:rPr>
          <w:rFonts w:ascii="Times New Roman" w:hAnsi="Times New Roman" w:cs="Times New Roman"/>
          <w:bCs/>
          <w:iCs/>
        </w:rPr>
        <w:t>fully</w:t>
      </w:r>
      <w:r w:rsidR="00145609">
        <w:rPr>
          <w:rFonts w:ascii="Times New Roman" w:hAnsi="Times New Roman" w:cs="Times New Roman"/>
          <w:bCs/>
          <w:iCs/>
        </w:rPr>
        <w:t xml:space="preserve"> </w:t>
      </w:r>
      <w:r w:rsidR="004502E1">
        <w:rPr>
          <w:rFonts w:ascii="Times New Roman" w:hAnsi="Times New Roman" w:cs="Times New Roman"/>
          <w:bCs/>
          <w:iCs/>
        </w:rPr>
        <w:t>considered</w:t>
      </w:r>
      <w:r w:rsidR="00AD65F9">
        <w:rPr>
          <w:rFonts w:ascii="Times New Roman" w:hAnsi="Times New Roman" w:cs="Times New Roman"/>
          <w:bCs/>
          <w:iCs/>
        </w:rPr>
        <w:t>, as set out in paragraph 190 of the NPPF,</w:t>
      </w:r>
      <w:r w:rsidR="004502E1">
        <w:rPr>
          <w:rFonts w:ascii="Times New Roman" w:hAnsi="Times New Roman" w:cs="Times New Roman"/>
          <w:bCs/>
          <w:iCs/>
        </w:rPr>
        <w:t xml:space="preserve"> the </w:t>
      </w:r>
      <w:r w:rsidR="004502E1">
        <w:rPr>
          <w:rFonts w:ascii="Times New Roman" w:hAnsi="Times New Roman" w:cs="Times New Roman"/>
          <w:bCs/>
          <w:iCs/>
        </w:rPr>
        <w:lastRenderedPageBreak/>
        <w:t>need</w:t>
      </w:r>
      <w:r w:rsidR="00AD65F9">
        <w:rPr>
          <w:rFonts w:ascii="Times New Roman" w:hAnsi="Times New Roman" w:cs="Times New Roman"/>
          <w:bCs/>
          <w:iCs/>
        </w:rPr>
        <w:t xml:space="preserve"> </w:t>
      </w:r>
      <w:r w:rsidR="004502E1">
        <w:rPr>
          <w:rFonts w:ascii="Times New Roman" w:hAnsi="Times New Roman" w:cs="Times New Roman"/>
          <w:bCs/>
          <w:iCs/>
        </w:rPr>
        <w:t xml:space="preserve">for development </w:t>
      </w:r>
      <w:r w:rsidR="004A4EA6">
        <w:rPr>
          <w:rFonts w:ascii="Times New Roman" w:hAnsi="Times New Roman" w:cs="Times New Roman"/>
          <w:bCs/>
          <w:iCs/>
        </w:rPr>
        <w:t xml:space="preserve">in those </w:t>
      </w:r>
      <w:r w:rsidR="00AF4443">
        <w:rPr>
          <w:rFonts w:ascii="Times New Roman" w:hAnsi="Times New Roman" w:cs="Times New Roman"/>
          <w:bCs/>
          <w:iCs/>
        </w:rPr>
        <w:t>communities</w:t>
      </w:r>
      <w:r w:rsidR="004A4EA6">
        <w:rPr>
          <w:rFonts w:ascii="Times New Roman" w:hAnsi="Times New Roman" w:cs="Times New Roman"/>
          <w:bCs/>
          <w:iCs/>
        </w:rPr>
        <w:t xml:space="preserve"> con</w:t>
      </w:r>
      <w:r w:rsidR="00AD65F9">
        <w:rPr>
          <w:rFonts w:ascii="Times New Roman" w:hAnsi="Times New Roman" w:cs="Times New Roman"/>
          <w:bCs/>
          <w:iCs/>
        </w:rPr>
        <w:t>s</w:t>
      </w:r>
      <w:r w:rsidR="004A4EA6">
        <w:rPr>
          <w:rFonts w:ascii="Times New Roman" w:hAnsi="Times New Roman" w:cs="Times New Roman"/>
          <w:bCs/>
          <w:iCs/>
        </w:rPr>
        <w:t>t</w:t>
      </w:r>
      <w:r w:rsidR="00AD65F9">
        <w:rPr>
          <w:rFonts w:ascii="Times New Roman" w:hAnsi="Times New Roman" w:cs="Times New Roman"/>
          <w:bCs/>
          <w:iCs/>
        </w:rPr>
        <w:t>r</w:t>
      </w:r>
      <w:r w:rsidR="004A4EA6">
        <w:rPr>
          <w:rFonts w:ascii="Times New Roman" w:hAnsi="Times New Roman" w:cs="Times New Roman"/>
          <w:bCs/>
          <w:iCs/>
        </w:rPr>
        <w:t xml:space="preserve">ained by the National Landscape, </w:t>
      </w:r>
      <w:r w:rsidR="00AF4443">
        <w:rPr>
          <w:rFonts w:ascii="Times New Roman" w:hAnsi="Times New Roman" w:cs="Times New Roman"/>
          <w:bCs/>
          <w:iCs/>
        </w:rPr>
        <w:t>what</w:t>
      </w:r>
      <w:r w:rsidR="004A4EA6">
        <w:rPr>
          <w:rFonts w:ascii="Times New Roman" w:hAnsi="Times New Roman" w:cs="Times New Roman"/>
          <w:bCs/>
          <w:iCs/>
        </w:rPr>
        <w:t xml:space="preserve"> the </w:t>
      </w:r>
      <w:r w:rsidR="00AF4443">
        <w:rPr>
          <w:rFonts w:ascii="Times New Roman" w:hAnsi="Times New Roman" w:cs="Times New Roman"/>
          <w:bCs/>
          <w:iCs/>
        </w:rPr>
        <w:t>detrimental</w:t>
      </w:r>
      <w:r w:rsidR="004A4EA6">
        <w:rPr>
          <w:rFonts w:ascii="Times New Roman" w:hAnsi="Times New Roman" w:cs="Times New Roman"/>
          <w:bCs/>
          <w:iCs/>
        </w:rPr>
        <w:t xml:space="preserve"> impacts may be</w:t>
      </w:r>
      <w:r w:rsidR="00AD65F9">
        <w:rPr>
          <w:rFonts w:ascii="Times New Roman" w:hAnsi="Times New Roman" w:cs="Times New Roman"/>
          <w:bCs/>
          <w:iCs/>
        </w:rPr>
        <w:t xml:space="preserve"> from </w:t>
      </w:r>
      <w:r w:rsidR="00786975">
        <w:rPr>
          <w:rFonts w:ascii="Times New Roman" w:hAnsi="Times New Roman" w:cs="Times New Roman"/>
          <w:bCs/>
          <w:iCs/>
        </w:rPr>
        <w:t>those site submitted for allocation</w:t>
      </w:r>
      <w:r w:rsidR="004A4EA6">
        <w:rPr>
          <w:rFonts w:ascii="Times New Roman" w:hAnsi="Times New Roman" w:cs="Times New Roman"/>
          <w:bCs/>
          <w:iCs/>
        </w:rPr>
        <w:t xml:space="preserve"> and whether those impacts </w:t>
      </w:r>
      <w:r w:rsidR="00AF4443">
        <w:rPr>
          <w:rFonts w:ascii="Times New Roman" w:hAnsi="Times New Roman" w:cs="Times New Roman"/>
          <w:bCs/>
          <w:iCs/>
        </w:rPr>
        <w:t xml:space="preserve">could be sufficiently moderated to support allocations. </w:t>
      </w:r>
      <w:r w:rsidR="00145609">
        <w:rPr>
          <w:rFonts w:ascii="Times New Roman" w:hAnsi="Times New Roman" w:cs="Times New Roman"/>
          <w:bCs/>
          <w:iCs/>
        </w:rPr>
        <w:t xml:space="preserve"> </w:t>
      </w:r>
      <w:r w:rsidR="005B3338">
        <w:rPr>
          <w:rFonts w:ascii="Times New Roman" w:hAnsi="Times New Roman" w:cs="Times New Roman"/>
          <w:bCs/>
          <w:iCs/>
        </w:rPr>
        <w:t xml:space="preserve">These are key tests the Council must take into account moving forward </w:t>
      </w:r>
      <w:r w:rsidR="00714439">
        <w:rPr>
          <w:rFonts w:ascii="Times New Roman" w:hAnsi="Times New Roman" w:cs="Times New Roman"/>
          <w:bCs/>
          <w:iCs/>
        </w:rPr>
        <w:t xml:space="preserve">especially given the clear shortfall over what HBFG </w:t>
      </w:r>
      <w:proofErr w:type="gramStart"/>
      <w:r w:rsidR="00714439">
        <w:rPr>
          <w:rFonts w:ascii="Times New Roman" w:hAnsi="Times New Roman" w:cs="Times New Roman"/>
          <w:bCs/>
          <w:iCs/>
        </w:rPr>
        <w:t>consider</w:t>
      </w:r>
      <w:proofErr w:type="gramEnd"/>
      <w:r w:rsidR="00714439">
        <w:rPr>
          <w:rFonts w:ascii="Times New Roman" w:hAnsi="Times New Roman" w:cs="Times New Roman"/>
          <w:bCs/>
          <w:iCs/>
        </w:rPr>
        <w:t xml:space="preserve"> to be a sound plan period.</w:t>
      </w:r>
    </w:p>
    <w:p w14:paraId="68FA178B" w14:textId="2F90B581" w:rsidR="009B6A75" w:rsidRDefault="009B6A75" w:rsidP="009B6A75">
      <w:pPr>
        <w:widowControl/>
        <w:suppressAutoHyphens w:val="0"/>
        <w:autoSpaceDE/>
        <w:spacing w:after="240" w:line="360" w:lineRule="auto"/>
        <w:jc w:val="both"/>
        <w:rPr>
          <w:rFonts w:ascii="Times New Roman" w:hAnsi="Times New Roman" w:cs="Times New Roman"/>
          <w:b/>
        </w:rPr>
      </w:pPr>
      <w:r w:rsidRPr="009B6A75">
        <w:rPr>
          <w:rFonts w:ascii="Times New Roman" w:hAnsi="Times New Roman" w:cs="Times New Roman"/>
          <w:b/>
        </w:rPr>
        <w:t>H1</w:t>
      </w:r>
      <w:r w:rsidR="00880E50">
        <w:rPr>
          <w:rFonts w:ascii="Times New Roman" w:hAnsi="Times New Roman" w:cs="Times New Roman"/>
          <w:b/>
        </w:rPr>
        <w:t xml:space="preserve"> - </w:t>
      </w:r>
      <w:r w:rsidRPr="009B6A75">
        <w:rPr>
          <w:rFonts w:ascii="Times New Roman" w:hAnsi="Times New Roman" w:cs="Times New Roman"/>
          <w:b/>
        </w:rPr>
        <w:t xml:space="preserve">Housing mix. </w:t>
      </w:r>
    </w:p>
    <w:p w14:paraId="7C5B3C8F" w14:textId="649EB551" w:rsidR="009B6A75" w:rsidRPr="009B6A75" w:rsidRDefault="00B507EF" w:rsidP="00325FE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The policy does not set out a </w:t>
      </w:r>
      <w:r w:rsidR="000B286D">
        <w:rPr>
          <w:rFonts w:ascii="Times New Roman" w:hAnsi="Times New Roman" w:cs="Times New Roman"/>
          <w:bCs/>
        </w:rPr>
        <w:t>specific</w:t>
      </w:r>
      <w:r>
        <w:rPr>
          <w:rFonts w:ascii="Times New Roman" w:hAnsi="Times New Roman" w:cs="Times New Roman"/>
          <w:bCs/>
        </w:rPr>
        <w:t xml:space="preserve"> mix </w:t>
      </w:r>
      <w:r w:rsidR="000B286D">
        <w:rPr>
          <w:rFonts w:ascii="Times New Roman" w:hAnsi="Times New Roman" w:cs="Times New Roman"/>
          <w:bCs/>
        </w:rPr>
        <w:t>of homes</w:t>
      </w:r>
      <w:r>
        <w:rPr>
          <w:rFonts w:ascii="Times New Roman" w:hAnsi="Times New Roman" w:cs="Times New Roman"/>
          <w:bCs/>
        </w:rPr>
        <w:t xml:space="preserve"> that development should </w:t>
      </w:r>
      <w:r w:rsidR="000B286D">
        <w:rPr>
          <w:rFonts w:ascii="Times New Roman" w:hAnsi="Times New Roman" w:cs="Times New Roman"/>
          <w:bCs/>
        </w:rPr>
        <w:t>deliver</w:t>
      </w:r>
      <w:r>
        <w:rPr>
          <w:rFonts w:ascii="Times New Roman" w:hAnsi="Times New Roman" w:cs="Times New Roman"/>
          <w:bCs/>
        </w:rPr>
        <w:t xml:space="preserve"> and instead </w:t>
      </w:r>
      <w:r w:rsidR="000B286D">
        <w:rPr>
          <w:rFonts w:ascii="Times New Roman" w:hAnsi="Times New Roman" w:cs="Times New Roman"/>
          <w:bCs/>
        </w:rPr>
        <w:t>requires</w:t>
      </w:r>
      <w:r>
        <w:rPr>
          <w:rFonts w:ascii="Times New Roman" w:hAnsi="Times New Roman" w:cs="Times New Roman"/>
          <w:bCs/>
        </w:rPr>
        <w:t xml:space="preserve"> proposals to be informed by the </w:t>
      </w:r>
      <w:r w:rsidR="000B286D">
        <w:rPr>
          <w:rFonts w:ascii="Times New Roman" w:hAnsi="Times New Roman" w:cs="Times New Roman"/>
          <w:bCs/>
        </w:rPr>
        <w:t>dwelling mix profiles set out in the latest housing needs assessments</w:t>
      </w:r>
      <w:r w:rsidR="0079626F">
        <w:rPr>
          <w:rFonts w:ascii="Times New Roman" w:hAnsi="Times New Roman" w:cs="Times New Roman"/>
          <w:bCs/>
        </w:rPr>
        <w:t xml:space="preserve">, unless it can </w:t>
      </w:r>
      <w:r w:rsidR="00CF78AE">
        <w:rPr>
          <w:rFonts w:ascii="Times New Roman" w:hAnsi="Times New Roman" w:cs="Times New Roman"/>
          <w:bCs/>
        </w:rPr>
        <w:t>be demonstrated</w:t>
      </w:r>
      <w:r w:rsidR="0079626F">
        <w:rPr>
          <w:rFonts w:ascii="Times New Roman" w:hAnsi="Times New Roman" w:cs="Times New Roman"/>
          <w:bCs/>
        </w:rPr>
        <w:t xml:space="preserve"> that an alternative mix meets </w:t>
      </w:r>
      <w:r w:rsidR="00CF78AE">
        <w:rPr>
          <w:rFonts w:ascii="Times New Roman" w:hAnsi="Times New Roman" w:cs="Times New Roman"/>
          <w:bCs/>
        </w:rPr>
        <w:t>identified</w:t>
      </w:r>
      <w:r w:rsidR="0079626F">
        <w:rPr>
          <w:rFonts w:ascii="Times New Roman" w:hAnsi="Times New Roman" w:cs="Times New Roman"/>
          <w:bCs/>
        </w:rPr>
        <w:t xml:space="preserve"> needs. </w:t>
      </w:r>
      <w:r w:rsidR="00CF78AE">
        <w:rPr>
          <w:rFonts w:ascii="Times New Roman" w:hAnsi="Times New Roman" w:cs="Times New Roman"/>
          <w:bCs/>
        </w:rPr>
        <w:t xml:space="preserve">While this flexibility is welcomed </w:t>
      </w:r>
      <w:r w:rsidR="00010EE7">
        <w:rPr>
          <w:rFonts w:ascii="Times New Roman" w:hAnsi="Times New Roman" w:cs="Times New Roman"/>
          <w:bCs/>
        </w:rPr>
        <w:t>HBF would suggest that th</w:t>
      </w:r>
      <w:r w:rsidR="00683BD2">
        <w:rPr>
          <w:rFonts w:ascii="Times New Roman" w:hAnsi="Times New Roman" w:cs="Times New Roman"/>
          <w:bCs/>
        </w:rPr>
        <w:t>is remains overly restrictive</w:t>
      </w:r>
      <w:r w:rsidR="001D3D65">
        <w:rPr>
          <w:rFonts w:ascii="Times New Roman" w:hAnsi="Times New Roman" w:cs="Times New Roman"/>
          <w:bCs/>
        </w:rPr>
        <w:t xml:space="preserve"> with regards to smaller sites. </w:t>
      </w:r>
      <w:r w:rsidR="00B77129">
        <w:rPr>
          <w:rFonts w:ascii="Times New Roman" w:hAnsi="Times New Roman" w:cs="Times New Roman"/>
          <w:bCs/>
        </w:rPr>
        <w:t>HBF therefore</w:t>
      </w:r>
      <w:r w:rsidR="00052659">
        <w:rPr>
          <w:rFonts w:ascii="Times New Roman" w:hAnsi="Times New Roman" w:cs="Times New Roman"/>
          <w:bCs/>
          <w:lang w:val="en-GB"/>
        </w:rPr>
        <w:t xml:space="preserve"> </w:t>
      </w:r>
      <w:r w:rsidR="00B10C63" w:rsidRPr="00B10C63">
        <w:rPr>
          <w:rFonts w:ascii="Times New Roman" w:hAnsi="Times New Roman" w:cs="Times New Roman"/>
          <w:bCs/>
          <w:lang w:val="en-GB"/>
        </w:rPr>
        <w:t>recommend that smaller sites of less than one hectare should not have the mix dictated by policy. Such sites, which are more likely to be developed by smaller house builders, should not be restricted in terms of the mix as long as this is in keeping with agreed densities. This enables these sites to deliver homes that meet the more specific needs of that location rather than broader needs of the Borough</w:t>
      </w:r>
      <w:r w:rsidR="009A24F1">
        <w:rPr>
          <w:rFonts w:ascii="Times New Roman" w:hAnsi="Times New Roman" w:cs="Times New Roman"/>
          <w:bCs/>
          <w:lang w:val="en-GB"/>
        </w:rPr>
        <w:t xml:space="preserve"> or sub</w:t>
      </w:r>
      <w:r w:rsidR="005A335B">
        <w:rPr>
          <w:rFonts w:ascii="Times New Roman" w:hAnsi="Times New Roman" w:cs="Times New Roman"/>
          <w:bCs/>
          <w:lang w:val="en-GB"/>
        </w:rPr>
        <w:t>-</w:t>
      </w:r>
      <w:r w:rsidR="009A24F1">
        <w:rPr>
          <w:rFonts w:ascii="Times New Roman" w:hAnsi="Times New Roman" w:cs="Times New Roman"/>
          <w:bCs/>
          <w:lang w:val="en-GB"/>
        </w:rPr>
        <w:t>area within borough.</w:t>
      </w:r>
    </w:p>
    <w:p w14:paraId="532F3774" w14:textId="46BD01A6" w:rsidR="009B6A75" w:rsidRDefault="005A335B" w:rsidP="00325FE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With regard to accessible homes the policy requires all homes </w:t>
      </w:r>
      <w:r w:rsidR="00C72621">
        <w:rPr>
          <w:rFonts w:ascii="Times New Roman" w:hAnsi="Times New Roman" w:cs="Times New Roman"/>
          <w:bCs/>
        </w:rPr>
        <w:t>to</w:t>
      </w:r>
      <w:r>
        <w:rPr>
          <w:rFonts w:ascii="Times New Roman" w:hAnsi="Times New Roman" w:cs="Times New Roman"/>
          <w:bCs/>
        </w:rPr>
        <w:t xml:space="preserve"> be built to M4(2) and </w:t>
      </w:r>
      <w:r w:rsidR="009B6A75" w:rsidRPr="009B6A75">
        <w:rPr>
          <w:rFonts w:ascii="Times New Roman" w:hAnsi="Times New Roman" w:cs="Times New Roman"/>
          <w:bCs/>
        </w:rPr>
        <w:t>5%</w:t>
      </w:r>
      <w:r w:rsidR="00C72621">
        <w:rPr>
          <w:rFonts w:ascii="Times New Roman" w:hAnsi="Times New Roman" w:cs="Times New Roman"/>
          <w:bCs/>
        </w:rPr>
        <w:t xml:space="preserve"> of all homes on </w:t>
      </w:r>
      <w:r w:rsidR="00BC55F0">
        <w:rPr>
          <w:rFonts w:ascii="Times New Roman" w:hAnsi="Times New Roman" w:cs="Times New Roman"/>
          <w:bCs/>
        </w:rPr>
        <w:t>sites of 20 or more units</w:t>
      </w:r>
      <w:r w:rsidR="009B6A75" w:rsidRPr="009B6A75">
        <w:rPr>
          <w:rFonts w:ascii="Times New Roman" w:hAnsi="Times New Roman" w:cs="Times New Roman"/>
          <w:bCs/>
        </w:rPr>
        <w:t xml:space="preserve"> </w:t>
      </w:r>
      <w:r w:rsidR="00C72621">
        <w:rPr>
          <w:rFonts w:ascii="Times New Roman" w:hAnsi="Times New Roman" w:cs="Times New Roman"/>
          <w:bCs/>
        </w:rPr>
        <w:t>to</w:t>
      </w:r>
      <w:r w:rsidR="00BC55F0">
        <w:rPr>
          <w:rFonts w:ascii="Times New Roman" w:hAnsi="Times New Roman" w:cs="Times New Roman"/>
          <w:bCs/>
        </w:rPr>
        <w:t xml:space="preserve"> be</w:t>
      </w:r>
      <w:r w:rsidR="00C72621">
        <w:rPr>
          <w:rFonts w:ascii="Times New Roman" w:hAnsi="Times New Roman" w:cs="Times New Roman"/>
          <w:bCs/>
        </w:rPr>
        <w:t xml:space="preserve"> </w:t>
      </w:r>
      <w:r w:rsidR="009B6A75" w:rsidRPr="009B6A75">
        <w:rPr>
          <w:rFonts w:ascii="Times New Roman" w:hAnsi="Times New Roman" w:cs="Times New Roman"/>
          <w:bCs/>
        </w:rPr>
        <w:t>M4(3)b</w:t>
      </w:r>
      <w:r w:rsidR="00BC55F0">
        <w:rPr>
          <w:rFonts w:ascii="Times New Roman" w:hAnsi="Times New Roman" w:cs="Times New Roman"/>
          <w:bCs/>
        </w:rPr>
        <w:t xml:space="preserve"> with all these being </w:t>
      </w:r>
      <w:r w:rsidR="00BF47E6">
        <w:rPr>
          <w:rFonts w:ascii="Times New Roman" w:hAnsi="Times New Roman" w:cs="Times New Roman"/>
          <w:bCs/>
        </w:rPr>
        <w:t xml:space="preserve">delivered as socially rented accommodation. </w:t>
      </w:r>
      <w:r w:rsidR="00C22D97">
        <w:rPr>
          <w:rFonts w:ascii="Times New Roman" w:hAnsi="Times New Roman" w:cs="Times New Roman"/>
          <w:bCs/>
        </w:rPr>
        <w:t xml:space="preserve">While not </w:t>
      </w:r>
      <w:r w:rsidR="004637EE">
        <w:rPr>
          <w:rFonts w:ascii="Times New Roman" w:hAnsi="Times New Roman" w:cs="Times New Roman"/>
          <w:bCs/>
        </w:rPr>
        <w:t>objecting</w:t>
      </w:r>
      <w:r w:rsidR="00C22D97">
        <w:rPr>
          <w:rFonts w:ascii="Times New Roman" w:hAnsi="Times New Roman" w:cs="Times New Roman"/>
          <w:bCs/>
        </w:rPr>
        <w:t xml:space="preserve"> to the need for some homes built to part M4(3)</w:t>
      </w:r>
      <w:r w:rsidR="00AC6F21">
        <w:rPr>
          <w:rFonts w:ascii="Times New Roman" w:hAnsi="Times New Roman" w:cs="Times New Roman"/>
          <w:bCs/>
        </w:rPr>
        <w:t>, the</w:t>
      </w:r>
      <w:r w:rsidR="00C22D97">
        <w:rPr>
          <w:rFonts w:ascii="Times New Roman" w:hAnsi="Times New Roman" w:cs="Times New Roman"/>
          <w:bCs/>
        </w:rPr>
        <w:t xml:space="preserve"> evidence presented in</w:t>
      </w:r>
      <w:r w:rsidR="0095592A">
        <w:rPr>
          <w:rFonts w:ascii="Times New Roman" w:hAnsi="Times New Roman" w:cs="Times New Roman"/>
          <w:bCs/>
        </w:rPr>
        <w:t xml:space="preserve"> Table 6.16 of</w:t>
      </w:r>
      <w:r w:rsidR="00C22D97">
        <w:rPr>
          <w:rFonts w:ascii="Times New Roman" w:hAnsi="Times New Roman" w:cs="Times New Roman"/>
          <w:bCs/>
        </w:rPr>
        <w:t xml:space="preserve"> the Targeted Review of Housing </w:t>
      </w:r>
      <w:r w:rsidR="0060561F">
        <w:rPr>
          <w:rFonts w:ascii="Times New Roman" w:hAnsi="Times New Roman" w:cs="Times New Roman"/>
          <w:bCs/>
        </w:rPr>
        <w:t xml:space="preserve">Needs </w:t>
      </w:r>
      <w:r w:rsidR="001C5D85">
        <w:rPr>
          <w:rFonts w:ascii="Times New Roman" w:hAnsi="Times New Roman" w:cs="Times New Roman"/>
          <w:bCs/>
        </w:rPr>
        <w:t xml:space="preserve">suggests </w:t>
      </w:r>
      <w:r w:rsidR="00F73D53">
        <w:rPr>
          <w:rFonts w:ascii="Times New Roman" w:hAnsi="Times New Roman" w:cs="Times New Roman"/>
          <w:bCs/>
        </w:rPr>
        <w:t xml:space="preserve">that needs might be significantly lower. </w:t>
      </w:r>
      <w:r w:rsidR="00AC6F21">
        <w:rPr>
          <w:rFonts w:ascii="Times New Roman" w:hAnsi="Times New Roman" w:cs="Times New Roman"/>
          <w:bCs/>
        </w:rPr>
        <w:t>If the national need for those who use wheelchair’s all the time, as opposed to those that only use them outside of the home</w:t>
      </w:r>
      <w:r w:rsidR="001C1FB0">
        <w:rPr>
          <w:rFonts w:ascii="Times New Roman" w:hAnsi="Times New Roman" w:cs="Times New Roman"/>
          <w:bCs/>
        </w:rPr>
        <w:t xml:space="preserve">, is applied </w:t>
      </w:r>
      <w:r w:rsidR="00AF5FF3">
        <w:rPr>
          <w:rFonts w:ascii="Times New Roman" w:hAnsi="Times New Roman" w:cs="Times New Roman"/>
          <w:bCs/>
        </w:rPr>
        <w:t xml:space="preserve">in Sevenoaks just 0.6% of households would </w:t>
      </w:r>
      <w:r w:rsidR="00E77E5E">
        <w:rPr>
          <w:rFonts w:ascii="Times New Roman" w:hAnsi="Times New Roman" w:cs="Times New Roman"/>
          <w:bCs/>
        </w:rPr>
        <w:t>n</w:t>
      </w:r>
      <w:r w:rsidR="00AF5FF3">
        <w:rPr>
          <w:rFonts w:ascii="Times New Roman" w:hAnsi="Times New Roman" w:cs="Times New Roman"/>
          <w:bCs/>
        </w:rPr>
        <w:t>eed a</w:t>
      </w:r>
      <w:r w:rsidR="00E77E5E">
        <w:rPr>
          <w:rFonts w:ascii="Times New Roman" w:hAnsi="Times New Roman" w:cs="Times New Roman"/>
          <w:bCs/>
        </w:rPr>
        <w:t xml:space="preserve"> fully </w:t>
      </w:r>
      <w:r w:rsidR="00AF5FF3">
        <w:rPr>
          <w:rFonts w:ascii="Times New Roman" w:hAnsi="Times New Roman" w:cs="Times New Roman"/>
          <w:bCs/>
        </w:rPr>
        <w:t xml:space="preserve">wheelchair accessible home </w:t>
      </w:r>
      <w:r w:rsidR="00E77E5E">
        <w:rPr>
          <w:rFonts w:ascii="Times New Roman" w:hAnsi="Times New Roman" w:cs="Times New Roman"/>
          <w:bCs/>
        </w:rPr>
        <w:t>–</w:t>
      </w:r>
      <w:r w:rsidR="00AF5FF3">
        <w:rPr>
          <w:rFonts w:ascii="Times New Roman" w:hAnsi="Times New Roman" w:cs="Times New Roman"/>
          <w:bCs/>
        </w:rPr>
        <w:t xml:space="preserve"> </w:t>
      </w:r>
      <w:r w:rsidR="00E77E5E">
        <w:rPr>
          <w:rFonts w:ascii="Times New Roman" w:hAnsi="Times New Roman" w:cs="Times New Roman"/>
          <w:bCs/>
        </w:rPr>
        <w:t xml:space="preserve">just 7 new dwellings a year. </w:t>
      </w:r>
      <w:r w:rsidR="007A3023">
        <w:rPr>
          <w:rFonts w:ascii="Times New Roman" w:hAnsi="Times New Roman" w:cs="Times New Roman"/>
          <w:bCs/>
        </w:rPr>
        <w:t xml:space="preserve">Even if those who use a </w:t>
      </w:r>
      <w:r w:rsidR="001B2650">
        <w:rPr>
          <w:rFonts w:ascii="Times New Roman" w:hAnsi="Times New Roman" w:cs="Times New Roman"/>
          <w:bCs/>
        </w:rPr>
        <w:t>wheelchair</w:t>
      </w:r>
      <w:r w:rsidR="007A3023">
        <w:rPr>
          <w:rFonts w:ascii="Times New Roman" w:hAnsi="Times New Roman" w:cs="Times New Roman"/>
          <w:bCs/>
        </w:rPr>
        <w:t xml:space="preserve"> outside of the home </w:t>
      </w:r>
      <w:proofErr w:type="gramStart"/>
      <w:r w:rsidR="007A3023">
        <w:rPr>
          <w:rFonts w:ascii="Times New Roman" w:hAnsi="Times New Roman" w:cs="Times New Roman"/>
          <w:bCs/>
        </w:rPr>
        <w:t>is</w:t>
      </w:r>
      <w:proofErr w:type="gramEnd"/>
      <w:r w:rsidR="007A3023">
        <w:rPr>
          <w:rFonts w:ascii="Times New Roman" w:hAnsi="Times New Roman" w:cs="Times New Roman"/>
          <w:bCs/>
        </w:rPr>
        <w:t xml:space="preserve"> </w:t>
      </w:r>
      <w:r w:rsidR="00764948">
        <w:rPr>
          <w:rFonts w:ascii="Times New Roman" w:hAnsi="Times New Roman" w:cs="Times New Roman"/>
          <w:bCs/>
        </w:rPr>
        <w:t>included,</w:t>
      </w:r>
      <w:r w:rsidR="007A3023">
        <w:rPr>
          <w:rFonts w:ascii="Times New Roman" w:hAnsi="Times New Roman" w:cs="Times New Roman"/>
          <w:bCs/>
        </w:rPr>
        <w:t xml:space="preserve"> that increases to 3</w:t>
      </w:r>
      <w:r w:rsidR="001B2650">
        <w:rPr>
          <w:rFonts w:ascii="Times New Roman" w:hAnsi="Times New Roman" w:cs="Times New Roman"/>
          <w:bCs/>
        </w:rPr>
        <w:t>%</w:t>
      </w:r>
      <w:r w:rsidR="007A3023">
        <w:rPr>
          <w:rFonts w:ascii="Times New Roman" w:hAnsi="Times New Roman" w:cs="Times New Roman"/>
          <w:bCs/>
        </w:rPr>
        <w:t xml:space="preserve"> </w:t>
      </w:r>
      <w:r w:rsidR="001B2650">
        <w:rPr>
          <w:rFonts w:ascii="Times New Roman" w:hAnsi="Times New Roman" w:cs="Times New Roman"/>
          <w:bCs/>
        </w:rPr>
        <w:t xml:space="preserve">in the is of local and national figures. </w:t>
      </w:r>
      <w:r w:rsidR="00992FD6">
        <w:rPr>
          <w:rFonts w:ascii="Times New Roman" w:hAnsi="Times New Roman" w:cs="Times New Roman"/>
          <w:bCs/>
        </w:rPr>
        <w:t>However,</w:t>
      </w:r>
      <w:r w:rsidR="001B2650">
        <w:rPr>
          <w:rFonts w:ascii="Times New Roman" w:hAnsi="Times New Roman" w:cs="Times New Roman"/>
          <w:bCs/>
        </w:rPr>
        <w:t xml:space="preserve"> the </w:t>
      </w:r>
      <w:r w:rsidR="00764948">
        <w:rPr>
          <w:rFonts w:ascii="Times New Roman" w:hAnsi="Times New Roman" w:cs="Times New Roman"/>
          <w:bCs/>
        </w:rPr>
        <w:t>Council’s</w:t>
      </w:r>
      <w:r w:rsidR="001B2650">
        <w:rPr>
          <w:rFonts w:ascii="Times New Roman" w:hAnsi="Times New Roman" w:cs="Times New Roman"/>
          <w:bCs/>
        </w:rPr>
        <w:t xml:space="preserve"> evidence </w:t>
      </w:r>
      <w:r w:rsidR="00507A0C">
        <w:rPr>
          <w:rFonts w:ascii="Times New Roman" w:hAnsi="Times New Roman" w:cs="Times New Roman"/>
          <w:bCs/>
        </w:rPr>
        <w:t xml:space="preserve">then </w:t>
      </w:r>
      <w:r w:rsidR="00764948">
        <w:rPr>
          <w:rFonts w:ascii="Times New Roman" w:hAnsi="Times New Roman" w:cs="Times New Roman"/>
          <w:bCs/>
        </w:rPr>
        <w:t>includes</w:t>
      </w:r>
      <w:r w:rsidR="00507A0C">
        <w:rPr>
          <w:rFonts w:ascii="Times New Roman" w:hAnsi="Times New Roman" w:cs="Times New Roman"/>
          <w:bCs/>
        </w:rPr>
        <w:t xml:space="preserve"> the Aspire report which provides policy </w:t>
      </w:r>
      <w:r w:rsidR="00992FD6">
        <w:rPr>
          <w:rFonts w:ascii="Times New Roman" w:hAnsi="Times New Roman" w:cs="Times New Roman"/>
          <w:bCs/>
        </w:rPr>
        <w:t>recommendation</w:t>
      </w:r>
      <w:r w:rsidR="00507A0C">
        <w:rPr>
          <w:rFonts w:ascii="Times New Roman" w:hAnsi="Times New Roman" w:cs="Times New Roman"/>
          <w:bCs/>
        </w:rPr>
        <w:t xml:space="preserve"> that 10% of homes should </w:t>
      </w:r>
      <w:r w:rsidR="00992FD6">
        <w:rPr>
          <w:rFonts w:ascii="Times New Roman" w:hAnsi="Times New Roman" w:cs="Times New Roman"/>
          <w:bCs/>
        </w:rPr>
        <w:t xml:space="preserve">be accessible. It is not clear why this national </w:t>
      </w:r>
      <w:r w:rsidR="00C83A31">
        <w:rPr>
          <w:rFonts w:ascii="Times New Roman" w:hAnsi="Times New Roman" w:cs="Times New Roman"/>
          <w:bCs/>
        </w:rPr>
        <w:t>policy</w:t>
      </w:r>
      <w:r w:rsidR="00992FD6">
        <w:rPr>
          <w:rFonts w:ascii="Times New Roman" w:hAnsi="Times New Roman" w:cs="Times New Roman"/>
          <w:bCs/>
        </w:rPr>
        <w:t xml:space="preserve"> aspiration is included and </w:t>
      </w:r>
      <w:r w:rsidR="00C83A31">
        <w:rPr>
          <w:rFonts w:ascii="Times New Roman" w:hAnsi="Times New Roman" w:cs="Times New Roman"/>
          <w:bCs/>
        </w:rPr>
        <w:t>whether there is any local evidence to support its inclusion</w:t>
      </w:r>
      <w:r w:rsidR="00764948">
        <w:rPr>
          <w:rFonts w:ascii="Times New Roman" w:hAnsi="Times New Roman" w:cs="Times New Roman"/>
          <w:bCs/>
        </w:rPr>
        <w:t xml:space="preserve"> in the Council’s assessment needs.</w:t>
      </w:r>
      <w:r w:rsidR="00C83A31">
        <w:rPr>
          <w:rFonts w:ascii="Times New Roman" w:hAnsi="Times New Roman" w:cs="Times New Roman"/>
          <w:bCs/>
        </w:rPr>
        <w:t xml:space="preserve"> </w:t>
      </w:r>
      <w:r w:rsidR="00445008">
        <w:rPr>
          <w:rFonts w:ascii="Times New Roman" w:hAnsi="Times New Roman" w:cs="Times New Roman"/>
          <w:bCs/>
        </w:rPr>
        <w:t xml:space="preserve">The evidence at present would suggest that a 3% requirement might be justified on the basis of need but no higher. </w:t>
      </w:r>
    </w:p>
    <w:p w14:paraId="1F64D032" w14:textId="191805DC" w:rsidR="00077020" w:rsidRDefault="00077020" w:rsidP="00325FE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would also recommend that some </w:t>
      </w:r>
      <w:r w:rsidR="000C2DA5">
        <w:rPr>
          <w:rFonts w:ascii="Times New Roman" w:hAnsi="Times New Roman" w:cs="Times New Roman"/>
          <w:bCs/>
        </w:rPr>
        <w:t>flexibility</w:t>
      </w:r>
      <w:r>
        <w:rPr>
          <w:rFonts w:ascii="Times New Roman" w:hAnsi="Times New Roman" w:cs="Times New Roman"/>
          <w:bCs/>
        </w:rPr>
        <w:t xml:space="preserve"> should be included with</w:t>
      </w:r>
      <w:r w:rsidR="000C2DA5">
        <w:rPr>
          <w:rFonts w:ascii="Times New Roman" w:hAnsi="Times New Roman" w:cs="Times New Roman"/>
          <w:bCs/>
        </w:rPr>
        <w:t xml:space="preserve"> point 3c) recognising</w:t>
      </w:r>
      <w:r w:rsidR="00370487">
        <w:rPr>
          <w:rFonts w:ascii="Times New Roman" w:hAnsi="Times New Roman" w:cs="Times New Roman"/>
          <w:bCs/>
        </w:rPr>
        <w:t>, as it does in PPG,</w:t>
      </w:r>
      <w:r w:rsidR="000C2DA5">
        <w:rPr>
          <w:rFonts w:ascii="Times New Roman" w:hAnsi="Times New Roman" w:cs="Times New Roman"/>
          <w:bCs/>
        </w:rPr>
        <w:t xml:space="preserve"> that </w:t>
      </w:r>
      <w:r w:rsidR="00C45551">
        <w:rPr>
          <w:rFonts w:ascii="Times New Roman" w:hAnsi="Times New Roman" w:cs="Times New Roman"/>
          <w:bCs/>
        </w:rPr>
        <w:t xml:space="preserve">in some cases it will not be </w:t>
      </w:r>
      <w:r w:rsidR="001B346C">
        <w:rPr>
          <w:rFonts w:ascii="Times New Roman" w:hAnsi="Times New Roman" w:cs="Times New Roman"/>
          <w:bCs/>
        </w:rPr>
        <w:t xml:space="preserve">possible to </w:t>
      </w:r>
      <w:r w:rsidR="000C2DA5">
        <w:rPr>
          <w:rFonts w:ascii="Times New Roman" w:hAnsi="Times New Roman" w:cs="Times New Roman"/>
          <w:bCs/>
        </w:rPr>
        <w:t xml:space="preserve">deliver either part M4(2) or M4(3) </w:t>
      </w:r>
      <w:r w:rsidR="001B346C">
        <w:rPr>
          <w:rFonts w:ascii="Times New Roman" w:hAnsi="Times New Roman" w:cs="Times New Roman"/>
          <w:bCs/>
        </w:rPr>
        <w:t xml:space="preserve">due to site topography, flooding or other circumstances. </w:t>
      </w:r>
      <w:r w:rsidR="00DD28AD">
        <w:rPr>
          <w:rFonts w:ascii="Times New Roman" w:hAnsi="Times New Roman" w:cs="Times New Roman"/>
          <w:bCs/>
        </w:rPr>
        <w:t xml:space="preserve">HBF </w:t>
      </w:r>
      <w:r w:rsidR="00370487">
        <w:rPr>
          <w:rFonts w:ascii="Times New Roman" w:hAnsi="Times New Roman" w:cs="Times New Roman"/>
          <w:bCs/>
        </w:rPr>
        <w:t>would</w:t>
      </w:r>
      <w:r w:rsidR="00DD28AD">
        <w:rPr>
          <w:rFonts w:ascii="Times New Roman" w:hAnsi="Times New Roman" w:cs="Times New Roman"/>
          <w:bCs/>
        </w:rPr>
        <w:t xml:space="preserve"> </w:t>
      </w:r>
      <w:r w:rsidR="00370487">
        <w:rPr>
          <w:rFonts w:ascii="Times New Roman" w:hAnsi="Times New Roman" w:cs="Times New Roman"/>
          <w:bCs/>
        </w:rPr>
        <w:t>suggest</w:t>
      </w:r>
      <w:r w:rsidR="00DD28AD">
        <w:rPr>
          <w:rFonts w:ascii="Times New Roman" w:hAnsi="Times New Roman" w:cs="Times New Roman"/>
          <w:bCs/>
        </w:rPr>
        <w:t xml:space="preserve"> the </w:t>
      </w:r>
      <w:r w:rsidR="00370487">
        <w:rPr>
          <w:rFonts w:ascii="Times New Roman" w:hAnsi="Times New Roman" w:cs="Times New Roman"/>
          <w:bCs/>
        </w:rPr>
        <w:t>policy</w:t>
      </w:r>
      <w:r w:rsidR="00DD28AD">
        <w:rPr>
          <w:rFonts w:ascii="Times New Roman" w:hAnsi="Times New Roman" w:cs="Times New Roman"/>
          <w:bCs/>
        </w:rPr>
        <w:t xml:space="preserve"> amended to state </w:t>
      </w:r>
      <w:r w:rsidR="00370487">
        <w:rPr>
          <w:rFonts w:ascii="Times New Roman" w:hAnsi="Times New Roman" w:cs="Times New Roman"/>
          <w:bCs/>
        </w:rPr>
        <w:t xml:space="preserve">where </w:t>
      </w:r>
      <w:r w:rsidR="00562B5A">
        <w:rPr>
          <w:rFonts w:ascii="Times New Roman" w:hAnsi="Times New Roman" w:cs="Times New Roman"/>
          <w:bCs/>
        </w:rPr>
        <w:t xml:space="preserve">it is neither feasible </w:t>
      </w:r>
      <w:proofErr w:type="gramStart"/>
      <w:r w:rsidR="00562B5A">
        <w:rPr>
          <w:rFonts w:ascii="Times New Roman" w:hAnsi="Times New Roman" w:cs="Times New Roman"/>
          <w:bCs/>
        </w:rPr>
        <w:t>or</w:t>
      </w:r>
      <w:proofErr w:type="gramEnd"/>
      <w:r w:rsidR="00562B5A">
        <w:rPr>
          <w:rFonts w:ascii="Times New Roman" w:hAnsi="Times New Roman" w:cs="Times New Roman"/>
          <w:bCs/>
        </w:rPr>
        <w:t xml:space="preserve"> viable to deliver these standards the option requirements for part M will not be applied. </w:t>
      </w:r>
    </w:p>
    <w:p w14:paraId="2D3294D4" w14:textId="3FCDADB7" w:rsidR="00E2429D" w:rsidRPr="009B6A75" w:rsidRDefault="00E2429D" w:rsidP="00325FE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With regard to part 3e and space </w:t>
      </w:r>
      <w:r w:rsidR="00EB0E78">
        <w:rPr>
          <w:rFonts w:ascii="Times New Roman" w:hAnsi="Times New Roman" w:cs="Times New Roman"/>
          <w:bCs/>
        </w:rPr>
        <w:t>standards</w:t>
      </w:r>
      <w:r>
        <w:rPr>
          <w:rFonts w:ascii="Times New Roman" w:hAnsi="Times New Roman" w:cs="Times New Roman"/>
          <w:bCs/>
        </w:rPr>
        <w:t xml:space="preserve"> HBF could not find the evidence setting out why these are needed in Sevenoaks.</w:t>
      </w:r>
      <w:r w:rsidR="00EB0E78">
        <w:rPr>
          <w:rFonts w:ascii="Times New Roman" w:hAnsi="Times New Roman" w:cs="Times New Roman"/>
          <w:bCs/>
        </w:rPr>
        <w:t xml:space="preserve"> HBF is supportive of the delivery of high quality </w:t>
      </w:r>
      <w:r w:rsidR="00651231">
        <w:rPr>
          <w:rFonts w:ascii="Times New Roman" w:hAnsi="Times New Roman" w:cs="Times New Roman"/>
          <w:bCs/>
        </w:rPr>
        <w:t>homes,</w:t>
      </w:r>
      <w:r w:rsidR="00EB0E78">
        <w:rPr>
          <w:rFonts w:ascii="Times New Roman" w:hAnsi="Times New Roman" w:cs="Times New Roman"/>
          <w:bCs/>
        </w:rPr>
        <w:t xml:space="preserve"> but it is </w:t>
      </w:r>
      <w:r w:rsidR="00103F7A">
        <w:rPr>
          <w:rFonts w:ascii="Times New Roman" w:hAnsi="Times New Roman" w:cs="Times New Roman"/>
          <w:bCs/>
        </w:rPr>
        <w:t xml:space="preserve">not </w:t>
      </w:r>
      <w:r w:rsidR="008D2C11">
        <w:rPr>
          <w:rFonts w:ascii="Times New Roman" w:hAnsi="Times New Roman" w:cs="Times New Roman"/>
          <w:bCs/>
        </w:rPr>
        <w:t>strictly</w:t>
      </w:r>
      <w:r w:rsidR="00103F7A">
        <w:rPr>
          <w:rFonts w:ascii="Times New Roman" w:hAnsi="Times New Roman" w:cs="Times New Roman"/>
          <w:bCs/>
        </w:rPr>
        <w:t xml:space="preserve"> the case the quality and space </w:t>
      </w:r>
      <w:r w:rsidR="008D2C11">
        <w:rPr>
          <w:rFonts w:ascii="Times New Roman" w:hAnsi="Times New Roman" w:cs="Times New Roman"/>
          <w:bCs/>
        </w:rPr>
        <w:t>standards</w:t>
      </w:r>
      <w:r w:rsidR="00103F7A">
        <w:rPr>
          <w:rFonts w:ascii="Times New Roman" w:hAnsi="Times New Roman" w:cs="Times New Roman"/>
          <w:bCs/>
        </w:rPr>
        <w:t xml:space="preserve"> are interlinked.</w:t>
      </w:r>
      <w:r w:rsidR="004F38B1">
        <w:rPr>
          <w:rFonts w:ascii="Times New Roman" w:hAnsi="Times New Roman" w:cs="Times New Roman"/>
          <w:bCs/>
        </w:rPr>
        <w:t xml:space="preserve"> I</w:t>
      </w:r>
      <w:r w:rsidR="00651231">
        <w:rPr>
          <w:rFonts w:ascii="Times New Roman" w:hAnsi="Times New Roman" w:cs="Times New Roman"/>
          <w:bCs/>
        </w:rPr>
        <w:t>n</w:t>
      </w:r>
      <w:r w:rsidR="004F38B1">
        <w:rPr>
          <w:rFonts w:ascii="Times New Roman" w:hAnsi="Times New Roman" w:cs="Times New Roman"/>
          <w:bCs/>
        </w:rPr>
        <w:t xml:space="preserve"> seeking to set minimum, space </w:t>
      </w:r>
      <w:r w:rsidR="00651231">
        <w:rPr>
          <w:rFonts w:ascii="Times New Roman" w:hAnsi="Times New Roman" w:cs="Times New Roman"/>
          <w:bCs/>
        </w:rPr>
        <w:t>standard</w:t>
      </w:r>
      <w:r w:rsidR="004F38B1">
        <w:rPr>
          <w:rFonts w:ascii="Times New Roman" w:hAnsi="Times New Roman" w:cs="Times New Roman"/>
          <w:bCs/>
        </w:rPr>
        <w:t xml:space="preserve"> there is a risk that smaller, </w:t>
      </w:r>
      <w:r w:rsidR="00651231">
        <w:rPr>
          <w:rFonts w:ascii="Times New Roman" w:hAnsi="Times New Roman" w:cs="Times New Roman"/>
          <w:bCs/>
        </w:rPr>
        <w:t>potentially</w:t>
      </w:r>
      <w:r w:rsidR="004F38B1">
        <w:rPr>
          <w:rFonts w:ascii="Times New Roman" w:hAnsi="Times New Roman" w:cs="Times New Roman"/>
          <w:bCs/>
        </w:rPr>
        <w:t xml:space="preserve"> more </w:t>
      </w:r>
      <w:r w:rsidR="00651231">
        <w:rPr>
          <w:rFonts w:ascii="Times New Roman" w:hAnsi="Times New Roman" w:cs="Times New Roman"/>
          <w:bCs/>
        </w:rPr>
        <w:t>affordable</w:t>
      </w:r>
      <w:r w:rsidR="004F38B1">
        <w:rPr>
          <w:rFonts w:ascii="Times New Roman" w:hAnsi="Times New Roman" w:cs="Times New Roman"/>
          <w:bCs/>
        </w:rPr>
        <w:t xml:space="preserve"> homes </w:t>
      </w:r>
      <w:r w:rsidR="005E09B2">
        <w:rPr>
          <w:rFonts w:ascii="Times New Roman" w:hAnsi="Times New Roman" w:cs="Times New Roman"/>
          <w:bCs/>
        </w:rPr>
        <w:t>that meet the needs of households will not be met</w:t>
      </w:r>
      <w:r w:rsidR="00E74195">
        <w:rPr>
          <w:rFonts w:ascii="Times New Roman" w:hAnsi="Times New Roman" w:cs="Times New Roman"/>
          <w:bCs/>
        </w:rPr>
        <w:t xml:space="preserve">. </w:t>
      </w:r>
      <w:r w:rsidR="00C54A8D">
        <w:rPr>
          <w:rFonts w:ascii="Times New Roman" w:hAnsi="Times New Roman" w:cs="Times New Roman"/>
          <w:bCs/>
        </w:rPr>
        <w:t xml:space="preserve">It is therefore important </w:t>
      </w:r>
      <w:r w:rsidR="00F60CED">
        <w:rPr>
          <w:rFonts w:ascii="Times New Roman" w:hAnsi="Times New Roman" w:cs="Times New Roman"/>
          <w:bCs/>
        </w:rPr>
        <w:t>for t</w:t>
      </w:r>
      <w:r w:rsidR="00C54A8D">
        <w:rPr>
          <w:rFonts w:ascii="Times New Roman" w:hAnsi="Times New Roman" w:cs="Times New Roman"/>
          <w:bCs/>
        </w:rPr>
        <w:t xml:space="preserve">he council to not only consider the need and </w:t>
      </w:r>
      <w:r w:rsidR="00F60CED">
        <w:rPr>
          <w:rFonts w:ascii="Times New Roman" w:hAnsi="Times New Roman" w:cs="Times New Roman"/>
          <w:bCs/>
        </w:rPr>
        <w:t>viability</w:t>
      </w:r>
      <w:r w:rsidR="00C54A8D">
        <w:rPr>
          <w:rFonts w:ascii="Times New Roman" w:hAnsi="Times New Roman" w:cs="Times New Roman"/>
          <w:bCs/>
        </w:rPr>
        <w:t xml:space="preserve"> for such homes but also th</w:t>
      </w:r>
      <w:r w:rsidR="00F60CED">
        <w:rPr>
          <w:rFonts w:ascii="Times New Roman" w:hAnsi="Times New Roman" w:cs="Times New Roman"/>
          <w:bCs/>
        </w:rPr>
        <w:t>e</w:t>
      </w:r>
      <w:r w:rsidR="00C54A8D">
        <w:rPr>
          <w:rFonts w:ascii="Times New Roman" w:hAnsi="Times New Roman" w:cs="Times New Roman"/>
          <w:bCs/>
        </w:rPr>
        <w:t xml:space="preserve"> potential impact on the </w:t>
      </w:r>
      <w:r w:rsidR="00F60CED">
        <w:rPr>
          <w:rFonts w:ascii="Times New Roman" w:hAnsi="Times New Roman" w:cs="Times New Roman"/>
          <w:bCs/>
        </w:rPr>
        <w:t>affordability</w:t>
      </w:r>
      <w:r w:rsidR="00C54A8D">
        <w:rPr>
          <w:rFonts w:ascii="Times New Roman" w:hAnsi="Times New Roman" w:cs="Times New Roman"/>
          <w:bCs/>
        </w:rPr>
        <w:t xml:space="preserve"> o</w:t>
      </w:r>
      <w:r w:rsidR="00F60CED">
        <w:rPr>
          <w:rFonts w:ascii="Times New Roman" w:hAnsi="Times New Roman" w:cs="Times New Roman"/>
          <w:bCs/>
        </w:rPr>
        <w:t xml:space="preserve">f </w:t>
      </w:r>
      <w:r w:rsidR="00C54A8D">
        <w:rPr>
          <w:rFonts w:ascii="Times New Roman" w:hAnsi="Times New Roman" w:cs="Times New Roman"/>
          <w:bCs/>
        </w:rPr>
        <w:t>homes</w:t>
      </w:r>
      <w:r w:rsidR="00C655FD">
        <w:rPr>
          <w:rFonts w:ascii="Times New Roman" w:hAnsi="Times New Roman" w:cs="Times New Roman"/>
          <w:bCs/>
        </w:rPr>
        <w:t xml:space="preserve"> in across Sevenoaks</w:t>
      </w:r>
      <w:r w:rsidR="00F60CED">
        <w:rPr>
          <w:rFonts w:ascii="Times New Roman" w:hAnsi="Times New Roman" w:cs="Times New Roman"/>
          <w:bCs/>
        </w:rPr>
        <w:t>.</w:t>
      </w:r>
      <w:r w:rsidR="00651231">
        <w:rPr>
          <w:rFonts w:ascii="Times New Roman" w:hAnsi="Times New Roman" w:cs="Times New Roman"/>
          <w:bCs/>
        </w:rPr>
        <w:t xml:space="preserve"> </w:t>
      </w:r>
    </w:p>
    <w:p w14:paraId="7779BCC7" w14:textId="77777777" w:rsidR="00C655FD" w:rsidRPr="00C655FD" w:rsidRDefault="009B6A75" w:rsidP="009B6A75">
      <w:pPr>
        <w:widowControl/>
        <w:suppressAutoHyphens w:val="0"/>
        <w:autoSpaceDE/>
        <w:spacing w:after="240" w:line="360" w:lineRule="auto"/>
        <w:jc w:val="both"/>
        <w:rPr>
          <w:rFonts w:ascii="Times New Roman" w:hAnsi="Times New Roman" w:cs="Times New Roman"/>
          <w:b/>
        </w:rPr>
      </w:pPr>
      <w:r w:rsidRPr="00C655FD">
        <w:rPr>
          <w:rFonts w:ascii="Times New Roman" w:hAnsi="Times New Roman" w:cs="Times New Roman"/>
          <w:b/>
        </w:rPr>
        <w:t>H2 – Affordable housing</w:t>
      </w:r>
    </w:p>
    <w:p w14:paraId="556F4092" w14:textId="17735E1E" w:rsidR="009B6A75" w:rsidRPr="009B6A75" w:rsidRDefault="00344EF4" w:rsidP="00325FE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lastRenderedPageBreak/>
        <w:t xml:space="preserve">HBF supports the use of </w:t>
      </w:r>
      <w:r w:rsidR="0022702E">
        <w:rPr>
          <w:rFonts w:ascii="Times New Roman" w:hAnsi="Times New Roman" w:cs="Times New Roman"/>
          <w:bCs/>
        </w:rPr>
        <w:t xml:space="preserve">variable affordable </w:t>
      </w:r>
      <w:r w:rsidR="00F52C46">
        <w:rPr>
          <w:rFonts w:ascii="Times New Roman" w:hAnsi="Times New Roman" w:cs="Times New Roman"/>
          <w:bCs/>
        </w:rPr>
        <w:t>housing</w:t>
      </w:r>
      <w:r w:rsidR="0022702E">
        <w:rPr>
          <w:rFonts w:ascii="Times New Roman" w:hAnsi="Times New Roman" w:cs="Times New Roman"/>
          <w:bCs/>
        </w:rPr>
        <w:t xml:space="preserve"> </w:t>
      </w:r>
      <w:r w:rsidR="00F52C46">
        <w:rPr>
          <w:rFonts w:ascii="Times New Roman" w:hAnsi="Times New Roman" w:cs="Times New Roman"/>
          <w:bCs/>
        </w:rPr>
        <w:t>threshold</w:t>
      </w:r>
      <w:r w:rsidR="0022702E">
        <w:rPr>
          <w:rFonts w:ascii="Times New Roman" w:hAnsi="Times New Roman" w:cs="Times New Roman"/>
          <w:bCs/>
        </w:rPr>
        <w:t xml:space="preserve"> </w:t>
      </w:r>
      <w:r w:rsidR="001930C5">
        <w:rPr>
          <w:rFonts w:ascii="Times New Roman" w:hAnsi="Times New Roman" w:cs="Times New Roman"/>
          <w:bCs/>
        </w:rPr>
        <w:t xml:space="preserve">based on the location and scale of development. However, </w:t>
      </w:r>
      <w:r w:rsidR="004B486B">
        <w:rPr>
          <w:rFonts w:ascii="Times New Roman" w:hAnsi="Times New Roman" w:cs="Times New Roman"/>
          <w:bCs/>
        </w:rPr>
        <w:t xml:space="preserve">it is notable that the </w:t>
      </w:r>
      <w:r w:rsidR="00174DEB">
        <w:rPr>
          <w:rFonts w:ascii="Times New Roman" w:hAnsi="Times New Roman" w:cs="Times New Roman"/>
          <w:bCs/>
        </w:rPr>
        <w:t>Preliminary</w:t>
      </w:r>
      <w:r w:rsidR="00706CF1">
        <w:rPr>
          <w:rFonts w:ascii="Times New Roman" w:hAnsi="Times New Roman" w:cs="Times New Roman"/>
          <w:bCs/>
        </w:rPr>
        <w:t xml:space="preserve"> </w:t>
      </w:r>
      <w:r w:rsidR="00174DEB">
        <w:rPr>
          <w:rFonts w:ascii="Times New Roman" w:hAnsi="Times New Roman" w:cs="Times New Roman"/>
          <w:bCs/>
        </w:rPr>
        <w:t>Viability</w:t>
      </w:r>
      <w:r w:rsidR="00706CF1">
        <w:rPr>
          <w:rFonts w:ascii="Times New Roman" w:hAnsi="Times New Roman" w:cs="Times New Roman"/>
          <w:bCs/>
        </w:rPr>
        <w:t xml:space="preserve"> Report</w:t>
      </w:r>
      <w:r w:rsidR="001A2BA8">
        <w:rPr>
          <w:rFonts w:ascii="Times New Roman" w:hAnsi="Times New Roman" w:cs="Times New Roman"/>
          <w:bCs/>
        </w:rPr>
        <w:t xml:space="preserve"> (PVR)</w:t>
      </w:r>
      <w:r w:rsidR="00706CF1">
        <w:rPr>
          <w:rFonts w:ascii="Times New Roman" w:hAnsi="Times New Roman" w:cs="Times New Roman"/>
          <w:bCs/>
        </w:rPr>
        <w:t xml:space="preserve"> suggests that in some </w:t>
      </w:r>
      <w:r w:rsidR="00174DEB">
        <w:rPr>
          <w:rFonts w:ascii="Times New Roman" w:hAnsi="Times New Roman" w:cs="Times New Roman"/>
          <w:bCs/>
        </w:rPr>
        <w:t>placemaking</w:t>
      </w:r>
      <w:r w:rsidR="00706CF1">
        <w:rPr>
          <w:rFonts w:ascii="Times New Roman" w:hAnsi="Times New Roman" w:cs="Times New Roman"/>
          <w:bCs/>
        </w:rPr>
        <w:t xml:space="preserve"> areas at the lower end of the value range </w:t>
      </w:r>
      <w:r w:rsidR="00174DEB">
        <w:rPr>
          <w:rFonts w:ascii="Times New Roman" w:hAnsi="Times New Roman" w:cs="Times New Roman"/>
          <w:bCs/>
        </w:rPr>
        <w:t xml:space="preserve">the result </w:t>
      </w:r>
      <w:r w:rsidR="001A2BA8">
        <w:rPr>
          <w:rFonts w:ascii="Times New Roman" w:hAnsi="Times New Roman" w:cs="Times New Roman"/>
          <w:bCs/>
        </w:rPr>
        <w:t>is</w:t>
      </w:r>
      <w:r w:rsidR="00174DEB">
        <w:rPr>
          <w:rFonts w:ascii="Times New Roman" w:hAnsi="Times New Roman" w:cs="Times New Roman"/>
          <w:bCs/>
        </w:rPr>
        <w:t xml:space="preserve"> more marginal when the 50% requirement is tested. </w:t>
      </w:r>
      <w:r w:rsidR="001930C5">
        <w:rPr>
          <w:rFonts w:ascii="Times New Roman" w:hAnsi="Times New Roman" w:cs="Times New Roman"/>
          <w:bCs/>
        </w:rPr>
        <w:t xml:space="preserve"> </w:t>
      </w:r>
      <w:r w:rsidR="0023607A">
        <w:rPr>
          <w:rFonts w:ascii="Times New Roman" w:hAnsi="Times New Roman" w:cs="Times New Roman"/>
          <w:bCs/>
        </w:rPr>
        <w:t xml:space="preserve">The PVR states that some green field sites in these lower value areas could deliver more than 40% but that more specific understanding is needed as to scheme specific costs. At this stage the PVR recommends target for greenfield sites of 40%. </w:t>
      </w:r>
      <w:r w:rsidR="00174DEB">
        <w:rPr>
          <w:rFonts w:ascii="Times New Roman" w:hAnsi="Times New Roman" w:cs="Times New Roman"/>
          <w:bCs/>
        </w:rPr>
        <w:t xml:space="preserve">It is </w:t>
      </w:r>
      <w:r w:rsidR="001A2BA8">
        <w:rPr>
          <w:rFonts w:ascii="Times New Roman" w:hAnsi="Times New Roman" w:cs="Times New Roman"/>
          <w:bCs/>
        </w:rPr>
        <w:t>recognised</w:t>
      </w:r>
      <w:r w:rsidR="00174DEB">
        <w:rPr>
          <w:rFonts w:ascii="Times New Roman" w:hAnsi="Times New Roman" w:cs="Times New Roman"/>
          <w:bCs/>
        </w:rPr>
        <w:t xml:space="preserve"> that these sites are subject to </w:t>
      </w:r>
      <w:r w:rsidR="00C20ECD">
        <w:rPr>
          <w:rFonts w:ascii="Times New Roman" w:hAnsi="Times New Roman" w:cs="Times New Roman"/>
          <w:bCs/>
        </w:rPr>
        <w:t>th</w:t>
      </w:r>
      <w:r w:rsidR="00174DEB">
        <w:rPr>
          <w:rFonts w:ascii="Times New Roman" w:hAnsi="Times New Roman" w:cs="Times New Roman"/>
          <w:bCs/>
        </w:rPr>
        <w:t>e Golden Rules</w:t>
      </w:r>
      <w:r w:rsidR="00C20ECD">
        <w:rPr>
          <w:rFonts w:ascii="Times New Roman" w:hAnsi="Times New Roman" w:cs="Times New Roman"/>
          <w:bCs/>
        </w:rPr>
        <w:t xml:space="preserve"> set out in paragraph 157 of </w:t>
      </w:r>
      <w:r w:rsidR="00EF4C94">
        <w:rPr>
          <w:rFonts w:ascii="Times New Roman" w:hAnsi="Times New Roman" w:cs="Times New Roman"/>
          <w:bCs/>
        </w:rPr>
        <w:t>NPPF,</w:t>
      </w:r>
      <w:r w:rsidR="0076689A">
        <w:rPr>
          <w:rFonts w:ascii="Times New Roman" w:hAnsi="Times New Roman" w:cs="Times New Roman"/>
          <w:bCs/>
        </w:rPr>
        <w:t xml:space="preserve"> </w:t>
      </w:r>
      <w:r w:rsidR="007B2455">
        <w:rPr>
          <w:rFonts w:ascii="Times New Roman" w:hAnsi="Times New Roman" w:cs="Times New Roman"/>
          <w:bCs/>
        </w:rPr>
        <w:t xml:space="preserve">and that PPG outlines </w:t>
      </w:r>
      <w:r w:rsidR="00A16C0D">
        <w:rPr>
          <w:rFonts w:ascii="Times New Roman" w:hAnsi="Times New Roman" w:cs="Times New Roman"/>
          <w:bCs/>
        </w:rPr>
        <w:t>that s</w:t>
      </w:r>
      <w:r w:rsidR="007B2455">
        <w:rPr>
          <w:rFonts w:ascii="Times New Roman" w:hAnsi="Times New Roman" w:cs="Times New Roman"/>
          <w:bCs/>
        </w:rPr>
        <w:t>ite</w:t>
      </w:r>
      <w:r w:rsidR="00A16C0D">
        <w:rPr>
          <w:rFonts w:ascii="Times New Roman" w:hAnsi="Times New Roman" w:cs="Times New Roman"/>
          <w:bCs/>
        </w:rPr>
        <w:t xml:space="preserve"> specific </w:t>
      </w:r>
      <w:r w:rsidR="00AB313E">
        <w:rPr>
          <w:rFonts w:ascii="Times New Roman" w:hAnsi="Times New Roman" w:cs="Times New Roman"/>
          <w:bCs/>
        </w:rPr>
        <w:t>viability</w:t>
      </w:r>
      <w:r w:rsidR="00A16C0D">
        <w:rPr>
          <w:rFonts w:ascii="Times New Roman" w:hAnsi="Times New Roman" w:cs="Times New Roman"/>
          <w:bCs/>
        </w:rPr>
        <w:t xml:space="preserve"> should not be taken into account </w:t>
      </w:r>
      <w:r w:rsidR="00A25197">
        <w:rPr>
          <w:rFonts w:ascii="Times New Roman" w:hAnsi="Times New Roman" w:cs="Times New Roman"/>
          <w:bCs/>
        </w:rPr>
        <w:t xml:space="preserve">for the </w:t>
      </w:r>
      <w:r w:rsidR="00AB313E">
        <w:rPr>
          <w:rFonts w:ascii="Times New Roman" w:hAnsi="Times New Roman" w:cs="Times New Roman"/>
          <w:bCs/>
        </w:rPr>
        <w:t>purpose</w:t>
      </w:r>
      <w:r w:rsidR="00A25197">
        <w:rPr>
          <w:rFonts w:ascii="Times New Roman" w:hAnsi="Times New Roman" w:cs="Times New Roman"/>
          <w:bCs/>
        </w:rPr>
        <w:t xml:space="preserve"> of re</w:t>
      </w:r>
      <w:r w:rsidR="00AB313E">
        <w:rPr>
          <w:rFonts w:ascii="Times New Roman" w:hAnsi="Times New Roman" w:cs="Times New Roman"/>
          <w:bCs/>
        </w:rPr>
        <w:t>ducing</w:t>
      </w:r>
      <w:r w:rsidR="00A25197">
        <w:rPr>
          <w:rFonts w:ascii="Times New Roman" w:hAnsi="Times New Roman" w:cs="Times New Roman"/>
          <w:bCs/>
        </w:rPr>
        <w:t xml:space="preserve"> contributions on </w:t>
      </w:r>
      <w:r w:rsidR="00AB313E">
        <w:rPr>
          <w:rFonts w:ascii="Times New Roman" w:hAnsi="Times New Roman" w:cs="Times New Roman"/>
          <w:bCs/>
        </w:rPr>
        <w:t>Green</w:t>
      </w:r>
      <w:r w:rsidR="00A25197">
        <w:rPr>
          <w:rFonts w:ascii="Times New Roman" w:hAnsi="Times New Roman" w:cs="Times New Roman"/>
          <w:bCs/>
        </w:rPr>
        <w:t xml:space="preserve"> </w:t>
      </w:r>
      <w:r w:rsidR="00AB313E">
        <w:rPr>
          <w:rFonts w:ascii="Times New Roman" w:hAnsi="Times New Roman" w:cs="Times New Roman"/>
          <w:bCs/>
        </w:rPr>
        <w:t>B</w:t>
      </w:r>
      <w:r w:rsidR="00A25197">
        <w:rPr>
          <w:rFonts w:ascii="Times New Roman" w:hAnsi="Times New Roman" w:cs="Times New Roman"/>
          <w:bCs/>
        </w:rPr>
        <w:t>elt development</w:t>
      </w:r>
      <w:r w:rsidR="007B2455">
        <w:rPr>
          <w:rFonts w:ascii="Times New Roman" w:hAnsi="Times New Roman" w:cs="Times New Roman"/>
          <w:bCs/>
        </w:rPr>
        <w:t>. However, it also notes</w:t>
      </w:r>
      <w:r w:rsidR="00A25197">
        <w:rPr>
          <w:rFonts w:ascii="Times New Roman" w:hAnsi="Times New Roman" w:cs="Times New Roman"/>
          <w:bCs/>
        </w:rPr>
        <w:t xml:space="preserve"> the </w:t>
      </w:r>
      <w:r w:rsidR="00AB313E">
        <w:rPr>
          <w:rFonts w:ascii="Times New Roman" w:hAnsi="Times New Roman" w:cs="Times New Roman"/>
          <w:bCs/>
        </w:rPr>
        <w:t>Government is</w:t>
      </w:r>
      <w:r w:rsidR="00A25197">
        <w:rPr>
          <w:rFonts w:ascii="Times New Roman" w:hAnsi="Times New Roman" w:cs="Times New Roman"/>
          <w:bCs/>
        </w:rPr>
        <w:t xml:space="preserve"> </w:t>
      </w:r>
      <w:r w:rsidR="00AB313E">
        <w:rPr>
          <w:rFonts w:ascii="Times New Roman" w:hAnsi="Times New Roman" w:cs="Times New Roman"/>
          <w:bCs/>
        </w:rPr>
        <w:t>considering</w:t>
      </w:r>
      <w:r w:rsidR="00A25197">
        <w:rPr>
          <w:rFonts w:ascii="Times New Roman" w:hAnsi="Times New Roman" w:cs="Times New Roman"/>
          <w:bCs/>
        </w:rPr>
        <w:t xml:space="preserve"> </w:t>
      </w:r>
      <w:r w:rsidR="00AB313E">
        <w:rPr>
          <w:rFonts w:ascii="Times New Roman" w:hAnsi="Times New Roman" w:cs="Times New Roman"/>
          <w:bCs/>
        </w:rPr>
        <w:t>whether</w:t>
      </w:r>
      <w:r w:rsidR="00A25197">
        <w:rPr>
          <w:rFonts w:ascii="Times New Roman" w:hAnsi="Times New Roman" w:cs="Times New Roman"/>
          <w:bCs/>
        </w:rPr>
        <w:t xml:space="preserve"> there are circumstances where </w:t>
      </w:r>
      <w:r w:rsidR="00AB313E">
        <w:rPr>
          <w:rFonts w:ascii="Times New Roman" w:hAnsi="Times New Roman" w:cs="Times New Roman"/>
          <w:bCs/>
        </w:rPr>
        <w:t xml:space="preserve">site specific </w:t>
      </w:r>
      <w:r w:rsidR="007B2455">
        <w:rPr>
          <w:rFonts w:ascii="Times New Roman" w:hAnsi="Times New Roman" w:cs="Times New Roman"/>
          <w:bCs/>
        </w:rPr>
        <w:t>viability</w:t>
      </w:r>
      <w:r w:rsidR="00AB313E">
        <w:rPr>
          <w:rFonts w:ascii="Times New Roman" w:hAnsi="Times New Roman" w:cs="Times New Roman"/>
          <w:bCs/>
        </w:rPr>
        <w:t xml:space="preserve"> assessment should be taken into account.</w:t>
      </w:r>
    </w:p>
    <w:p w14:paraId="280CFC4E" w14:textId="28951335" w:rsidR="009B6A75" w:rsidRPr="009B6A75" w:rsidRDefault="00A857DC" w:rsidP="0074524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Part </w:t>
      </w:r>
      <w:r w:rsidR="007A0637">
        <w:rPr>
          <w:rFonts w:ascii="Times New Roman" w:hAnsi="Times New Roman" w:cs="Times New Roman"/>
          <w:bCs/>
        </w:rPr>
        <w:t xml:space="preserve">9 of </w:t>
      </w:r>
      <w:r w:rsidR="003D5352">
        <w:rPr>
          <w:rFonts w:ascii="Times New Roman" w:hAnsi="Times New Roman" w:cs="Times New Roman"/>
          <w:bCs/>
        </w:rPr>
        <w:t>H2</w:t>
      </w:r>
      <w:r w:rsidR="007A0637">
        <w:rPr>
          <w:rFonts w:ascii="Times New Roman" w:hAnsi="Times New Roman" w:cs="Times New Roman"/>
          <w:bCs/>
        </w:rPr>
        <w:t xml:space="preserve"> sets out the options</w:t>
      </w:r>
      <w:r w:rsidR="00904C40">
        <w:rPr>
          <w:rFonts w:ascii="Times New Roman" w:hAnsi="Times New Roman" w:cs="Times New Roman"/>
          <w:bCs/>
        </w:rPr>
        <w:t xml:space="preserve"> for decision makers</w:t>
      </w:r>
      <w:r w:rsidR="007A0637">
        <w:rPr>
          <w:rFonts w:ascii="Times New Roman" w:hAnsi="Times New Roman" w:cs="Times New Roman"/>
          <w:bCs/>
        </w:rPr>
        <w:t xml:space="preserve"> should a </w:t>
      </w:r>
      <w:r w:rsidR="00904C40">
        <w:rPr>
          <w:rFonts w:ascii="Times New Roman" w:hAnsi="Times New Roman" w:cs="Times New Roman"/>
          <w:bCs/>
        </w:rPr>
        <w:t>viability</w:t>
      </w:r>
      <w:r w:rsidR="007A0637">
        <w:rPr>
          <w:rFonts w:ascii="Times New Roman" w:hAnsi="Times New Roman" w:cs="Times New Roman"/>
          <w:bCs/>
        </w:rPr>
        <w:t xml:space="preserve"> assessment show that the </w:t>
      </w:r>
      <w:r w:rsidR="00904C40">
        <w:rPr>
          <w:rFonts w:ascii="Times New Roman" w:hAnsi="Times New Roman" w:cs="Times New Roman"/>
          <w:bCs/>
        </w:rPr>
        <w:t>affordable</w:t>
      </w:r>
      <w:r w:rsidR="007A0637">
        <w:rPr>
          <w:rFonts w:ascii="Times New Roman" w:hAnsi="Times New Roman" w:cs="Times New Roman"/>
          <w:bCs/>
        </w:rPr>
        <w:t xml:space="preserve"> </w:t>
      </w:r>
      <w:r w:rsidR="00904C40">
        <w:rPr>
          <w:rFonts w:ascii="Times New Roman" w:hAnsi="Times New Roman" w:cs="Times New Roman"/>
          <w:bCs/>
        </w:rPr>
        <w:t>housing requirements</w:t>
      </w:r>
      <w:r w:rsidR="007A0637">
        <w:rPr>
          <w:rFonts w:ascii="Times New Roman" w:hAnsi="Times New Roman" w:cs="Times New Roman"/>
          <w:bCs/>
        </w:rPr>
        <w:t xml:space="preserve"> </w:t>
      </w:r>
      <w:r w:rsidR="003D5352">
        <w:rPr>
          <w:rFonts w:ascii="Times New Roman" w:hAnsi="Times New Roman" w:cs="Times New Roman"/>
          <w:bCs/>
        </w:rPr>
        <w:t>in the policy</w:t>
      </w:r>
      <w:r w:rsidR="007A0637">
        <w:rPr>
          <w:rFonts w:ascii="Times New Roman" w:hAnsi="Times New Roman" w:cs="Times New Roman"/>
          <w:bCs/>
        </w:rPr>
        <w:t xml:space="preserve"> </w:t>
      </w:r>
      <w:r w:rsidR="00904C40">
        <w:rPr>
          <w:rFonts w:ascii="Times New Roman" w:hAnsi="Times New Roman" w:cs="Times New Roman"/>
          <w:bCs/>
        </w:rPr>
        <w:t xml:space="preserve">make a development unviable. </w:t>
      </w:r>
      <w:r w:rsidR="004A5043">
        <w:rPr>
          <w:rFonts w:ascii="Times New Roman" w:hAnsi="Times New Roman" w:cs="Times New Roman"/>
          <w:bCs/>
        </w:rPr>
        <w:t xml:space="preserve">This </w:t>
      </w:r>
      <w:r w:rsidR="00917EDC">
        <w:rPr>
          <w:rFonts w:ascii="Times New Roman" w:hAnsi="Times New Roman" w:cs="Times New Roman"/>
          <w:bCs/>
        </w:rPr>
        <w:t>includes</w:t>
      </w:r>
      <w:r w:rsidR="004A5043">
        <w:rPr>
          <w:rFonts w:ascii="Times New Roman" w:hAnsi="Times New Roman" w:cs="Times New Roman"/>
          <w:bCs/>
        </w:rPr>
        <w:t xml:space="preserve"> a reduced level of affordable housing plus a financial contribution for the remainder or a financial contribution. However, </w:t>
      </w:r>
      <w:r w:rsidR="00917EDC">
        <w:rPr>
          <w:rFonts w:ascii="Times New Roman" w:hAnsi="Times New Roman" w:cs="Times New Roman"/>
          <w:bCs/>
        </w:rPr>
        <w:t xml:space="preserve">HBF would suggest that there is a third option of a reduction in the affordable housing requirement with no financial contribution. </w:t>
      </w:r>
      <w:r w:rsidR="00BD3831">
        <w:rPr>
          <w:rFonts w:ascii="Times New Roman" w:hAnsi="Times New Roman" w:cs="Times New Roman"/>
          <w:bCs/>
        </w:rPr>
        <w:t xml:space="preserve">This would ensure that there is sufficient flexibility for the decision maker and developer to agree the most effective approach to securing affordable housing delivery on site. </w:t>
      </w:r>
    </w:p>
    <w:p w14:paraId="1F568075" w14:textId="62E18F09" w:rsidR="009B6A75" w:rsidRPr="00ED18D8" w:rsidRDefault="009B6A75" w:rsidP="009B6A75">
      <w:pPr>
        <w:widowControl/>
        <w:suppressAutoHyphens w:val="0"/>
        <w:autoSpaceDE/>
        <w:spacing w:after="240" w:line="360" w:lineRule="auto"/>
        <w:jc w:val="both"/>
        <w:rPr>
          <w:rFonts w:ascii="Times New Roman" w:hAnsi="Times New Roman" w:cs="Times New Roman"/>
          <w:b/>
        </w:rPr>
      </w:pPr>
      <w:r w:rsidRPr="00ED18D8">
        <w:rPr>
          <w:rFonts w:ascii="Times New Roman" w:hAnsi="Times New Roman" w:cs="Times New Roman"/>
          <w:b/>
        </w:rPr>
        <w:t xml:space="preserve">H4 – </w:t>
      </w:r>
      <w:r w:rsidR="00960BB1">
        <w:rPr>
          <w:rFonts w:ascii="Times New Roman" w:hAnsi="Times New Roman" w:cs="Times New Roman"/>
          <w:b/>
        </w:rPr>
        <w:t>H</w:t>
      </w:r>
      <w:r w:rsidRPr="00ED18D8">
        <w:rPr>
          <w:rFonts w:ascii="Times New Roman" w:hAnsi="Times New Roman" w:cs="Times New Roman"/>
          <w:b/>
        </w:rPr>
        <w:t>ousing for older people</w:t>
      </w:r>
    </w:p>
    <w:p w14:paraId="548ADDD9" w14:textId="42E7E4AE" w:rsidR="009B6A75" w:rsidRPr="009B6A75" w:rsidRDefault="00E3092F" w:rsidP="0074524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Firstly,</w:t>
      </w:r>
      <w:r w:rsidR="00E00164">
        <w:rPr>
          <w:rFonts w:ascii="Times New Roman" w:hAnsi="Times New Roman" w:cs="Times New Roman"/>
          <w:bCs/>
        </w:rPr>
        <w:t xml:space="preserve"> it is not clear why </w:t>
      </w:r>
      <w:r w:rsidR="006D46E3">
        <w:rPr>
          <w:rFonts w:ascii="Times New Roman" w:hAnsi="Times New Roman" w:cs="Times New Roman"/>
          <w:bCs/>
        </w:rPr>
        <w:t>an application</w:t>
      </w:r>
      <w:r w:rsidR="00F904F5">
        <w:rPr>
          <w:rFonts w:ascii="Times New Roman" w:hAnsi="Times New Roman" w:cs="Times New Roman"/>
          <w:bCs/>
        </w:rPr>
        <w:t xml:space="preserve"> for older people’s housing within a rural village should have to show an identified need for such development</w:t>
      </w:r>
      <w:r>
        <w:rPr>
          <w:rFonts w:ascii="Times New Roman" w:hAnsi="Times New Roman" w:cs="Times New Roman"/>
          <w:bCs/>
        </w:rPr>
        <w:t xml:space="preserve">. If a site is appropriate for housing and is in a sustainable </w:t>
      </w:r>
      <w:r w:rsidR="006D46E3">
        <w:rPr>
          <w:rFonts w:ascii="Times New Roman" w:hAnsi="Times New Roman" w:cs="Times New Roman"/>
          <w:bCs/>
        </w:rPr>
        <w:t>location,</w:t>
      </w:r>
      <w:r>
        <w:rPr>
          <w:rFonts w:ascii="Times New Roman" w:hAnsi="Times New Roman" w:cs="Times New Roman"/>
          <w:bCs/>
        </w:rPr>
        <w:t xml:space="preserve"> then that should be no additional requirement to identify a local need. </w:t>
      </w:r>
      <w:r w:rsidR="00454A1A">
        <w:rPr>
          <w:rFonts w:ascii="Times New Roman" w:hAnsi="Times New Roman" w:cs="Times New Roman"/>
          <w:bCs/>
        </w:rPr>
        <w:t xml:space="preserve">Secondly, part 2 of the policy requires development of </w:t>
      </w:r>
      <w:r w:rsidR="009B6A75" w:rsidRPr="009B6A75">
        <w:rPr>
          <w:rFonts w:ascii="Times New Roman" w:hAnsi="Times New Roman" w:cs="Times New Roman"/>
          <w:bCs/>
        </w:rPr>
        <w:t>50 or more units to provide units for older people</w:t>
      </w:r>
      <w:r w:rsidR="00454A1A">
        <w:rPr>
          <w:rFonts w:ascii="Times New Roman" w:hAnsi="Times New Roman" w:cs="Times New Roman"/>
          <w:bCs/>
        </w:rPr>
        <w:t xml:space="preserve">. This is </w:t>
      </w:r>
      <w:r w:rsidR="00A1116D">
        <w:rPr>
          <w:rFonts w:ascii="Times New Roman" w:hAnsi="Times New Roman" w:cs="Times New Roman"/>
          <w:bCs/>
        </w:rPr>
        <w:t xml:space="preserve">a relatively </w:t>
      </w:r>
      <w:r w:rsidR="005176D1">
        <w:rPr>
          <w:rFonts w:ascii="Times New Roman" w:hAnsi="Times New Roman" w:cs="Times New Roman"/>
          <w:bCs/>
        </w:rPr>
        <w:t xml:space="preserve">low threshold for such a </w:t>
      </w:r>
      <w:r w:rsidR="008C09B6">
        <w:rPr>
          <w:rFonts w:ascii="Times New Roman" w:hAnsi="Times New Roman" w:cs="Times New Roman"/>
          <w:bCs/>
        </w:rPr>
        <w:t>requirement</w:t>
      </w:r>
      <w:r w:rsidR="005176D1">
        <w:rPr>
          <w:rFonts w:ascii="Times New Roman" w:hAnsi="Times New Roman" w:cs="Times New Roman"/>
          <w:bCs/>
        </w:rPr>
        <w:t>,</w:t>
      </w:r>
      <w:r w:rsidR="008C09B6">
        <w:rPr>
          <w:rFonts w:ascii="Times New Roman" w:hAnsi="Times New Roman" w:cs="Times New Roman"/>
          <w:bCs/>
        </w:rPr>
        <w:t xml:space="preserve"> especially given there is no </w:t>
      </w:r>
      <w:r w:rsidR="005176D1">
        <w:rPr>
          <w:rFonts w:ascii="Times New Roman" w:hAnsi="Times New Roman" w:cs="Times New Roman"/>
          <w:bCs/>
        </w:rPr>
        <w:t>indication</w:t>
      </w:r>
      <w:r w:rsidR="008C09B6">
        <w:rPr>
          <w:rFonts w:ascii="Times New Roman" w:hAnsi="Times New Roman" w:cs="Times New Roman"/>
          <w:bCs/>
        </w:rPr>
        <w:t xml:space="preserve"> as to </w:t>
      </w:r>
      <w:r w:rsidR="00A1151D">
        <w:rPr>
          <w:rFonts w:ascii="Times New Roman" w:hAnsi="Times New Roman" w:cs="Times New Roman"/>
          <w:bCs/>
        </w:rPr>
        <w:t>the expected cont</w:t>
      </w:r>
      <w:r w:rsidR="00953039">
        <w:rPr>
          <w:rFonts w:ascii="Times New Roman" w:hAnsi="Times New Roman" w:cs="Times New Roman"/>
          <w:bCs/>
        </w:rPr>
        <w:t>ribution</w:t>
      </w:r>
      <w:r w:rsidR="00E407FE">
        <w:rPr>
          <w:rFonts w:ascii="Times New Roman" w:hAnsi="Times New Roman" w:cs="Times New Roman"/>
          <w:bCs/>
        </w:rPr>
        <w:t xml:space="preserve">. </w:t>
      </w:r>
      <w:r w:rsidR="00953039">
        <w:rPr>
          <w:rFonts w:ascii="Times New Roman" w:hAnsi="Times New Roman" w:cs="Times New Roman"/>
          <w:bCs/>
        </w:rPr>
        <w:t xml:space="preserve">HBF </w:t>
      </w:r>
      <w:r w:rsidR="006050A3">
        <w:rPr>
          <w:rFonts w:ascii="Times New Roman" w:hAnsi="Times New Roman" w:cs="Times New Roman"/>
          <w:bCs/>
        </w:rPr>
        <w:t>would</w:t>
      </w:r>
      <w:r w:rsidR="00953039">
        <w:rPr>
          <w:rFonts w:ascii="Times New Roman" w:hAnsi="Times New Roman" w:cs="Times New Roman"/>
          <w:bCs/>
        </w:rPr>
        <w:t xml:space="preserve"> suggest </w:t>
      </w:r>
      <w:r w:rsidR="006050A3">
        <w:rPr>
          <w:rFonts w:ascii="Times New Roman" w:hAnsi="Times New Roman" w:cs="Times New Roman"/>
          <w:bCs/>
        </w:rPr>
        <w:t>that</w:t>
      </w:r>
      <w:r w:rsidR="00953039">
        <w:rPr>
          <w:rFonts w:ascii="Times New Roman" w:hAnsi="Times New Roman" w:cs="Times New Roman"/>
          <w:bCs/>
        </w:rPr>
        <w:t xml:space="preserve"> </w:t>
      </w:r>
      <w:r w:rsidR="006050A3">
        <w:rPr>
          <w:rFonts w:ascii="Times New Roman" w:hAnsi="Times New Roman" w:cs="Times New Roman"/>
          <w:bCs/>
        </w:rPr>
        <w:t>the most appropriate</w:t>
      </w:r>
      <w:r w:rsidR="00953039">
        <w:rPr>
          <w:rFonts w:ascii="Times New Roman" w:hAnsi="Times New Roman" w:cs="Times New Roman"/>
          <w:bCs/>
        </w:rPr>
        <w:t xml:space="preserve"> </w:t>
      </w:r>
      <w:r w:rsidR="006050A3">
        <w:rPr>
          <w:rFonts w:ascii="Times New Roman" w:hAnsi="Times New Roman" w:cs="Times New Roman"/>
          <w:bCs/>
        </w:rPr>
        <w:t>approach</w:t>
      </w:r>
      <w:r w:rsidR="00953039">
        <w:rPr>
          <w:rFonts w:ascii="Times New Roman" w:hAnsi="Times New Roman" w:cs="Times New Roman"/>
          <w:bCs/>
        </w:rPr>
        <w:t xml:space="preserve"> to meeting the </w:t>
      </w:r>
      <w:r w:rsidR="00577012">
        <w:rPr>
          <w:rFonts w:ascii="Times New Roman" w:hAnsi="Times New Roman" w:cs="Times New Roman"/>
          <w:bCs/>
        </w:rPr>
        <w:t>need</w:t>
      </w:r>
      <w:r w:rsidR="00953039">
        <w:rPr>
          <w:rFonts w:ascii="Times New Roman" w:hAnsi="Times New Roman" w:cs="Times New Roman"/>
          <w:bCs/>
        </w:rPr>
        <w:t xml:space="preserve"> for olde </w:t>
      </w:r>
      <w:r w:rsidR="00577012">
        <w:rPr>
          <w:rFonts w:ascii="Times New Roman" w:hAnsi="Times New Roman" w:cs="Times New Roman"/>
          <w:bCs/>
        </w:rPr>
        <w:t>people’s</w:t>
      </w:r>
      <w:r w:rsidR="00953039">
        <w:rPr>
          <w:rFonts w:ascii="Times New Roman" w:hAnsi="Times New Roman" w:cs="Times New Roman"/>
          <w:bCs/>
        </w:rPr>
        <w:t xml:space="preserve"> </w:t>
      </w:r>
      <w:r w:rsidR="00577012">
        <w:rPr>
          <w:rFonts w:ascii="Times New Roman" w:hAnsi="Times New Roman" w:cs="Times New Roman"/>
          <w:bCs/>
        </w:rPr>
        <w:t>housing</w:t>
      </w:r>
      <w:r w:rsidR="00953039">
        <w:rPr>
          <w:rFonts w:ascii="Times New Roman" w:hAnsi="Times New Roman" w:cs="Times New Roman"/>
          <w:bCs/>
        </w:rPr>
        <w:t xml:space="preserve"> </w:t>
      </w:r>
      <w:r w:rsidR="006050A3">
        <w:rPr>
          <w:rFonts w:ascii="Times New Roman" w:hAnsi="Times New Roman" w:cs="Times New Roman"/>
          <w:bCs/>
        </w:rPr>
        <w:t>is to identify</w:t>
      </w:r>
      <w:r w:rsidR="00953039">
        <w:rPr>
          <w:rFonts w:ascii="Times New Roman" w:hAnsi="Times New Roman" w:cs="Times New Roman"/>
          <w:bCs/>
        </w:rPr>
        <w:t xml:space="preserve"> and allocate </w:t>
      </w:r>
      <w:r w:rsidR="006050A3">
        <w:rPr>
          <w:rFonts w:ascii="Times New Roman" w:hAnsi="Times New Roman" w:cs="Times New Roman"/>
          <w:bCs/>
        </w:rPr>
        <w:t>specific</w:t>
      </w:r>
      <w:r w:rsidR="00953039">
        <w:rPr>
          <w:rFonts w:ascii="Times New Roman" w:hAnsi="Times New Roman" w:cs="Times New Roman"/>
          <w:bCs/>
        </w:rPr>
        <w:t xml:space="preserve"> sites for development</w:t>
      </w:r>
      <w:r w:rsidR="001E2E1B">
        <w:rPr>
          <w:rFonts w:ascii="Times New Roman" w:hAnsi="Times New Roman" w:cs="Times New Roman"/>
          <w:bCs/>
        </w:rPr>
        <w:t xml:space="preserve"> alongside a positive approach to permitting such development. If a policy </w:t>
      </w:r>
      <w:r w:rsidR="002A42C6">
        <w:rPr>
          <w:rFonts w:ascii="Times New Roman" w:hAnsi="Times New Roman" w:cs="Times New Roman"/>
          <w:bCs/>
        </w:rPr>
        <w:t>requiring</w:t>
      </w:r>
      <w:r w:rsidR="00577012">
        <w:rPr>
          <w:rFonts w:ascii="Times New Roman" w:hAnsi="Times New Roman" w:cs="Times New Roman"/>
          <w:bCs/>
        </w:rPr>
        <w:t xml:space="preserve"> developments </w:t>
      </w:r>
      <w:r w:rsidR="002A42C6">
        <w:rPr>
          <w:rFonts w:ascii="Times New Roman" w:hAnsi="Times New Roman" w:cs="Times New Roman"/>
          <w:bCs/>
        </w:rPr>
        <w:t xml:space="preserve">above a specific size threshold </w:t>
      </w:r>
      <w:r w:rsidR="00577012">
        <w:rPr>
          <w:rFonts w:ascii="Times New Roman" w:hAnsi="Times New Roman" w:cs="Times New Roman"/>
          <w:bCs/>
        </w:rPr>
        <w:t xml:space="preserve">to provide units for older people </w:t>
      </w:r>
      <w:r w:rsidR="00B656E4">
        <w:rPr>
          <w:rFonts w:ascii="Times New Roman" w:hAnsi="Times New Roman" w:cs="Times New Roman"/>
          <w:bCs/>
        </w:rPr>
        <w:t xml:space="preserve">HBF </w:t>
      </w:r>
      <w:r w:rsidR="00282D68">
        <w:rPr>
          <w:rFonts w:ascii="Times New Roman" w:hAnsi="Times New Roman" w:cs="Times New Roman"/>
          <w:bCs/>
        </w:rPr>
        <w:t>would</w:t>
      </w:r>
      <w:r w:rsidR="00B656E4">
        <w:rPr>
          <w:rFonts w:ascii="Times New Roman" w:hAnsi="Times New Roman" w:cs="Times New Roman"/>
          <w:bCs/>
        </w:rPr>
        <w:t xml:space="preserve"> </w:t>
      </w:r>
      <w:r w:rsidR="00282D68">
        <w:rPr>
          <w:rFonts w:ascii="Times New Roman" w:hAnsi="Times New Roman" w:cs="Times New Roman"/>
          <w:bCs/>
        </w:rPr>
        <w:t>suggest</w:t>
      </w:r>
      <w:r w:rsidR="00B656E4">
        <w:rPr>
          <w:rFonts w:ascii="Times New Roman" w:hAnsi="Times New Roman" w:cs="Times New Roman"/>
          <w:bCs/>
        </w:rPr>
        <w:t xml:space="preserve"> </w:t>
      </w:r>
      <w:r w:rsidR="00282D68">
        <w:rPr>
          <w:rFonts w:ascii="Times New Roman" w:hAnsi="Times New Roman" w:cs="Times New Roman"/>
          <w:bCs/>
        </w:rPr>
        <w:t>that</w:t>
      </w:r>
      <w:r w:rsidR="00B656E4">
        <w:rPr>
          <w:rFonts w:ascii="Times New Roman" w:hAnsi="Times New Roman" w:cs="Times New Roman"/>
          <w:bCs/>
        </w:rPr>
        <w:t xml:space="preserve"> </w:t>
      </w:r>
      <w:r w:rsidR="00282D68">
        <w:rPr>
          <w:rFonts w:ascii="Times New Roman" w:hAnsi="Times New Roman" w:cs="Times New Roman"/>
          <w:bCs/>
        </w:rPr>
        <w:t>the</w:t>
      </w:r>
      <w:r w:rsidR="00B656E4">
        <w:rPr>
          <w:rFonts w:ascii="Times New Roman" w:hAnsi="Times New Roman" w:cs="Times New Roman"/>
          <w:bCs/>
        </w:rPr>
        <w:t xml:space="preserve"> </w:t>
      </w:r>
      <w:r w:rsidR="00282D68">
        <w:rPr>
          <w:rFonts w:ascii="Times New Roman" w:hAnsi="Times New Roman" w:cs="Times New Roman"/>
          <w:bCs/>
        </w:rPr>
        <w:t>policy</w:t>
      </w:r>
      <w:r w:rsidR="00B656E4">
        <w:rPr>
          <w:rFonts w:ascii="Times New Roman" w:hAnsi="Times New Roman" w:cs="Times New Roman"/>
          <w:bCs/>
        </w:rPr>
        <w:t xml:space="preserve"> needs clarity as to </w:t>
      </w:r>
      <w:r w:rsidR="00282D68">
        <w:rPr>
          <w:rFonts w:ascii="Times New Roman" w:hAnsi="Times New Roman" w:cs="Times New Roman"/>
          <w:bCs/>
        </w:rPr>
        <w:t>what</w:t>
      </w:r>
      <w:r w:rsidR="00B656E4">
        <w:rPr>
          <w:rFonts w:ascii="Times New Roman" w:hAnsi="Times New Roman" w:cs="Times New Roman"/>
          <w:bCs/>
        </w:rPr>
        <w:t xml:space="preserve"> is </w:t>
      </w:r>
      <w:r w:rsidR="00282D68">
        <w:rPr>
          <w:rFonts w:ascii="Times New Roman" w:hAnsi="Times New Roman" w:cs="Times New Roman"/>
          <w:bCs/>
        </w:rPr>
        <w:t xml:space="preserve">expected </w:t>
      </w:r>
      <w:r w:rsidR="00B656E4">
        <w:rPr>
          <w:rFonts w:ascii="Times New Roman" w:hAnsi="Times New Roman" w:cs="Times New Roman"/>
          <w:bCs/>
        </w:rPr>
        <w:t xml:space="preserve">of development with regard </w:t>
      </w:r>
      <w:r w:rsidR="00282D68">
        <w:rPr>
          <w:rFonts w:ascii="Times New Roman" w:hAnsi="Times New Roman" w:cs="Times New Roman"/>
          <w:bCs/>
        </w:rPr>
        <w:t>older peoples accommodation and for the threshold to be significantly higher</w:t>
      </w:r>
      <w:r w:rsidR="00C26118">
        <w:rPr>
          <w:rFonts w:ascii="Times New Roman" w:hAnsi="Times New Roman" w:cs="Times New Roman"/>
          <w:bCs/>
        </w:rPr>
        <w:t xml:space="preserve"> for it to be effective and not impact on the deliverability of smaller sites. </w:t>
      </w:r>
    </w:p>
    <w:p w14:paraId="3018E659" w14:textId="49B93444" w:rsidR="009B6A75" w:rsidRDefault="009B6A75" w:rsidP="009B6A75">
      <w:pPr>
        <w:widowControl/>
        <w:suppressAutoHyphens w:val="0"/>
        <w:autoSpaceDE/>
        <w:spacing w:after="240" w:line="360" w:lineRule="auto"/>
        <w:jc w:val="both"/>
        <w:rPr>
          <w:rFonts w:ascii="Times New Roman" w:hAnsi="Times New Roman" w:cs="Times New Roman"/>
          <w:b/>
        </w:rPr>
      </w:pPr>
      <w:r w:rsidRPr="00106078">
        <w:rPr>
          <w:rFonts w:ascii="Times New Roman" w:hAnsi="Times New Roman" w:cs="Times New Roman"/>
          <w:b/>
        </w:rPr>
        <w:t>H6 – smaller sites</w:t>
      </w:r>
    </w:p>
    <w:p w14:paraId="1F492EC6" w14:textId="70FD6AFC" w:rsidR="00B70ECB" w:rsidRDefault="00A32302" w:rsidP="0074524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In paragraph 2.30 the Council note that the NPPF requires</w:t>
      </w:r>
      <w:r w:rsidR="0025244A">
        <w:rPr>
          <w:rFonts w:ascii="Times New Roman" w:hAnsi="Times New Roman" w:cs="Times New Roman"/>
          <w:bCs/>
        </w:rPr>
        <w:t xml:space="preserve"> </w:t>
      </w:r>
      <w:r>
        <w:rPr>
          <w:rFonts w:ascii="Times New Roman" w:hAnsi="Times New Roman" w:cs="Times New Roman"/>
          <w:bCs/>
        </w:rPr>
        <w:t xml:space="preserve">the council to </w:t>
      </w:r>
      <w:r w:rsidR="0025244A">
        <w:rPr>
          <w:rFonts w:ascii="Times New Roman" w:hAnsi="Times New Roman" w:cs="Times New Roman"/>
          <w:bCs/>
        </w:rPr>
        <w:t>identify</w:t>
      </w:r>
      <w:r>
        <w:rPr>
          <w:rFonts w:ascii="Times New Roman" w:hAnsi="Times New Roman" w:cs="Times New Roman"/>
          <w:bCs/>
        </w:rPr>
        <w:t xml:space="preserve"> land to accommodate </w:t>
      </w:r>
      <w:r w:rsidR="0025244A">
        <w:rPr>
          <w:rFonts w:ascii="Times New Roman" w:hAnsi="Times New Roman" w:cs="Times New Roman"/>
          <w:bCs/>
        </w:rPr>
        <w:t>at least 10% of its house requirements on sites no larger than one hectare</w:t>
      </w:r>
      <w:r w:rsidR="00962345">
        <w:rPr>
          <w:rFonts w:ascii="Times New Roman" w:hAnsi="Times New Roman" w:cs="Times New Roman"/>
          <w:bCs/>
        </w:rPr>
        <w:t xml:space="preserve"> – </w:t>
      </w:r>
      <w:r w:rsidR="00BC683F">
        <w:rPr>
          <w:rFonts w:ascii="Times New Roman" w:hAnsi="Times New Roman" w:cs="Times New Roman"/>
          <w:bCs/>
        </w:rPr>
        <w:t>around</w:t>
      </w:r>
      <w:r w:rsidR="00962345">
        <w:rPr>
          <w:rFonts w:ascii="Times New Roman" w:hAnsi="Times New Roman" w:cs="Times New Roman"/>
          <w:bCs/>
        </w:rPr>
        <w:t xml:space="preserve"> 1,700 homes based on the </w:t>
      </w:r>
      <w:r w:rsidR="00BC683F">
        <w:rPr>
          <w:rFonts w:ascii="Times New Roman" w:hAnsi="Times New Roman" w:cs="Times New Roman"/>
          <w:bCs/>
        </w:rPr>
        <w:t>council’s</w:t>
      </w:r>
      <w:r w:rsidR="00962345">
        <w:rPr>
          <w:rFonts w:ascii="Times New Roman" w:hAnsi="Times New Roman" w:cs="Times New Roman"/>
          <w:bCs/>
        </w:rPr>
        <w:t xml:space="preserve"> plan period but over 2,000 </w:t>
      </w:r>
      <w:r w:rsidR="00BC683F">
        <w:rPr>
          <w:rFonts w:ascii="Times New Roman" w:hAnsi="Times New Roman" w:cs="Times New Roman"/>
          <w:bCs/>
        </w:rPr>
        <w:t xml:space="preserve">over policy compliant plan period proposed by HBF. </w:t>
      </w:r>
      <w:r w:rsidR="00762F93">
        <w:rPr>
          <w:rFonts w:ascii="Times New Roman" w:hAnsi="Times New Roman" w:cs="Times New Roman"/>
          <w:bCs/>
        </w:rPr>
        <w:t xml:space="preserve">As set out earlier the Council will need to ensure that sufficient deliverable sites are allocated in plan or identified in the brownfield register to meet this requirement. </w:t>
      </w:r>
      <w:r w:rsidR="001B0F43">
        <w:rPr>
          <w:rFonts w:ascii="Times New Roman" w:hAnsi="Times New Roman" w:cs="Times New Roman"/>
          <w:bCs/>
        </w:rPr>
        <w:t xml:space="preserve">While it is important to provide support for small windfall sites this cannot be used as </w:t>
      </w:r>
      <w:r w:rsidR="002F2E07">
        <w:rPr>
          <w:rFonts w:ascii="Times New Roman" w:hAnsi="Times New Roman" w:cs="Times New Roman"/>
          <w:bCs/>
        </w:rPr>
        <w:t>justification</w:t>
      </w:r>
      <w:r w:rsidR="001B0F43">
        <w:rPr>
          <w:rFonts w:ascii="Times New Roman" w:hAnsi="Times New Roman" w:cs="Times New Roman"/>
          <w:bCs/>
        </w:rPr>
        <w:t xml:space="preserve"> for not </w:t>
      </w:r>
      <w:r w:rsidR="002F2E07">
        <w:rPr>
          <w:rFonts w:ascii="Times New Roman" w:hAnsi="Times New Roman" w:cs="Times New Roman"/>
          <w:bCs/>
        </w:rPr>
        <w:t xml:space="preserve">meeting the 10% small site requirement in national policy which is </w:t>
      </w:r>
      <w:r w:rsidR="008B569B">
        <w:rPr>
          <w:rFonts w:ascii="Times New Roman" w:hAnsi="Times New Roman" w:cs="Times New Roman"/>
          <w:bCs/>
        </w:rPr>
        <w:t>aimed at securing the certainty that comes from a site allocation for SME builders.</w:t>
      </w:r>
    </w:p>
    <w:p w14:paraId="478DBEE2" w14:textId="170D3647" w:rsidR="009339C6" w:rsidRDefault="00B70ECB" w:rsidP="0074524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lastRenderedPageBreak/>
        <w:t xml:space="preserve">The Council state in paragraph 2.34 </w:t>
      </w:r>
      <w:r w:rsidR="0074532A">
        <w:rPr>
          <w:rFonts w:ascii="Times New Roman" w:hAnsi="Times New Roman" w:cs="Times New Roman"/>
          <w:bCs/>
        </w:rPr>
        <w:t xml:space="preserve">This policy </w:t>
      </w:r>
      <w:r>
        <w:rPr>
          <w:rFonts w:ascii="Times New Roman" w:hAnsi="Times New Roman" w:cs="Times New Roman"/>
          <w:bCs/>
        </w:rPr>
        <w:t>aims</w:t>
      </w:r>
      <w:r w:rsidR="0074532A">
        <w:rPr>
          <w:rFonts w:ascii="Times New Roman" w:hAnsi="Times New Roman" w:cs="Times New Roman"/>
          <w:bCs/>
        </w:rPr>
        <w:t xml:space="preserve"> to support the delivery of such </w:t>
      </w:r>
      <w:r w:rsidR="00733CDE">
        <w:rPr>
          <w:rFonts w:ascii="Times New Roman" w:hAnsi="Times New Roman" w:cs="Times New Roman"/>
          <w:bCs/>
        </w:rPr>
        <w:t>sites,</w:t>
      </w:r>
      <w:r w:rsidR="0074532A">
        <w:rPr>
          <w:rFonts w:ascii="Times New Roman" w:hAnsi="Times New Roman" w:cs="Times New Roman"/>
          <w:bCs/>
        </w:rPr>
        <w:t xml:space="preserve"> </w:t>
      </w:r>
      <w:r w:rsidR="00313D9E">
        <w:rPr>
          <w:rFonts w:ascii="Times New Roman" w:hAnsi="Times New Roman" w:cs="Times New Roman"/>
          <w:bCs/>
        </w:rPr>
        <w:t>but it</w:t>
      </w:r>
      <w:r w:rsidR="00733CDE">
        <w:rPr>
          <w:rFonts w:ascii="Times New Roman" w:hAnsi="Times New Roman" w:cs="Times New Roman"/>
          <w:bCs/>
        </w:rPr>
        <w:t xml:space="preserve"> is not clear</w:t>
      </w:r>
      <w:r w:rsidR="00313D9E">
        <w:rPr>
          <w:rFonts w:ascii="Times New Roman" w:hAnsi="Times New Roman" w:cs="Times New Roman"/>
          <w:bCs/>
        </w:rPr>
        <w:t xml:space="preserve"> how</w:t>
      </w:r>
      <w:r w:rsidR="00733CDE">
        <w:rPr>
          <w:rFonts w:ascii="Times New Roman" w:hAnsi="Times New Roman" w:cs="Times New Roman"/>
          <w:bCs/>
        </w:rPr>
        <w:t>,</w:t>
      </w:r>
      <w:r w:rsidR="00313D9E">
        <w:rPr>
          <w:rFonts w:ascii="Times New Roman" w:hAnsi="Times New Roman" w:cs="Times New Roman"/>
          <w:bCs/>
        </w:rPr>
        <w:t xml:space="preserve"> as </w:t>
      </w:r>
      <w:r w:rsidR="00733CDE">
        <w:rPr>
          <w:rFonts w:ascii="Times New Roman" w:hAnsi="Times New Roman" w:cs="Times New Roman"/>
          <w:bCs/>
        </w:rPr>
        <w:t>the policy</w:t>
      </w:r>
      <w:r w:rsidR="00313D9E">
        <w:rPr>
          <w:rFonts w:ascii="Times New Roman" w:hAnsi="Times New Roman" w:cs="Times New Roman"/>
          <w:bCs/>
        </w:rPr>
        <w:t xml:space="preserve"> </w:t>
      </w:r>
      <w:r w:rsidR="0052174B">
        <w:rPr>
          <w:rFonts w:ascii="Times New Roman" w:hAnsi="Times New Roman" w:cs="Times New Roman"/>
          <w:bCs/>
        </w:rPr>
        <w:t xml:space="preserve">not positively written and </w:t>
      </w:r>
      <w:r w:rsidR="00313D9E">
        <w:rPr>
          <w:rFonts w:ascii="Times New Roman" w:hAnsi="Times New Roman" w:cs="Times New Roman"/>
          <w:bCs/>
        </w:rPr>
        <w:t xml:space="preserve">provides </w:t>
      </w:r>
      <w:r w:rsidR="0052174B">
        <w:rPr>
          <w:rFonts w:ascii="Times New Roman" w:hAnsi="Times New Roman" w:cs="Times New Roman"/>
          <w:bCs/>
        </w:rPr>
        <w:t>no</w:t>
      </w:r>
      <w:r w:rsidR="004216ED">
        <w:rPr>
          <w:rFonts w:ascii="Times New Roman" w:hAnsi="Times New Roman" w:cs="Times New Roman"/>
          <w:bCs/>
        </w:rPr>
        <w:t xml:space="preserve"> particular benefits </w:t>
      </w:r>
      <w:r w:rsidR="0052174B">
        <w:rPr>
          <w:rFonts w:ascii="Times New Roman" w:hAnsi="Times New Roman" w:cs="Times New Roman"/>
          <w:bCs/>
        </w:rPr>
        <w:t>or advantages to those developers bringing forward small sites</w:t>
      </w:r>
      <w:r w:rsidR="004216ED">
        <w:rPr>
          <w:rFonts w:ascii="Times New Roman" w:hAnsi="Times New Roman" w:cs="Times New Roman"/>
          <w:bCs/>
        </w:rPr>
        <w:t>.</w:t>
      </w:r>
      <w:r w:rsidR="00A15625">
        <w:rPr>
          <w:rFonts w:ascii="Times New Roman" w:hAnsi="Times New Roman" w:cs="Times New Roman"/>
          <w:bCs/>
        </w:rPr>
        <w:t xml:space="preserve"> For </w:t>
      </w:r>
      <w:r w:rsidR="003F0876">
        <w:rPr>
          <w:rFonts w:ascii="Times New Roman" w:hAnsi="Times New Roman" w:cs="Times New Roman"/>
          <w:bCs/>
        </w:rPr>
        <w:t>example,</w:t>
      </w:r>
      <w:r w:rsidR="00A15625">
        <w:rPr>
          <w:rFonts w:ascii="Times New Roman" w:hAnsi="Times New Roman" w:cs="Times New Roman"/>
          <w:bCs/>
        </w:rPr>
        <w:t xml:space="preserve"> the </w:t>
      </w:r>
      <w:r w:rsidR="00962E3E">
        <w:rPr>
          <w:rFonts w:ascii="Times New Roman" w:hAnsi="Times New Roman" w:cs="Times New Roman"/>
          <w:bCs/>
        </w:rPr>
        <w:t>policy</w:t>
      </w:r>
      <w:r w:rsidR="00A15625">
        <w:rPr>
          <w:rFonts w:ascii="Times New Roman" w:hAnsi="Times New Roman" w:cs="Times New Roman"/>
          <w:bCs/>
        </w:rPr>
        <w:t xml:space="preserve"> suggests that</w:t>
      </w:r>
      <w:r w:rsidR="00962E3E">
        <w:rPr>
          <w:rFonts w:ascii="Times New Roman" w:hAnsi="Times New Roman" w:cs="Times New Roman"/>
          <w:bCs/>
        </w:rPr>
        <w:t xml:space="preserve"> proposal</w:t>
      </w:r>
      <w:r w:rsidR="00B248C0">
        <w:rPr>
          <w:rFonts w:ascii="Times New Roman" w:hAnsi="Times New Roman" w:cs="Times New Roman"/>
          <w:bCs/>
        </w:rPr>
        <w:t xml:space="preserve"> on small sites </w:t>
      </w:r>
      <w:r>
        <w:rPr>
          <w:rFonts w:ascii="Times New Roman" w:hAnsi="Times New Roman" w:cs="Times New Roman"/>
          <w:bCs/>
        </w:rPr>
        <w:t>make</w:t>
      </w:r>
      <w:r w:rsidR="00B248C0">
        <w:rPr>
          <w:rFonts w:ascii="Times New Roman" w:hAnsi="Times New Roman" w:cs="Times New Roman"/>
          <w:bCs/>
        </w:rPr>
        <w:t xml:space="preserve"> </w:t>
      </w:r>
      <w:r w:rsidR="0052174B">
        <w:rPr>
          <w:rFonts w:ascii="Times New Roman" w:hAnsi="Times New Roman" w:cs="Times New Roman"/>
          <w:bCs/>
        </w:rPr>
        <w:t>“</w:t>
      </w:r>
      <w:r w:rsidR="00B248C0">
        <w:rPr>
          <w:rFonts w:ascii="Times New Roman" w:hAnsi="Times New Roman" w:cs="Times New Roman"/>
          <w:bCs/>
        </w:rPr>
        <w:t xml:space="preserve">the best and </w:t>
      </w:r>
      <w:r w:rsidR="00B248C0" w:rsidRPr="0052174B">
        <w:rPr>
          <w:rFonts w:ascii="Times New Roman" w:hAnsi="Times New Roman" w:cs="Times New Roman"/>
          <w:bCs/>
        </w:rPr>
        <w:t xml:space="preserve">most </w:t>
      </w:r>
      <w:r w:rsidR="00962E3E">
        <w:rPr>
          <w:rFonts w:ascii="Times New Roman" w:hAnsi="Times New Roman" w:cs="Times New Roman"/>
          <w:bCs/>
        </w:rPr>
        <w:t>efficient</w:t>
      </w:r>
      <w:r w:rsidR="00B248C0">
        <w:rPr>
          <w:rFonts w:ascii="Times New Roman" w:hAnsi="Times New Roman" w:cs="Times New Roman"/>
          <w:bCs/>
        </w:rPr>
        <w:t xml:space="preserve"> use of land</w:t>
      </w:r>
      <w:r w:rsidR="0052174B">
        <w:rPr>
          <w:rFonts w:ascii="Times New Roman" w:hAnsi="Times New Roman" w:cs="Times New Roman"/>
          <w:bCs/>
        </w:rPr>
        <w:t>”</w:t>
      </w:r>
      <w:r w:rsidR="00B248C0">
        <w:rPr>
          <w:rFonts w:ascii="Times New Roman" w:hAnsi="Times New Roman" w:cs="Times New Roman"/>
          <w:bCs/>
        </w:rPr>
        <w:t xml:space="preserve"> </w:t>
      </w:r>
      <w:r w:rsidR="00962E3E">
        <w:rPr>
          <w:rFonts w:ascii="Times New Roman" w:hAnsi="Times New Roman" w:cs="Times New Roman"/>
          <w:bCs/>
        </w:rPr>
        <w:t>compared</w:t>
      </w:r>
      <w:r w:rsidR="00B248C0">
        <w:rPr>
          <w:rFonts w:ascii="Times New Roman" w:hAnsi="Times New Roman" w:cs="Times New Roman"/>
          <w:bCs/>
        </w:rPr>
        <w:t xml:space="preserve"> to national </w:t>
      </w:r>
      <w:r w:rsidR="00962E3E">
        <w:rPr>
          <w:rFonts w:ascii="Times New Roman" w:hAnsi="Times New Roman" w:cs="Times New Roman"/>
          <w:bCs/>
        </w:rPr>
        <w:t>policy</w:t>
      </w:r>
      <w:r w:rsidR="00B248C0">
        <w:rPr>
          <w:rFonts w:ascii="Times New Roman" w:hAnsi="Times New Roman" w:cs="Times New Roman"/>
          <w:bCs/>
        </w:rPr>
        <w:t xml:space="preserve"> which states that development should </w:t>
      </w:r>
      <w:r w:rsidR="0052174B">
        <w:rPr>
          <w:rFonts w:ascii="Times New Roman" w:hAnsi="Times New Roman" w:cs="Times New Roman"/>
          <w:bCs/>
        </w:rPr>
        <w:t>“</w:t>
      </w:r>
      <w:r w:rsidR="00B248C0" w:rsidRPr="0052174B">
        <w:rPr>
          <w:rFonts w:ascii="Times New Roman" w:hAnsi="Times New Roman" w:cs="Times New Roman"/>
          <w:bCs/>
          <w:i/>
          <w:iCs/>
        </w:rPr>
        <w:t xml:space="preserve">make </w:t>
      </w:r>
      <w:r w:rsidR="00962E3E" w:rsidRPr="0052174B">
        <w:rPr>
          <w:rFonts w:ascii="Times New Roman" w:hAnsi="Times New Roman" w:cs="Times New Roman"/>
          <w:bCs/>
          <w:i/>
          <w:iCs/>
        </w:rPr>
        <w:t>efficient</w:t>
      </w:r>
      <w:r w:rsidR="00B248C0" w:rsidRPr="0052174B">
        <w:rPr>
          <w:rFonts w:ascii="Times New Roman" w:hAnsi="Times New Roman" w:cs="Times New Roman"/>
          <w:bCs/>
          <w:i/>
          <w:iCs/>
        </w:rPr>
        <w:t xml:space="preserve"> use of land</w:t>
      </w:r>
      <w:r w:rsidR="0052174B">
        <w:rPr>
          <w:rFonts w:ascii="Times New Roman" w:hAnsi="Times New Roman" w:cs="Times New Roman"/>
          <w:bCs/>
        </w:rPr>
        <w:t>”</w:t>
      </w:r>
      <w:r w:rsidR="00B248C0">
        <w:rPr>
          <w:rFonts w:ascii="Times New Roman" w:hAnsi="Times New Roman" w:cs="Times New Roman"/>
          <w:bCs/>
        </w:rPr>
        <w:t xml:space="preserve"> </w:t>
      </w:r>
      <w:r w:rsidR="00962E3E">
        <w:rPr>
          <w:rFonts w:ascii="Times New Roman" w:hAnsi="Times New Roman" w:cs="Times New Roman"/>
          <w:bCs/>
        </w:rPr>
        <w:t>taking into account a range of circumstances.</w:t>
      </w:r>
      <w:r w:rsidR="0052174B">
        <w:rPr>
          <w:rFonts w:ascii="Times New Roman" w:hAnsi="Times New Roman" w:cs="Times New Roman"/>
          <w:bCs/>
        </w:rPr>
        <w:t xml:space="preserve"> It is not clear why small sites </w:t>
      </w:r>
      <w:r w:rsidR="004662B1">
        <w:rPr>
          <w:rFonts w:ascii="Times New Roman" w:hAnsi="Times New Roman" w:cs="Times New Roman"/>
          <w:bCs/>
        </w:rPr>
        <w:t xml:space="preserve">are required to do more with </w:t>
      </w:r>
      <w:r w:rsidR="00D45335">
        <w:rPr>
          <w:rFonts w:ascii="Times New Roman" w:hAnsi="Times New Roman" w:cs="Times New Roman"/>
          <w:bCs/>
        </w:rPr>
        <w:t>regard</w:t>
      </w:r>
      <w:r w:rsidR="004662B1">
        <w:rPr>
          <w:rFonts w:ascii="Times New Roman" w:hAnsi="Times New Roman" w:cs="Times New Roman"/>
          <w:bCs/>
        </w:rPr>
        <w:t xml:space="preserve"> to the </w:t>
      </w:r>
      <w:r w:rsidR="00D45335">
        <w:rPr>
          <w:rFonts w:ascii="Times New Roman" w:hAnsi="Times New Roman" w:cs="Times New Roman"/>
          <w:bCs/>
        </w:rPr>
        <w:t>efficient</w:t>
      </w:r>
      <w:r w:rsidR="004662B1">
        <w:rPr>
          <w:rFonts w:ascii="Times New Roman" w:hAnsi="Times New Roman" w:cs="Times New Roman"/>
          <w:bCs/>
        </w:rPr>
        <w:t xml:space="preserve"> use of land </w:t>
      </w:r>
      <w:r w:rsidR="00D45335">
        <w:rPr>
          <w:rFonts w:ascii="Times New Roman" w:hAnsi="Times New Roman" w:cs="Times New Roman"/>
          <w:bCs/>
        </w:rPr>
        <w:t xml:space="preserve">compared </w:t>
      </w:r>
      <w:r w:rsidR="004662B1">
        <w:rPr>
          <w:rFonts w:ascii="Times New Roman" w:hAnsi="Times New Roman" w:cs="Times New Roman"/>
          <w:bCs/>
        </w:rPr>
        <w:t xml:space="preserve">to </w:t>
      </w:r>
      <w:r w:rsidR="00310BFD">
        <w:rPr>
          <w:rFonts w:ascii="Times New Roman" w:hAnsi="Times New Roman" w:cs="Times New Roman"/>
          <w:bCs/>
        </w:rPr>
        <w:t xml:space="preserve">other </w:t>
      </w:r>
      <w:r w:rsidR="00D45335">
        <w:rPr>
          <w:rFonts w:ascii="Times New Roman" w:hAnsi="Times New Roman" w:cs="Times New Roman"/>
          <w:bCs/>
        </w:rPr>
        <w:t>development</w:t>
      </w:r>
      <w:r w:rsidR="006916B3">
        <w:rPr>
          <w:rFonts w:ascii="Times New Roman" w:hAnsi="Times New Roman" w:cs="Times New Roman"/>
          <w:bCs/>
        </w:rPr>
        <w:t xml:space="preserve">. </w:t>
      </w:r>
      <w:r w:rsidR="004216ED">
        <w:rPr>
          <w:rFonts w:ascii="Times New Roman" w:hAnsi="Times New Roman" w:cs="Times New Roman"/>
          <w:bCs/>
        </w:rPr>
        <w:t xml:space="preserve">The </w:t>
      </w:r>
      <w:r w:rsidR="0036288B">
        <w:rPr>
          <w:rFonts w:ascii="Times New Roman" w:hAnsi="Times New Roman" w:cs="Times New Roman"/>
          <w:bCs/>
        </w:rPr>
        <w:t>policy</w:t>
      </w:r>
      <w:r w:rsidR="004216ED">
        <w:rPr>
          <w:rFonts w:ascii="Times New Roman" w:hAnsi="Times New Roman" w:cs="Times New Roman"/>
          <w:bCs/>
        </w:rPr>
        <w:t xml:space="preserve"> </w:t>
      </w:r>
      <w:r w:rsidR="0036288B">
        <w:rPr>
          <w:rFonts w:ascii="Times New Roman" w:hAnsi="Times New Roman" w:cs="Times New Roman"/>
          <w:bCs/>
        </w:rPr>
        <w:t>should</w:t>
      </w:r>
      <w:r w:rsidR="004216ED">
        <w:rPr>
          <w:rFonts w:ascii="Times New Roman" w:hAnsi="Times New Roman" w:cs="Times New Roman"/>
          <w:bCs/>
        </w:rPr>
        <w:t xml:space="preserve"> be </w:t>
      </w:r>
      <w:r w:rsidR="0036288B">
        <w:rPr>
          <w:rFonts w:ascii="Times New Roman" w:hAnsi="Times New Roman" w:cs="Times New Roman"/>
          <w:bCs/>
        </w:rPr>
        <w:t>rewritten stating that the Council</w:t>
      </w:r>
      <w:r w:rsidR="00D477B7">
        <w:rPr>
          <w:rFonts w:ascii="Times New Roman" w:hAnsi="Times New Roman" w:cs="Times New Roman"/>
          <w:bCs/>
        </w:rPr>
        <w:t xml:space="preserve"> actively encourages</w:t>
      </w:r>
      <w:r w:rsidR="0036288B">
        <w:rPr>
          <w:rFonts w:ascii="Times New Roman" w:hAnsi="Times New Roman" w:cs="Times New Roman"/>
          <w:bCs/>
        </w:rPr>
        <w:t xml:space="preserve"> the development of </w:t>
      </w:r>
      <w:r w:rsidR="00D477B7">
        <w:rPr>
          <w:rFonts w:ascii="Times New Roman" w:hAnsi="Times New Roman" w:cs="Times New Roman"/>
          <w:bCs/>
        </w:rPr>
        <w:t>small</w:t>
      </w:r>
      <w:r w:rsidR="0036288B">
        <w:rPr>
          <w:rFonts w:ascii="Times New Roman" w:hAnsi="Times New Roman" w:cs="Times New Roman"/>
          <w:bCs/>
        </w:rPr>
        <w:t xml:space="preserve"> ho</w:t>
      </w:r>
      <w:r w:rsidR="001021C1">
        <w:rPr>
          <w:rFonts w:ascii="Times New Roman" w:hAnsi="Times New Roman" w:cs="Times New Roman"/>
          <w:bCs/>
        </w:rPr>
        <w:t>u</w:t>
      </w:r>
      <w:r w:rsidR="0036288B">
        <w:rPr>
          <w:rFonts w:ascii="Times New Roman" w:hAnsi="Times New Roman" w:cs="Times New Roman"/>
          <w:bCs/>
        </w:rPr>
        <w:t>sing sites</w:t>
      </w:r>
      <w:r w:rsidR="00BB365D">
        <w:rPr>
          <w:rFonts w:ascii="Times New Roman" w:hAnsi="Times New Roman" w:cs="Times New Roman"/>
          <w:bCs/>
        </w:rPr>
        <w:t xml:space="preserve"> </w:t>
      </w:r>
      <w:r w:rsidR="00D477B7">
        <w:rPr>
          <w:rFonts w:ascii="Times New Roman" w:hAnsi="Times New Roman" w:cs="Times New Roman"/>
          <w:bCs/>
        </w:rPr>
        <w:t xml:space="preserve">and that these will be permitted </w:t>
      </w:r>
      <w:r w:rsidR="006058ED">
        <w:rPr>
          <w:rFonts w:ascii="Times New Roman" w:hAnsi="Times New Roman" w:cs="Times New Roman"/>
          <w:bCs/>
        </w:rPr>
        <w:t xml:space="preserve">without delay </w:t>
      </w:r>
      <w:r w:rsidR="00EF3B03">
        <w:rPr>
          <w:rFonts w:ascii="Times New Roman" w:hAnsi="Times New Roman" w:cs="Times New Roman"/>
          <w:bCs/>
        </w:rPr>
        <w:t xml:space="preserve">where </w:t>
      </w:r>
      <w:r w:rsidR="001021C1">
        <w:rPr>
          <w:rFonts w:ascii="Times New Roman" w:hAnsi="Times New Roman" w:cs="Times New Roman"/>
          <w:bCs/>
        </w:rPr>
        <w:t>these are consistent with other policies in the local plan</w:t>
      </w:r>
      <w:r w:rsidR="006058ED">
        <w:rPr>
          <w:rFonts w:ascii="Times New Roman" w:hAnsi="Times New Roman" w:cs="Times New Roman"/>
          <w:bCs/>
        </w:rPr>
        <w:t>,</w:t>
      </w:r>
      <w:r w:rsidR="005D0EDB">
        <w:rPr>
          <w:rFonts w:ascii="Times New Roman" w:hAnsi="Times New Roman" w:cs="Times New Roman"/>
          <w:bCs/>
        </w:rPr>
        <w:t xml:space="preserve"> rather than seeking to impose</w:t>
      </w:r>
      <w:r w:rsidR="00C90301">
        <w:rPr>
          <w:rFonts w:ascii="Times New Roman" w:hAnsi="Times New Roman" w:cs="Times New Roman"/>
          <w:bCs/>
        </w:rPr>
        <w:t xml:space="preserve"> a</w:t>
      </w:r>
      <w:r w:rsidR="005D0EDB">
        <w:rPr>
          <w:rFonts w:ascii="Times New Roman" w:hAnsi="Times New Roman" w:cs="Times New Roman"/>
          <w:bCs/>
        </w:rPr>
        <w:t xml:space="preserve"> more restrictive approach</w:t>
      </w:r>
      <w:r w:rsidR="00C90301">
        <w:rPr>
          <w:rFonts w:ascii="Times New Roman" w:hAnsi="Times New Roman" w:cs="Times New Roman"/>
          <w:bCs/>
        </w:rPr>
        <w:t xml:space="preserve"> to smaller sites</w:t>
      </w:r>
      <w:r w:rsidR="005D0EDB">
        <w:rPr>
          <w:rFonts w:ascii="Times New Roman" w:hAnsi="Times New Roman" w:cs="Times New Roman"/>
          <w:bCs/>
        </w:rPr>
        <w:t xml:space="preserve">. </w:t>
      </w:r>
      <w:r w:rsidR="001021C1">
        <w:rPr>
          <w:rFonts w:ascii="Times New Roman" w:hAnsi="Times New Roman" w:cs="Times New Roman"/>
          <w:bCs/>
        </w:rPr>
        <w:t xml:space="preserve"> </w:t>
      </w:r>
      <w:r w:rsidR="00EF3B03">
        <w:rPr>
          <w:rFonts w:ascii="Times New Roman" w:hAnsi="Times New Roman" w:cs="Times New Roman"/>
          <w:bCs/>
        </w:rPr>
        <w:t xml:space="preserve"> </w:t>
      </w:r>
    </w:p>
    <w:p w14:paraId="12BB36EF" w14:textId="7E6D4860" w:rsidR="003B2361" w:rsidRDefault="003B2361" w:rsidP="003B2361">
      <w:pPr>
        <w:widowControl/>
        <w:suppressAutoHyphens w:val="0"/>
        <w:autoSpaceDE/>
        <w:spacing w:after="240" w:line="360" w:lineRule="auto"/>
        <w:jc w:val="both"/>
        <w:rPr>
          <w:rFonts w:ascii="Times New Roman" w:hAnsi="Times New Roman" w:cs="Times New Roman"/>
          <w:b/>
        </w:rPr>
      </w:pPr>
      <w:r w:rsidRPr="00340F8E">
        <w:rPr>
          <w:rFonts w:ascii="Times New Roman" w:hAnsi="Times New Roman" w:cs="Times New Roman"/>
          <w:b/>
        </w:rPr>
        <w:t xml:space="preserve">H7 </w:t>
      </w:r>
      <w:r w:rsidR="00340F8E" w:rsidRPr="00340F8E">
        <w:rPr>
          <w:rFonts w:ascii="Times New Roman" w:hAnsi="Times New Roman" w:cs="Times New Roman"/>
          <w:b/>
        </w:rPr>
        <w:t>–</w:t>
      </w:r>
      <w:r w:rsidRPr="00340F8E">
        <w:rPr>
          <w:rFonts w:ascii="Times New Roman" w:hAnsi="Times New Roman" w:cs="Times New Roman"/>
          <w:b/>
        </w:rPr>
        <w:t xml:space="preserve"> </w:t>
      </w:r>
      <w:r w:rsidR="00340F8E" w:rsidRPr="00340F8E">
        <w:rPr>
          <w:rFonts w:ascii="Times New Roman" w:hAnsi="Times New Roman" w:cs="Times New Roman"/>
          <w:b/>
        </w:rPr>
        <w:t>Housing Density and intensification</w:t>
      </w:r>
    </w:p>
    <w:p w14:paraId="2B62F5C7" w14:textId="6BB535C3" w:rsidR="00340F8E" w:rsidRDefault="006916B3" w:rsidP="00907C67">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This policy must state that this it only applies to </w:t>
      </w:r>
      <w:r w:rsidR="001F3EA5">
        <w:rPr>
          <w:rFonts w:ascii="Times New Roman" w:hAnsi="Times New Roman" w:cs="Times New Roman"/>
          <w:bCs/>
        </w:rPr>
        <w:t xml:space="preserve">unallocated sites given that levels of development </w:t>
      </w:r>
      <w:r w:rsidR="00907C67">
        <w:rPr>
          <w:rFonts w:ascii="Times New Roman" w:hAnsi="Times New Roman" w:cs="Times New Roman"/>
          <w:bCs/>
        </w:rPr>
        <w:t xml:space="preserve">on allocated sites have already been indicated in </w:t>
      </w:r>
      <w:r w:rsidR="009070E0">
        <w:rPr>
          <w:rFonts w:ascii="Times New Roman" w:hAnsi="Times New Roman" w:cs="Times New Roman"/>
          <w:bCs/>
        </w:rPr>
        <w:t>policy,</w:t>
      </w:r>
      <w:r w:rsidR="00907C67">
        <w:rPr>
          <w:rFonts w:ascii="Times New Roman" w:hAnsi="Times New Roman" w:cs="Times New Roman"/>
          <w:bCs/>
        </w:rPr>
        <w:t xml:space="preserve"> and </w:t>
      </w:r>
      <w:r w:rsidR="00687D27">
        <w:rPr>
          <w:rFonts w:ascii="Times New Roman" w:hAnsi="Times New Roman" w:cs="Times New Roman"/>
          <w:bCs/>
        </w:rPr>
        <w:t>which must be agreed</w:t>
      </w:r>
      <w:r w:rsidR="00907C67">
        <w:rPr>
          <w:rFonts w:ascii="Times New Roman" w:hAnsi="Times New Roman" w:cs="Times New Roman"/>
          <w:bCs/>
        </w:rPr>
        <w:t xml:space="preserve"> with the landowner or developer promoting those sites. </w:t>
      </w:r>
      <w:r w:rsidR="00D74A02">
        <w:rPr>
          <w:rFonts w:ascii="Times New Roman" w:hAnsi="Times New Roman" w:cs="Times New Roman"/>
          <w:bCs/>
        </w:rPr>
        <w:t xml:space="preserve">It should be clear to the decision maker that the </w:t>
      </w:r>
      <w:r w:rsidR="00A8140C">
        <w:rPr>
          <w:rFonts w:ascii="Times New Roman" w:hAnsi="Times New Roman" w:cs="Times New Roman"/>
          <w:bCs/>
        </w:rPr>
        <w:t xml:space="preserve">expectations regarding density set out in the policies relating to the allocation </w:t>
      </w:r>
      <w:r w:rsidR="00AE4B8A">
        <w:rPr>
          <w:rFonts w:ascii="Times New Roman" w:hAnsi="Times New Roman" w:cs="Times New Roman"/>
          <w:bCs/>
        </w:rPr>
        <w:t xml:space="preserve">do not need to be revisited and that these reflect </w:t>
      </w:r>
      <w:r w:rsidR="00A51648">
        <w:rPr>
          <w:rFonts w:ascii="Times New Roman" w:hAnsi="Times New Roman" w:cs="Times New Roman"/>
          <w:bCs/>
        </w:rPr>
        <w:t xml:space="preserve">what the site can achieved having regard to its locations, surrounding development and the viability of that site. </w:t>
      </w:r>
      <w:r w:rsidR="00A8140C">
        <w:rPr>
          <w:rFonts w:ascii="Times New Roman" w:hAnsi="Times New Roman" w:cs="Times New Roman"/>
          <w:bCs/>
        </w:rPr>
        <w:t xml:space="preserve"> </w:t>
      </w:r>
    </w:p>
    <w:p w14:paraId="307A7A88" w14:textId="13879931" w:rsidR="0096155B" w:rsidRDefault="0096155B" w:rsidP="00907C67">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Part 2 of the </w:t>
      </w:r>
      <w:r w:rsidR="000E5F1D">
        <w:rPr>
          <w:rFonts w:ascii="Times New Roman" w:hAnsi="Times New Roman" w:cs="Times New Roman"/>
          <w:bCs/>
        </w:rPr>
        <w:t>policy</w:t>
      </w:r>
      <w:r>
        <w:rPr>
          <w:rFonts w:ascii="Times New Roman" w:hAnsi="Times New Roman" w:cs="Times New Roman"/>
          <w:bCs/>
        </w:rPr>
        <w:t xml:space="preserve"> refers to </w:t>
      </w:r>
      <w:r w:rsidR="000E5F1D">
        <w:rPr>
          <w:rFonts w:ascii="Times New Roman" w:hAnsi="Times New Roman" w:cs="Times New Roman"/>
          <w:bCs/>
        </w:rPr>
        <w:t xml:space="preserve">the need for </w:t>
      </w:r>
      <w:r w:rsidR="004B49B7">
        <w:rPr>
          <w:rFonts w:ascii="Times New Roman" w:hAnsi="Times New Roman" w:cs="Times New Roman"/>
          <w:bCs/>
        </w:rPr>
        <w:t xml:space="preserve">the density being </w:t>
      </w:r>
      <w:r w:rsidR="00985A82">
        <w:rPr>
          <w:rFonts w:ascii="Times New Roman" w:hAnsi="Times New Roman" w:cs="Times New Roman"/>
          <w:bCs/>
        </w:rPr>
        <w:t>proposed</w:t>
      </w:r>
      <w:r w:rsidR="004B49B7">
        <w:rPr>
          <w:rFonts w:ascii="Times New Roman" w:hAnsi="Times New Roman" w:cs="Times New Roman"/>
          <w:bCs/>
        </w:rPr>
        <w:t xml:space="preserve"> </w:t>
      </w:r>
      <w:r w:rsidR="00985A82">
        <w:rPr>
          <w:rFonts w:ascii="Times New Roman" w:hAnsi="Times New Roman" w:cs="Times New Roman"/>
          <w:bCs/>
        </w:rPr>
        <w:t>not</w:t>
      </w:r>
      <w:r w:rsidR="004B49B7">
        <w:rPr>
          <w:rFonts w:ascii="Times New Roman" w:hAnsi="Times New Roman" w:cs="Times New Roman"/>
          <w:bCs/>
        </w:rPr>
        <w:t xml:space="preserve"> to be detrimental to the surrounding character</w:t>
      </w:r>
      <w:r w:rsidR="00094832">
        <w:rPr>
          <w:rFonts w:ascii="Times New Roman" w:hAnsi="Times New Roman" w:cs="Times New Roman"/>
          <w:bCs/>
        </w:rPr>
        <w:t xml:space="preserve"> or amenity. While this</w:t>
      </w:r>
      <w:r w:rsidR="003C465D">
        <w:rPr>
          <w:rFonts w:ascii="Times New Roman" w:hAnsi="Times New Roman" w:cs="Times New Roman"/>
          <w:bCs/>
        </w:rPr>
        <w:t xml:space="preserve"> </w:t>
      </w:r>
      <w:r w:rsidR="00094832">
        <w:rPr>
          <w:rFonts w:ascii="Times New Roman" w:hAnsi="Times New Roman" w:cs="Times New Roman"/>
          <w:bCs/>
        </w:rPr>
        <w:t xml:space="preserve">is one test set out in paragraph </w:t>
      </w:r>
      <w:r w:rsidR="003C465D">
        <w:rPr>
          <w:rFonts w:ascii="Times New Roman" w:hAnsi="Times New Roman" w:cs="Times New Roman"/>
          <w:bCs/>
        </w:rPr>
        <w:t xml:space="preserve">129 of NPPF it is not the only one. </w:t>
      </w:r>
      <w:r w:rsidR="00985A82">
        <w:rPr>
          <w:rFonts w:ascii="Times New Roman" w:hAnsi="Times New Roman" w:cs="Times New Roman"/>
          <w:bCs/>
        </w:rPr>
        <w:t>Decision</w:t>
      </w:r>
      <w:r w:rsidR="003C465D">
        <w:rPr>
          <w:rFonts w:ascii="Times New Roman" w:hAnsi="Times New Roman" w:cs="Times New Roman"/>
          <w:bCs/>
        </w:rPr>
        <w:t xml:space="preserve"> </w:t>
      </w:r>
      <w:r w:rsidR="00985A82">
        <w:rPr>
          <w:rFonts w:ascii="Times New Roman" w:hAnsi="Times New Roman" w:cs="Times New Roman"/>
          <w:bCs/>
        </w:rPr>
        <w:t>m</w:t>
      </w:r>
      <w:r w:rsidR="003C465D">
        <w:rPr>
          <w:rFonts w:ascii="Times New Roman" w:hAnsi="Times New Roman" w:cs="Times New Roman"/>
          <w:bCs/>
        </w:rPr>
        <w:t>akers will also need to take account of market</w:t>
      </w:r>
      <w:r w:rsidR="004524F0">
        <w:rPr>
          <w:rFonts w:ascii="Times New Roman" w:hAnsi="Times New Roman" w:cs="Times New Roman"/>
          <w:bCs/>
        </w:rPr>
        <w:t xml:space="preserve"> conditions, </w:t>
      </w:r>
      <w:r w:rsidR="00985A82">
        <w:rPr>
          <w:rFonts w:ascii="Times New Roman" w:hAnsi="Times New Roman" w:cs="Times New Roman"/>
          <w:bCs/>
        </w:rPr>
        <w:t>viability</w:t>
      </w:r>
      <w:r w:rsidR="004524F0">
        <w:rPr>
          <w:rFonts w:ascii="Times New Roman" w:hAnsi="Times New Roman" w:cs="Times New Roman"/>
          <w:bCs/>
        </w:rPr>
        <w:t xml:space="preserve"> and the </w:t>
      </w:r>
      <w:r w:rsidR="00985A82">
        <w:rPr>
          <w:rFonts w:ascii="Times New Roman" w:hAnsi="Times New Roman" w:cs="Times New Roman"/>
          <w:bCs/>
        </w:rPr>
        <w:t>identified</w:t>
      </w:r>
      <w:r w:rsidR="004524F0">
        <w:rPr>
          <w:rFonts w:ascii="Times New Roman" w:hAnsi="Times New Roman" w:cs="Times New Roman"/>
          <w:bCs/>
        </w:rPr>
        <w:t xml:space="preserve"> need for new homes</w:t>
      </w:r>
      <w:r w:rsidR="00985A82">
        <w:rPr>
          <w:rFonts w:ascii="Times New Roman" w:hAnsi="Times New Roman" w:cs="Times New Roman"/>
          <w:bCs/>
        </w:rPr>
        <w:t xml:space="preserve">. The decision is more nuanced and balanced than whether the density is appropriate to the character and amenity of the area and this should be reflected within the </w:t>
      </w:r>
      <w:r w:rsidR="00687D27">
        <w:rPr>
          <w:rFonts w:ascii="Times New Roman" w:hAnsi="Times New Roman" w:cs="Times New Roman"/>
          <w:bCs/>
        </w:rPr>
        <w:t>policy</w:t>
      </w:r>
      <w:r w:rsidR="00985A82">
        <w:rPr>
          <w:rFonts w:ascii="Times New Roman" w:hAnsi="Times New Roman" w:cs="Times New Roman"/>
          <w:bCs/>
        </w:rPr>
        <w:t xml:space="preserve">. </w:t>
      </w:r>
    </w:p>
    <w:p w14:paraId="6C25AE9A" w14:textId="42D95805" w:rsidR="00393EA3" w:rsidRDefault="00393EA3" w:rsidP="00907C67">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w:t>
      </w:r>
      <w:r w:rsidR="00BF42E6">
        <w:rPr>
          <w:rFonts w:ascii="Times New Roman" w:hAnsi="Times New Roman" w:cs="Times New Roman"/>
          <w:bCs/>
        </w:rPr>
        <w:t>would</w:t>
      </w:r>
      <w:r>
        <w:rPr>
          <w:rFonts w:ascii="Times New Roman" w:hAnsi="Times New Roman" w:cs="Times New Roman"/>
          <w:bCs/>
        </w:rPr>
        <w:t xml:space="preserve"> </w:t>
      </w:r>
      <w:r w:rsidR="00BF42E6">
        <w:rPr>
          <w:rFonts w:ascii="Times New Roman" w:hAnsi="Times New Roman" w:cs="Times New Roman"/>
          <w:bCs/>
        </w:rPr>
        <w:t>question</w:t>
      </w:r>
      <w:r>
        <w:rPr>
          <w:rFonts w:ascii="Times New Roman" w:hAnsi="Times New Roman" w:cs="Times New Roman"/>
          <w:bCs/>
        </w:rPr>
        <w:t xml:space="preserve"> whether </w:t>
      </w:r>
      <w:r w:rsidR="009D4C99">
        <w:rPr>
          <w:rFonts w:ascii="Times New Roman" w:hAnsi="Times New Roman" w:cs="Times New Roman"/>
          <w:bCs/>
        </w:rPr>
        <w:t>a density range of 30 t</w:t>
      </w:r>
      <w:r w:rsidR="004C5D09">
        <w:rPr>
          <w:rFonts w:ascii="Times New Roman" w:hAnsi="Times New Roman" w:cs="Times New Roman"/>
          <w:bCs/>
        </w:rPr>
        <w:t>o</w:t>
      </w:r>
      <w:r w:rsidR="009D4C99">
        <w:rPr>
          <w:rFonts w:ascii="Times New Roman" w:hAnsi="Times New Roman" w:cs="Times New Roman"/>
          <w:bCs/>
        </w:rPr>
        <w:t xml:space="preserve"> 60</w:t>
      </w:r>
      <w:r w:rsidR="00D632D5">
        <w:rPr>
          <w:rFonts w:ascii="Times New Roman" w:hAnsi="Times New Roman" w:cs="Times New Roman"/>
          <w:bCs/>
        </w:rPr>
        <w:t xml:space="preserve"> dwellings per hectare</w:t>
      </w:r>
      <w:r w:rsidR="009D4C99">
        <w:rPr>
          <w:rFonts w:ascii="Times New Roman" w:hAnsi="Times New Roman" w:cs="Times New Roman"/>
          <w:bCs/>
        </w:rPr>
        <w:t xml:space="preserve"> is appropriate for </w:t>
      </w:r>
      <w:r w:rsidR="00BF42E6">
        <w:rPr>
          <w:rFonts w:ascii="Times New Roman" w:hAnsi="Times New Roman" w:cs="Times New Roman"/>
          <w:bCs/>
        </w:rPr>
        <w:t>rural</w:t>
      </w:r>
      <w:r w:rsidR="009D4C99">
        <w:rPr>
          <w:rFonts w:ascii="Times New Roman" w:hAnsi="Times New Roman" w:cs="Times New Roman"/>
          <w:bCs/>
        </w:rPr>
        <w:t xml:space="preserve"> </w:t>
      </w:r>
      <w:r w:rsidR="00BF42E6">
        <w:rPr>
          <w:rFonts w:ascii="Times New Roman" w:hAnsi="Times New Roman" w:cs="Times New Roman"/>
          <w:bCs/>
        </w:rPr>
        <w:t>areas and villages</w:t>
      </w:r>
      <w:r w:rsidR="009D4C99">
        <w:rPr>
          <w:rFonts w:ascii="Times New Roman" w:hAnsi="Times New Roman" w:cs="Times New Roman"/>
          <w:bCs/>
        </w:rPr>
        <w:t xml:space="preserve">. The upper end of this range </w:t>
      </w:r>
      <w:r w:rsidR="00BF42E6">
        <w:rPr>
          <w:rFonts w:ascii="Times New Roman" w:hAnsi="Times New Roman" w:cs="Times New Roman"/>
          <w:bCs/>
        </w:rPr>
        <w:t xml:space="preserve">very high and not one that is likely to be achieved by SME developers on smaller sites. Sites in such locations are more likely be driven by the prevailing low density character and </w:t>
      </w:r>
      <w:r w:rsidR="00BC7583">
        <w:rPr>
          <w:rFonts w:ascii="Times New Roman" w:hAnsi="Times New Roman" w:cs="Times New Roman"/>
          <w:bCs/>
        </w:rPr>
        <w:t xml:space="preserve">as such as more appropriate policy would be for such sites to simply explore opportunities for </w:t>
      </w:r>
      <w:r w:rsidR="00754CAB">
        <w:rPr>
          <w:rFonts w:ascii="Times New Roman" w:hAnsi="Times New Roman" w:cs="Times New Roman"/>
          <w:bCs/>
        </w:rPr>
        <w:t>achieving higher densities</w:t>
      </w:r>
      <w:r w:rsidR="00BC7583">
        <w:rPr>
          <w:rFonts w:ascii="Times New Roman" w:hAnsi="Times New Roman" w:cs="Times New Roman"/>
          <w:bCs/>
        </w:rPr>
        <w:t>, as set out in the opening paragraph of the policy</w:t>
      </w:r>
      <w:r w:rsidR="00754CAB">
        <w:rPr>
          <w:rFonts w:ascii="Times New Roman" w:hAnsi="Times New Roman" w:cs="Times New Roman"/>
          <w:bCs/>
        </w:rPr>
        <w:t xml:space="preserve"> </w:t>
      </w:r>
      <w:r w:rsidR="00ED57E0">
        <w:rPr>
          <w:rFonts w:ascii="Times New Roman" w:hAnsi="Times New Roman" w:cs="Times New Roman"/>
          <w:bCs/>
        </w:rPr>
        <w:t>with the specific densities being removed for this type of site</w:t>
      </w:r>
      <w:r w:rsidR="00BC7583">
        <w:rPr>
          <w:rFonts w:ascii="Times New Roman" w:hAnsi="Times New Roman" w:cs="Times New Roman"/>
          <w:bCs/>
        </w:rPr>
        <w:t xml:space="preserve">. </w:t>
      </w:r>
      <w:r w:rsidR="009D7689">
        <w:rPr>
          <w:rFonts w:ascii="Times New Roman" w:hAnsi="Times New Roman" w:cs="Times New Roman"/>
          <w:bCs/>
        </w:rPr>
        <w:t>I</w:t>
      </w:r>
      <w:r w:rsidR="00870AE1">
        <w:rPr>
          <w:rFonts w:ascii="Times New Roman" w:hAnsi="Times New Roman" w:cs="Times New Roman"/>
          <w:bCs/>
        </w:rPr>
        <w:t>n</w:t>
      </w:r>
      <w:r w:rsidR="009D7689">
        <w:rPr>
          <w:rFonts w:ascii="Times New Roman" w:hAnsi="Times New Roman" w:cs="Times New Roman"/>
          <w:bCs/>
        </w:rPr>
        <w:t xml:space="preserve"> </w:t>
      </w:r>
      <w:r w:rsidR="00A224F8">
        <w:rPr>
          <w:rFonts w:ascii="Times New Roman" w:hAnsi="Times New Roman" w:cs="Times New Roman"/>
          <w:bCs/>
        </w:rPr>
        <w:t>addition,</w:t>
      </w:r>
      <w:r w:rsidR="009D7689">
        <w:rPr>
          <w:rFonts w:ascii="Times New Roman" w:hAnsi="Times New Roman" w:cs="Times New Roman"/>
          <w:bCs/>
        </w:rPr>
        <w:t xml:space="preserve"> </w:t>
      </w:r>
      <w:r w:rsidR="000663A3">
        <w:rPr>
          <w:rFonts w:ascii="Times New Roman" w:hAnsi="Times New Roman" w:cs="Times New Roman"/>
          <w:bCs/>
        </w:rPr>
        <w:t>HBF would suggest that development on sites of fewer than 10 units should be exempt from achieving specific densities.</w:t>
      </w:r>
      <w:r w:rsidR="00DB3BE1">
        <w:rPr>
          <w:rFonts w:ascii="Times New Roman" w:hAnsi="Times New Roman" w:cs="Times New Roman"/>
          <w:bCs/>
        </w:rPr>
        <w:t xml:space="preserve"> </w:t>
      </w:r>
      <w:r w:rsidR="000663A3">
        <w:rPr>
          <w:rFonts w:ascii="Times New Roman" w:hAnsi="Times New Roman" w:cs="Times New Roman"/>
          <w:bCs/>
        </w:rPr>
        <w:t>Densities on s</w:t>
      </w:r>
      <w:r w:rsidR="00DB3BE1">
        <w:rPr>
          <w:rFonts w:ascii="Times New Roman" w:hAnsi="Times New Roman" w:cs="Times New Roman"/>
          <w:bCs/>
        </w:rPr>
        <w:t xml:space="preserve">mall sites are </w:t>
      </w:r>
      <w:r w:rsidR="000663A3">
        <w:rPr>
          <w:rFonts w:ascii="Times New Roman" w:hAnsi="Times New Roman" w:cs="Times New Roman"/>
          <w:bCs/>
        </w:rPr>
        <w:t>principally</w:t>
      </w:r>
      <w:r w:rsidR="00DB3BE1">
        <w:rPr>
          <w:rFonts w:ascii="Times New Roman" w:hAnsi="Times New Roman" w:cs="Times New Roman"/>
          <w:bCs/>
        </w:rPr>
        <w:t xml:space="preserve"> driven by </w:t>
      </w:r>
      <w:r w:rsidR="00DA06D9">
        <w:rPr>
          <w:rFonts w:ascii="Times New Roman" w:hAnsi="Times New Roman" w:cs="Times New Roman"/>
          <w:bCs/>
        </w:rPr>
        <w:t>t</w:t>
      </w:r>
      <w:r w:rsidR="00DB3BE1">
        <w:rPr>
          <w:rFonts w:ascii="Times New Roman" w:hAnsi="Times New Roman" w:cs="Times New Roman"/>
          <w:bCs/>
        </w:rPr>
        <w:t xml:space="preserve">he character </w:t>
      </w:r>
      <w:r w:rsidR="00FE18C0">
        <w:rPr>
          <w:rFonts w:ascii="Times New Roman" w:hAnsi="Times New Roman" w:cs="Times New Roman"/>
          <w:bCs/>
        </w:rPr>
        <w:t>of the area and local market for housing</w:t>
      </w:r>
      <w:r w:rsidR="00282A0B">
        <w:rPr>
          <w:rFonts w:ascii="Times New Roman" w:hAnsi="Times New Roman" w:cs="Times New Roman"/>
          <w:bCs/>
        </w:rPr>
        <w:t xml:space="preserve"> in that location</w:t>
      </w:r>
      <w:r w:rsidR="00C63959">
        <w:rPr>
          <w:rFonts w:ascii="Times New Roman" w:hAnsi="Times New Roman" w:cs="Times New Roman"/>
          <w:bCs/>
        </w:rPr>
        <w:t>. As such it</w:t>
      </w:r>
      <w:r w:rsidR="00B46AFC">
        <w:rPr>
          <w:rFonts w:ascii="Times New Roman" w:hAnsi="Times New Roman" w:cs="Times New Roman"/>
          <w:bCs/>
        </w:rPr>
        <w:t xml:space="preserve"> </w:t>
      </w:r>
      <w:r w:rsidR="00DA06D9">
        <w:rPr>
          <w:rFonts w:ascii="Times New Roman" w:hAnsi="Times New Roman" w:cs="Times New Roman"/>
          <w:bCs/>
        </w:rPr>
        <w:t xml:space="preserve">would be more </w:t>
      </w:r>
      <w:r w:rsidR="00C63959">
        <w:rPr>
          <w:rFonts w:ascii="Times New Roman" w:hAnsi="Times New Roman" w:cs="Times New Roman"/>
          <w:bCs/>
        </w:rPr>
        <w:t>appropriate</w:t>
      </w:r>
      <w:r w:rsidR="00DA06D9">
        <w:rPr>
          <w:rFonts w:ascii="Times New Roman" w:hAnsi="Times New Roman" w:cs="Times New Roman"/>
          <w:bCs/>
        </w:rPr>
        <w:t xml:space="preserve"> for such sites to seek to </w:t>
      </w:r>
      <w:r w:rsidR="00B46AFC">
        <w:rPr>
          <w:rFonts w:ascii="Times New Roman" w:hAnsi="Times New Roman" w:cs="Times New Roman"/>
          <w:bCs/>
        </w:rPr>
        <w:t>explore</w:t>
      </w:r>
      <w:r w:rsidR="00DA06D9">
        <w:rPr>
          <w:rFonts w:ascii="Times New Roman" w:hAnsi="Times New Roman" w:cs="Times New Roman"/>
          <w:bCs/>
        </w:rPr>
        <w:t xml:space="preserve"> </w:t>
      </w:r>
      <w:r w:rsidR="00C63959">
        <w:rPr>
          <w:rFonts w:ascii="Times New Roman" w:hAnsi="Times New Roman" w:cs="Times New Roman"/>
          <w:bCs/>
        </w:rPr>
        <w:t xml:space="preserve">opportunities </w:t>
      </w:r>
      <w:r w:rsidR="00DA06D9">
        <w:rPr>
          <w:rFonts w:ascii="Times New Roman" w:hAnsi="Times New Roman" w:cs="Times New Roman"/>
          <w:bCs/>
        </w:rPr>
        <w:t xml:space="preserve">for achieving higher </w:t>
      </w:r>
      <w:r w:rsidR="00C63959">
        <w:rPr>
          <w:rFonts w:ascii="Times New Roman" w:hAnsi="Times New Roman" w:cs="Times New Roman"/>
          <w:bCs/>
        </w:rPr>
        <w:t>densities</w:t>
      </w:r>
      <w:r w:rsidR="00DA06D9">
        <w:rPr>
          <w:rFonts w:ascii="Times New Roman" w:hAnsi="Times New Roman" w:cs="Times New Roman"/>
          <w:bCs/>
        </w:rPr>
        <w:t xml:space="preserve"> </w:t>
      </w:r>
      <w:r w:rsidR="00B46AFC">
        <w:rPr>
          <w:rFonts w:ascii="Times New Roman" w:hAnsi="Times New Roman" w:cs="Times New Roman"/>
          <w:bCs/>
        </w:rPr>
        <w:t xml:space="preserve">rather than </w:t>
      </w:r>
      <w:r w:rsidR="00C63959">
        <w:rPr>
          <w:rFonts w:ascii="Times New Roman" w:hAnsi="Times New Roman" w:cs="Times New Roman"/>
          <w:bCs/>
        </w:rPr>
        <w:t>require</w:t>
      </w:r>
      <w:r w:rsidR="00B46AFC">
        <w:rPr>
          <w:rFonts w:ascii="Times New Roman" w:hAnsi="Times New Roman" w:cs="Times New Roman"/>
          <w:bCs/>
        </w:rPr>
        <w:t xml:space="preserve"> them to achieve densities within a specific range.</w:t>
      </w:r>
      <w:r w:rsidR="00DB3BE1">
        <w:rPr>
          <w:rFonts w:ascii="Times New Roman" w:hAnsi="Times New Roman" w:cs="Times New Roman"/>
          <w:bCs/>
        </w:rPr>
        <w:t xml:space="preserve"> </w:t>
      </w:r>
    </w:p>
    <w:p w14:paraId="3A369C2D" w14:textId="77777777" w:rsidR="009B6A75" w:rsidRPr="004D0BC5" w:rsidRDefault="009B6A75" w:rsidP="009B6A75">
      <w:pPr>
        <w:widowControl/>
        <w:suppressAutoHyphens w:val="0"/>
        <w:autoSpaceDE/>
        <w:spacing w:after="240" w:line="360" w:lineRule="auto"/>
        <w:jc w:val="both"/>
        <w:rPr>
          <w:rFonts w:ascii="Times New Roman" w:hAnsi="Times New Roman" w:cs="Times New Roman"/>
          <w:b/>
        </w:rPr>
      </w:pPr>
      <w:r w:rsidRPr="004D0BC5">
        <w:rPr>
          <w:rFonts w:ascii="Times New Roman" w:hAnsi="Times New Roman" w:cs="Times New Roman"/>
          <w:b/>
        </w:rPr>
        <w:t>H8 – Self-build</w:t>
      </w:r>
    </w:p>
    <w:p w14:paraId="0C2DB2B7" w14:textId="53B4D7BC" w:rsidR="00D009A9" w:rsidRDefault="00907920" w:rsidP="00D009A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This policy requires development</w:t>
      </w:r>
      <w:r w:rsidR="00E1569D">
        <w:rPr>
          <w:rFonts w:ascii="Times New Roman" w:hAnsi="Times New Roman" w:cs="Times New Roman"/>
          <w:bCs/>
        </w:rPr>
        <w:t xml:space="preserve"> of </w:t>
      </w:r>
      <w:r w:rsidR="009B6A75" w:rsidRPr="009B6A75">
        <w:rPr>
          <w:rFonts w:ascii="Times New Roman" w:hAnsi="Times New Roman" w:cs="Times New Roman"/>
          <w:bCs/>
        </w:rPr>
        <w:t xml:space="preserve">10 or more </w:t>
      </w:r>
      <w:r w:rsidR="00E1569D">
        <w:rPr>
          <w:rFonts w:ascii="Times New Roman" w:hAnsi="Times New Roman" w:cs="Times New Roman"/>
          <w:bCs/>
        </w:rPr>
        <w:t xml:space="preserve">to </w:t>
      </w:r>
      <w:r w:rsidR="00A93869">
        <w:rPr>
          <w:rFonts w:ascii="Times New Roman" w:hAnsi="Times New Roman" w:cs="Times New Roman"/>
          <w:bCs/>
        </w:rPr>
        <w:t xml:space="preserve">offer </w:t>
      </w:r>
      <w:r w:rsidR="009B6A75" w:rsidRPr="009B6A75">
        <w:rPr>
          <w:rFonts w:ascii="Times New Roman" w:hAnsi="Times New Roman" w:cs="Times New Roman"/>
          <w:bCs/>
        </w:rPr>
        <w:t xml:space="preserve">5% </w:t>
      </w:r>
      <w:r w:rsidR="00A93869">
        <w:rPr>
          <w:rFonts w:ascii="Times New Roman" w:hAnsi="Times New Roman" w:cs="Times New Roman"/>
          <w:bCs/>
        </w:rPr>
        <w:t xml:space="preserve">of the plots on site for </w:t>
      </w:r>
      <w:r w:rsidR="00764836">
        <w:rPr>
          <w:rFonts w:ascii="Times New Roman" w:hAnsi="Times New Roman" w:cs="Times New Roman"/>
          <w:bCs/>
        </w:rPr>
        <w:t>self-builders.</w:t>
      </w:r>
      <w:r w:rsidR="009B6A75" w:rsidRPr="009B6A75">
        <w:rPr>
          <w:rFonts w:ascii="Times New Roman" w:hAnsi="Times New Roman" w:cs="Times New Roman"/>
          <w:bCs/>
        </w:rPr>
        <w:t xml:space="preserve"> </w:t>
      </w:r>
      <w:r w:rsidR="00764836">
        <w:rPr>
          <w:rFonts w:ascii="Times New Roman" w:hAnsi="Times New Roman" w:cs="Times New Roman"/>
          <w:bCs/>
        </w:rPr>
        <w:t xml:space="preserve">This is based on evidence in the Target Review of </w:t>
      </w:r>
      <w:r w:rsidR="00147982">
        <w:rPr>
          <w:rFonts w:ascii="Times New Roman" w:hAnsi="Times New Roman" w:cs="Times New Roman"/>
          <w:bCs/>
        </w:rPr>
        <w:t>Housing</w:t>
      </w:r>
      <w:r w:rsidR="00764836">
        <w:rPr>
          <w:rFonts w:ascii="Times New Roman" w:hAnsi="Times New Roman" w:cs="Times New Roman"/>
          <w:bCs/>
        </w:rPr>
        <w:t xml:space="preserve"> Need which </w:t>
      </w:r>
      <w:r w:rsidR="00F0684E">
        <w:rPr>
          <w:rFonts w:ascii="Times New Roman" w:hAnsi="Times New Roman" w:cs="Times New Roman"/>
          <w:bCs/>
        </w:rPr>
        <w:t>suggests</w:t>
      </w:r>
      <w:r w:rsidR="00114D7D">
        <w:rPr>
          <w:rFonts w:ascii="Times New Roman" w:hAnsi="Times New Roman" w:cs="Times New Roman"/>
          <w:bCs/>
        </w:rPr>
        <w:t xml:space="preserve"> that there</w:t>
      </w:r>
      <w:r w:rsidR="00252356">
        <w:rPr>
          <w:rFonts w:ascii="Times New Roman" w:hAnsi="Times New Roman" w:cs="Times New Roman"/>
          <w:bCs/>
        </w:rPr>
        <w:t xml:space="preserve"> </w:t>
      </w:r>
      <w:r w:rsidR="00114D7D">
        <w:rPr>
          <w:rFonts w:ascii="Times New Roman" w:hAnsi="Times New Roman" w:cs="Times New Roman"/>
          <w:bCs/>
        </w:rPr>
        <w:t>is annual need for</w:t>
      </w:r>
      <w:r w:rsidR="00252356">
        <w:rPr>
          <w:rFonts w:ascii="Times New Roman" w:hAnsi="Times New Roman" w:cs="Times New Roman"/>
          <w:bCs/>
        </w:rPr>
        <w:t xml:space="preserve"> around </w:t>
      </w:r>
      <w:r w:rsidR="00F0684E">
        <w:rPr>
          <w:rFonts w:ascii="Times New Roman" w:hAnsi="Times New Roman" w:cs="Times New Roman"/>
          <w:bCs/>
        </w:rPr>
        <w:t xml:space="preserve">46 per annum </w:t>
      </w:r>
      <w:r w:rsidR="00541CC0">
        <w:rPr>
          <w:rFonts w:ascii="Times New Roman" w:hAnsi="Times New Roman" w:cs="Times New Roman"/>
          <w:bCs/>
        </w:rPr>
        <w:t xml:space="preserve">- </w:t>
      </w:r>
      <w:r w:rsidR="00252356">
        <w:rPr>
          <w:rFonts w:ascii="Times New Roman" w:hAnsi="Times New Roman" w:cs="Times New Roman"/>
          <w:bCs/>
        </w:rPr>
        <w:t>4% of all dwellings</w:t>
      </w:r>
      <w:r w:rsidR="00541CC0">
        <w:rPr>
          <w:rFonts w:ascii="Times New Roman" w:hAnsi="Times New Roman" w:cs="Times New Roman"/>
          <w:bCs/>
        </w:rPr>
        <w:t xml:space="preserve"> -</w:t>
      </w:r>
      <w:r w:rsidR="00252356">
        <w:rPr>
          <w:rFonts w:ascii="Times New Roman" w:hAnsi="Times New Roman" w:cs="Times New Roman"/>
          <w:bCs/>
        </w:rPr>
        <w:t xml:space="preserve"> to be delivered as self or custom build. </w:t>
      </w:r>
      <w:r w:rsidR="00C60CB0">
        <w:rPr>
          <w:rFonts w:ascii="Times New Roman" w:hAnsi="Times New Roman" w:cs="Times New Roman"/>
          <w:bCs/>
        </w:rPr>
        <w:t>However, HBF have</w:t>
      </w:r>
      <w:r w:rsidR="00F0684E">
        <w:rPr>
          <w:rFonts w:ascii="Times New Roman" w:hAnsi="Times New Roman" w:cs="Times New Roman"/>
          <w:bCs/>
        </w:rPr>
        <w:t xml:space="preserve"> some</w:t>
      </w:r>
      <w:r w:rsidR="00C60CB0">
        <w:rPr>
          <w:rFonts w:ascii="Times New Roman" w:hAnsi="Times New Roman" w:cs="Times New Roman"/>
          <w:bCs/>
        </w:rPr>
        <w:t xml:space="preserve"> concerns with </w:t>
      </w:r>
      <w:r w:rsidR="00F0684E">
        <w:rPr>
          <w:rFonts w:ascii="Times New Roman" w:hAnsi="Times New Roman" w:cs="Times New Roman"/>
          <w:bCs/>
        </w:rPr>
        <w:t xml:space="preserve">the approach taken in assessing needs. </w:t>
      </w:r>
      <w:r w:rsidR="008C7864">
        <w:rPr>
          <w:rFonts w:ascii="Times New Roman" w:hAnsi="Times New Roman" w:cs="Times New Roman"/>
          <w:bCs/>
        </w:rPr>
        <w:t>Firstly,</w:t>
      </w:r>
      <w:r w:rsidR="00541CC0">
        <w:rPr>
          <w:rFonts w:ascii="Times New Roman" w:hAnsi="Times New Roman" w:cs="Times New Roman"/>
          <w:bCs/>
        </w:rPr>
        <w:t xml:space="preserve"> </w:t>
      </w:r>
      <w:r w:rsidR="008C7864">
        <w:rPr>
          <w:rFonts w:ascii="Times New Roman" w:hAnsi="Times New Roman" w:cs="Times New Roman"/>
          <w:bCs/>
        </w:rPr>
        <w:t xml:space="preserve">Targeted </w:t>
      </w:r>
      <w:r w:rsidR="00516D9A">
        <w:rPr>
          <w:rFonts w:ascii="Times New Roman" w:hAnsi="Times New Roman" w:cs="Times New Roman"/>
          <w:bCs/>
        </w:rPr>
        <w:t>Review states</w:t>
      </w:r>
      <w:r w:rsidR="008C7864">
        <w:rPr>
          <w:rFonts w:ascii="Times New Roman" w:hAnsi="Times New Roman" w:cs="Times New Roman"/>
          <w:bCs/>
        </w:rPr>
        <w:t xml:space="preserve"> that there are currently 358 </w:t>
      </w:r>
      <w:r w:rsidR="001229D8">
        <w:rPr>
          <w:rFonts w:ascii="Times New Roman" w:hAnsi="Times New Roman" w:cs="Times New Roman"/>
          <w:bCs/>
        </w:rPr>
        <w:t>households</w:t>
      </w:r>
      <w:r w:rsidR="00075E1D">
        <w:rPr>
          <w:rFonts w:ascii="Times New Roman" w:hAnsi="Times New Roman" w:cs="Times New Roman"/>
          <w:bCs/>
        </w:rPr>
        <w:t xml:space="preserve"> on the </w:t>
      </w:r>
      <w:r w:rsidR="001229D8">
        <w:rPr>
          <w:rFonts w:ascii="Times New Roman" w:hAnsi="Times New Roman" w:cs="Times New Roman"/>
          <w:bCs/>
        </w:rPr>
        <w:t>self-build</w:t>
      </w:r>
      <w:r w:rsidR="00075E1D">
        <w:rPr>
          <w:rFonts w:ascii="Times New Roman" w:hAnsi="Times New Roman" w:cs="Times New Roman"/>
          <w:bCs/>
        </w:rPr>
        <w:t xml:space="preserve"> register, which implies an annual need for around 36 </w:t>
      </w:r>
      <w:r w:rsidR="001229D8">
        <w:rPr>
          <w:rFonts w:ascii="Times New Roman" w:hAnsi="Times New Roman" w:cs="Times New Roman"/>
          <w:bCs/>
        </w:rPr>
        <w:t>self-build</w:t>
      </w:r>
      <w:r w:rsidR="00075E1D">
        <w:rPr>
          <w:rFonts w:ascii="Times New Roman" w:hAnsi="Times New Roman" w:cs="Times New Roman"/>
          <w:bCs/>
        </w:rPr>
        <w:t xml:space="preserve"> plots per annum</w:t>
      </w:r>
      <w:r w:rsidR="001229D8">
        <w:rPr>
          <w:rFonts w:ascii="Times New Roman" w:hAnsi="Times New Roman" w:cs="Times New Roman"/>
          <w:bCs/>
        </w:rPr>
        <w:t xml:space="preserve"> – around 3% </w:t>
      </w:r>
      <w:r w:rsidR="001229D8">
        <w:rPr>
          <w:rFonts w:ascii="Times New Roman" w:hAnsi="Times New Roman" w:cs="Times New Roman"/>
          <w:bCs/>
        </w:rPr>
        <w:lastRenderedPageBreak/>
        <w:t>of the ho</w:t>
      </w:r>
      <w:r w:rsidR="00F00432">
        <w:rPr>
          <w:rFonts w:ascii="Times New Roman" w:hAnsi="Times New Roman" w:cs="Times New Roman"/>
          <w:bCs/>
        </w:rPr>
        <w:t>u</w:t>
      </w:r>
      <w:r w:rsidR="001229D8">
        <w:rPr>
          <w:rFonts w:ascii="Times New Roman" w:hAnsi="Times New Roman" w:cs="Times New Roman"/>
          <w:bCs/>
        </w:rPr>
        <w:t xml:space="preserve">sing requirement. </w:t>
      </w:r>
      <w:r w:rsidR="00F00432">
        <w:rPr>
          <w:rFonts w:ascii="Times New Roman" w:hAnsi="Times New Roman" w:cs="Times New Roman"/>
          <w:bCs/>
        </w:rPr>
        <w:t xml:space="preserve">However, it is not stated </w:t>
      </w:r>
      <w:r w:rsidR="0098783C">
        <w:rPr>
          <w:rFonts w:ascii="Times New Roman" w:hAnsi="Times New Roman" w:cs="Times New Roman"/>
          <w:bCs/>
        </w:rPr>
        <w:t>whether</w:t>
      </w:r>
      <w:r w:rsidR="00F00432">
        <w:rPr>
          <w:rFonts w:ascii="Times New Roman" w:hAnsi="Times New Roman" w:cs="Times New Roman"/>
          <w:bCs/>
        </w:rPr>
        <w:t xml:space="preserve"> this evidence has been reviewed </w:t>
      </w:r>
      <w:r w:rsidR="0098783C">
        <w:rPr>
          <w:rFonts w:ascii="Times New Roman" w:hAnsi="Times New Roman" w:cs="Times New Roman"/>
          <w:bCs/>
        </w:rPr>
        <w:t xml:space="preserve">recently and if those one the register are still looking to build their own home and have the realistic means to do so. It is also evident that those looking to </w:t>
      </w:r>
      <w:r w:rsidR="00353C3F">
        <w:rPr>
          <w:rFonts w:ascii="Times New Roman" w:hAnsi="Times New Roman" w:cs="Times New Roman"/>
          <w:bCs/>
        </w:rPr>
        <w:t>self-build</w:t>
      </w:r>
      <w:r w:rsidR="0098783C">
        <w:rPr>
          <w:rFonts w:ascii="Times New Roman" w:hAnsi="Times New Roman" w:cs="Times New Roman"/>
          <w:bCs/>
        </w:rPr>
        <w:t xml:space="preserve"> in Sevenoaks </w:t>
      </w:r>
      <w:r w:rsidR="00353C3F">
        <w:rPr>
          <w:rFonts w:ascii="Times New Roman" w:hAnsi="Times New Roman" w:cs="Times New Roman"/>
          <w:bCs/>
        </w:rPr>
        <w:t xml:space="preserve">appear to have the ability to meet </w:t>
      </w:r>
      <w:r w:rsidR="00293E1C">
        <w:rPr>
          <w:rFonts w:ascii="Times New Roman" w:hAnsi="Times New Roman" w:cs="Times New Roman"/>
          <w:bCs/>
        </w:rPr>
        <w:t>their</w:t>
      </w:r>
      <w:r w:rsidR="00353C3F">
        <w:rPr>
          <w:rFonts w:ascii="Times New Roman" w:hAnsi="Times New Roman" w:cs="Times New Roman"/>
          <w:bCs/>
        </w:rPr>
        <w:t xml:space="preserve"> demand for plots with </w:t>
      </w:r>
      <w:r w:rsidR="00370B45">
        <w:rPr>
          <w:rFonts w:ascii="Times New Roman" w:hAnsi="Times New Roman" w:cs="Times New Roman"/>
          <w:bCs/>
        </w:rPr>
        <w:t>46 units per annum</w:t>
      </w:r>
      <w:r w:rsidR="00293E1C">
        <w:rPr>
          <w:rFonts w:ascii="Times New Roman" w:hAnsi="Times New Roman" w:cs="Times New Roman"/>
          <w:bCs/>
        </w:rPr>
        <w:t xml:space="preserve"> delivered by self-builders </w:t>
      </w:r>
      <w:r w:rsidR="00516D9A">
        <w:rPr>
          <w:rFonts w:ascii="Times New Roman" w:hAnsi="Times New Roman" w:cs="Times New Roman"/>
          <w:bCs/>
        </w:rPr>
        <w:t xml:space="preserve">between 2018 and 2024. This would suggest that the need for self-build homes is actually being delivered through the market and </w:t>
      </w:r>
      <w:r w:rsidR="00F06970">
        <w:rPr>
          <w:rFonts w:ascii="Times New Roman" w:hAnsi="Times New Roman" w:cs="Times New Roman"/>
          <w:bCs/>
        </w:rPr>
        <w:t xml:space="preserve">that </w:t>
      </w:r>
      <w:r w:rsidR="00516D9A">
        <w:rPr>
          <w:rFonts w:ascii="Times New Roman" w:hAnsi="Times New Roman" w:cs="Times New Roman"/>
          <w:bCs/>
        </w:rPr>
        <w:t>there is</w:t>
      </w:r>
      <w:r w:rsidR="00352DE0">
        <w:rPr>
          <w:rFonts w:ascii="Times New Roman" w:hAnsi="Times New Roman" w:cs="Times New Roman"/>
          <w:bCs/>
        </w:rPr>
        <w:t xml:space="preserve"> </w:t>
      </w:r>
      <w:r w:rsidR="002C26CF">
        <w:rPr>
          <w:rFonts w:ascii="Times New Roman" w:hAnsi="Times New Roman" w:cs="Times New Roman"/>
          <w:bCs/>
        </w:rPr>
        <w:t>no</w:t>
      </w:r>
      <w:r w:rsidR="00516D9A">
        <w:rPr>
          <w:rFonts w:ascii="Times New Roman" w:hAnsi="Times New Roman" w:cs="Times New Roman"/>
          <w:bCs/>
        </w:rPr>
        <w:t xml:space="preserve"> need for</w:t>
      </w:r>
      <w:r w:rsidR="006864D8">
        <w:rPr>
          <w:rFonts w:ascii="Times New Roman" w:hAnsi="Times New Roman" w:cs="Times New Roman"/>
          <w:bCs/>
        </w:rPr>
        <w:t xml:space="preserve"> additional plots </w:t>
      </w:r>
      <w:r w:rsidR="00B35DC1">
        <w:rPr>
          <w:rFonts w:ascii="Times New Roman" w:hAnsi="Times New Roman" w:cs="Times New Roman"/>
          <w:bCs/>
        </w:rPr>
        <w:t>to</w:t>
      </w:r>
      <w:r w:rsidR="006864D8">
        <w:rPr>
          <w:rFonts w:ascii="Times New Roman" w:hAnsi="Times New Roman" w:cs="Times New Roman"/>
          <w:bCs/>
        </w:rPr>
        <w:t xml:space="preserve"> be </w:t>
      </w:r>
      <w:r w:rsidR="00B35DC1">
        <w:rPr>
          <w:rFonts w:ascii="Times New Roman" w:hAnsi="Times New Roman" w:cs="Times New Roman"/>
          <w:bCs/>
        </w:rPr>
        <w:t xml:space="preserve">required on other residential development </w:t>
      </w:r>
      <w:r w:rsidR="00352DE0">
        <w:rPr>
          <w:rFonts w:ascii="Times New Roman" w:hAnsi="Times New Roman" w:cs="Times New Roman"/>
          <w:bCs/>
        </w:rPr>
        <w:t>sites.</w:t>
      </w:r>
    </w:p>
    <w:p w14:paraId="179134D8" w14:textId="02889EF7" w:rsidR="00BF4CE7" w:rsidRDefault="00D009A9" w:rsidP="00BF4CE7">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64168A">
        <w:rPr>
          <w:rFonts w:ascii="Times New Roman" w:hAnsi="Times New Roman" w:cs="Times New Roman"/>
          <w:bCs/>
        </w:rPr>
        <w:t>It is also considered unlikely that the provision of such plots on new housing developments</w:t>
      </w:r>
      <w:r w:rsidR="0064168A">
        <w:rPr>
          <w:rFonts w:ascii="Times New Roman" w:hAnsi="Times New Roman" w:cs="Times New Roman"/>
          <w:bCs/>
        </w:rPr>
        <w:t xml:space="preserve">, </w:t>
      </w:r>
      <w:r w:rsidR="00C15D9B">
        <w:rPr>
          <w:rFonts w:ascii="Times New Roman" w:hAnsi="Times New Roman" w:cs="Times New Roman"/>
          <w:bCs/>
        </w:rPr>
        <w:t>especially</w:t>
      </w:r>
      <w:r w:rsidR="0064168A">
        <w:rPr>
          <w:rFonts w:ascii="Times New Roman" w:hAnsi="Times New Roman" w:cs="Times New Roman"/>
          <w:bCs/>
        </w:rPr>
        <w:t xml:space="preserve"> on sites as s</w:t>
      </w:r>
      <w:r w:rsidR="00C15D9B">
        <w:rPr>
          <w:rFonts w:ascii="Times New Roman" w:hAnsi="Times New Roman" w:cs="Times New Roman"/>
          <w:bCs/>
        </w:rPr>
        <w:t>mall as 10 units,</w:t>
      </w:r>
      <w:r w:rsidRPr="0064168A">
        <w:rPr>
          <w:rFonts w:ascii="Times New Roman" w:hAnsi="Times New Roman" w:cs="Times New Roman"/>
          <w:bCs/>
        </w:rPr>
        <w:t xml:space="preserve"> can be </w:t>
      </w:r>
      <w:r w:rsidR="00C15D9B" w:rsidRPr="0064168A">
        <w:rPr>
          <w:rFonts w:ascii="Times New Roman" w:hAnsi="Times New Roman" w:cs="Times New Roman"/>
          <w:bCs/>
        </w:rPr>
        <w:t>coordinated</w:t>
      </w:r>
      <w:r w:rsidRPr="0064168A">
        <w:rPr>
          <w:rFonts w:ascii="Times New Roman" w:hAnsi="Times New Roman" w:cs="Times New Roman"/>
          <w:bCs/>
        </w:rPr>
        <w:t xml:space="preserve"> with the development of a wider site. At any one time, there are often multiple contractors and large machinery operating on-site and therefore from both a practical and health and safety perspective, it is difficult to envisage the development of single plots by individuals operating alongside this construction activity. </w:t>
      </w:r>
      <w:r w:rsidR="00DD2AF9">
        <w:rPr>
          <w:rFonts w:ascii="Times New Roman" w:hAnsi="Times New Roman" w:cs="Times New Roman"/>
          <w:bCs/>
        </w:rPr>
        <w:t xml:space="preserve">If </w:t>
      </w:r>
      <w:r w:rsidR="00C739CB">
        <w:rPr>
          <w:rFonts w:ascii="Times New Roman" w:hAnsi="Times New Roman" w:cs="Times New Roman"/>
          <w:bCs/>
        </w:rPr>
        <w:t>provision</w:t>
      </w:r>
      <w:r w:rsidR="00DD2AF9">
        <w:rPr>
          <w:rFonts w:ascii="Times New Roman" w:hAnsi="Times New Roman" w:cs="Times New Roman"/>
          <w:bCs/>
        </w:rPr>
        <w:t xml:space="preserve"> is to be required the </w:t>
      </w:r>
      <w:r w:rsidR="00C739CB">
        <w:rPr>
          <w:rFonts w:ascii="Times New Roman" w:hAnsi="Times New Roman" w:cs="Times New Roman"/>
          <w:bCs/>
        </w:rPr>
        <w:t>threshold</w:t>
      </w:r>
      <w:r w:rsidR="00DD2AF9">
        <w:rPr>
          <w:rFonts w:ascii="Times New Roman" w:hAnsi="Times New Roman" w:cs="Times New Roman"/>
          <w:bCs/>
        </w:rPr>
        <w:t xml:space="preserve"> should be much higher as well as </w:t>
      </w:r>
      <w:r w:rsidR="00C739CB">
        <w:rPr>
          <w:rFonts w:ascii="Times New Roman" w:hAnsi="Times New Roman" w:cs="Times New Roman"/>
          <w:bCs/>
        </w:rPr>
        <w:t>considering</w:t>
      </w:r>
      <w:r w:rsidR="00DD2AF9">
        <w:rPr>
          <w:rFonts w:ascii="Times New Roman" w:hAnsi="Times New Roman" w:cs="Times New Roman"/>
          <w:bCs/>
        </w:rPr>
        <w:t xml:space="preserve"> whether </w:t>
      </w:r>
      <w:r w:rsidR="002B63D8">
        <w:rPr>
          <w:rFonts w:ascii="Times New Roman" w:hAnsi="Times New Roman" w:cs="Times New Roman"/>
          <w:bCs/>
        </w:rPr>
        <w:t xml:space="preserve">there is the </w:t>
      </w:r>
      <w:r w:rsidR="00C739CB">
        <w:rPr>
          <w:rFonts w:ascii="Times New Roman" w:hAnsi="Times New Roman" w:cs="Times New Roman"/>
          <w:bCs/>
        </w:rPr>
        <w:t>ability</w:t>
      </w:r>
      <w:r w:rsidR="002B63D8">
        <w:rPr>
          <w:rFonts w:ascii="Times New Roman" w:hAnsi="Times New Roman" w:cs="Times New Roman"/>
          <w:bCs/>
        </w:rPr>
        <w:t xml:space="preserve"> for site to </w:t>
      </w:r>
      <w:r w:rsidR="00C739CB">
        <w:rPr>
          <w:rFonts w:ascii="Times New Roman" w:hAnsi="Times New Roman" w:cs="Times New Roman"/>
          <w:bCs/>
        </w:rPr>
        <w:t>provide</w:t>
      </w:r>
      <w:r w:rsidR="002B63D8">
        <w:rPr>
          <w:rFonts w:ascii="Times New Roman" w:hAnsi="Times New Roman" w:cs="Times New Roman"/>
          <w:bCs/>
        </w:rPr>
        <w:t xml:space="preserve"> </w:t>
      </w:r>
      <w:r w:rsidR="00C739CB">
        <w:rPr>
          <w:rFonts w:ascii="Times New Roman" w:hAnsi="Times New Roman" w:cs="Times New Roman"/>
          <w:bCs/>
        </w:rPr>
        <w:t>self-build</w:t>
      </w:r>
      <w:r w:rsidR="002B63D8">
        <w:rPr>
          <w:rFonts w:ascii="Times New Roman" w:hAnsi="Times New Roman" w:cs="Times New Roman"/>
          <w:bCs/>
        </w:rPr>
        <w:t xml:space="preserve">, plots separately to the main development to reduce the </w:t>
      </w:r>
      <w:r w:rsidR="00C739CB">
        <w:rPr>
          <w:rFonts w:ascii="Times New Roman" w:hAnsi="Times New Roman" w:cs="Times New Roman"/>
          <w:bCs/>
        </w:rPr>
        <w:t>potential</w:t>
      </w:r>
      <w:r w:rsidR="002B63D8">
        <w:rPr>
          <w:rFonts w:ascii="Times New Roman" w:hAnsi="Times New Roman" w:cs="Times New Roman"/>
          <w:bCs/>
        </w:rPr>
        <w:t xml:space="preserve"> risks</w:t>
      </w:r>
      <w:r w:rsidR="00C739CB">
        <w:rPr>
          <w:rFonts w:ascii="Times New Roman" w:hAnsi="Times New Roman" w:cs="Times New Roman"/>
          <w:bCs/>
        </w:rPr>
        <w:t xml:space="preserve"> </w:t>
      </w:r>
      <w:r w:rsidR="00BF4CE7">
        <w:rPr>
          <w:rFonts w:ascii="Times New Roman" w:hAnsi="Times New Roman" w:cs="Times New Roman"/>
          <w:bCs/>
        </w:rPr>
        <w:t>surrounding their delivery.</w:t>
      </w:r>
    </w:p>
    <w:p w14:paraId="5C1C89C3" w14:textId="1396D9A7" w:rsidR="00D009A9" w:rsidRDefault="007F0EBA" w:rsidP="00BF4CE7">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BF4CE7">
        <w:rPr>
          <w:rFonts w:ascii="Times New Roman" w:hAnsi="Times New Roman" w:cs="Times New Roman"/>
          <w:bCs/>
        </w:rPr>
        <w:t>I</w:t>
      </w:r>
      <w:r w:rsidR="008F323E" w:rsidRPr="00BF4CE7">
        <w:rPr>
          <w:rFonts w:ascii="Times New Roman" w:hAnsi="Times New Roman" w:cs="Times New Roman"/>
          <w:bCs/>
        </w:rPr>
        <w:t>n</w:t>
      </w:r>
      <w:r w:rsidRPr="00BF4CE7">
        <w:rPr>
          <w:rFonts w:ascii="Times New Roman" w:hAnsi="Times New Roman" w:cs="Times New Roman"/>
          <w:bCs/>
        </w:rPr>
        <w:t xml:space="preserve"> conclusion HBF does not consider this policy to be justified or effective. </w:t>
      </w:r>
      <w:r w:rsidR="00D53828" w:rsidRPr="00BF4CE7">
        <w:rPr>
          <w:rFonts w:ascii="Times New Roman" w:hAnsi="Times New Roman" w:cs="Times New Roman"/>
          <w:bCs/>
        </w:rPr>
        <w:t xml:space="preserve">HBF would suggest that the </w:t>
      </w:r>
      <w:r w:rsidRPr="00BF4CE7">
        <w:rPr>
          <w:rFonts w:ascii="Times New Roman" w:hAnsi="Times New Roman" w:cs="Times New Roman"/>
          <w:bCs/>
        </w:rPr>
        <w:t>requirement for development of 10 or more units to</w:t>
      </w:r>
      <w:r w:rsidR="00D53828" w:rsidRPr="00BF4CE7">
        <w:rPr>
          <w:rFonts w:ascii="Times New Roman" w:hAnsi="Times New Roman" w:cs="Times New Roman"/>
          <w:bCs/>
        </w:rPr>
        <w:t xml:space="preserve"> </w:t>
      </w:r>
      <w:r w:rsidRPr="00BF4CE7">
        <w:rPr>
          <w:rFonts w:ascii="Times New Roman" w:hAnsi="Times New Roman" w:cs="Times New Roman"/>
          <w:bCs/>
        </w:rPr>
        <w:t>deliver</w:t>
      </w:r>
      <w:r w:rsidR="00D53828" w:rsidRPr="00BF4CE7">
        <w:rPr>
          <w:rFonts w:ascii="Times New Roman" w:hAnsi="Times New Roman" w:cs="Times New Roman"/>
          <w:bCs/>
        </w:rPr>
        <w:t xml:space="preserve"> </w:t>
      </w:r>
      <w:r w:rsidR="00587626" w:rsidRPr="00BF4CE7">
        <w:rPr>
          <w:rFonts w:ascii="Times New Roman" w:hAnsi="Times New Roman" w:cs="Times New Roman"/>
          <w:bCs/>
        </w:rPr>
        <w:t>a set number of</w:t>
      </w:r>
      <w:r w:rsidRPr="00BF4CE7">
        <w:rPr>
          <w:rFonts w:ascii="Times New Roman" w:hAnsi="Times New Roman" w:cs="Times New Roman"/>
          <w:bCs/>
        </w:rPr>
        <w:t xml:space="preserve"> self-build</w:t>
      </w:r>
      <w:r w:rsidR="00587626" w:rsidRPr="00BF4CE7">
        <w:rPr>
          <w:rFonts w:ascii="Times New Roman" w:hAnsi="Times New Roman" w:cs="Times New Roman"/>
          <w:bCs/>
        </w:rPr>
        <w:t xml:space="preserve"> plots is deleted.</w:t>
      </w:r>
      <w:r w:rsidR="008F323E" w:rsidRPr="00BF4CE7">
        <w:rPr>
          <w:rFonts w:ascii="Times New Roman" w:hAnsi="Times New Roman" w:cs="Times New Roman"/>
          <w:bCs/>
        </w:rPr>
        <w:t xml:space="preserve"> Even if further e</w:t>
      </w:r>
      <w:r w:rsidR="00847AB3" w:rsidRPr="00BF4CE7">
        <w:rPr>
          <w:rFonts w:ascii="Times New Roman" w:hAnsi="Times New Roman" w:cs="Times New Roman"/>
          <w:bCs/>
        </w:rPr>
        <w:t xml:space="preserve">vidence can be provided the threshold at </w:t>
      </w:r>
      <w:r w:rsidR="004001A2" w:rsidRPr="00BF4CE7">
        <w:rPr>
          <w:rFonts w:ascii="Times New Roman" w:hAnsi="Times New Roman" w:cs="Times New Roman"/>
          <w:bCs/>
        </w:rPr>
        <w:t>which</w:t>
      </w:r>
      <w:r w:rsidR="00847AB3" w:rsidRPr="00BF4CE7">
        <w:rPr>
          <w:rFonts w:ascii="Times New Roman" w:hAnsi="Times New Roman" w:cs="Times New Roman"/>
          <w:bCs/>
        </w:rPr>
        <w:t xml:space="preserve"> </w:t>
      </w:r>
      <w:r w:rsidR="004001A2" w:rsidRPr="00BF4CE7">
        <w:rPr>
          <w:rFonts w:ascii="Times New Roman" w:hAnsi="Times New Roman" w:cs="Times New Roman"/>
          <w:bCs/>
        </w:rPr>
        <w:t>self-build</w:t>
      </w:r>
      <w:r w:rsidR="00847AB3" w:rsidRPr="00BF4CE7">
        <w:rPr>
          <w:rFonts w:ascii="Times New Roman" w:hAnsi="Times New Roman" w:cs="Times New Roman"/>
          <w:bCs/>
        </w:rPr>
        <w:t xml:space="preserve"> plot </w:t>
      </w:r>
      <w:r w:rsidR="004001A2" w:rsidRPr="00BF4CE7">
        <w:rPr>
          <w:rFonts w:ascii="Times New Roman" w:hAnsi="Times New Roman" w:cs="Times New Roman"/>
          <w:bCs/>
        </w:rPr>
        <w:t>should</w:t>
      </w:r>
      <w:r w:rsidR="00847AB3" w:rsidRPr="00BF4CE7">
        <w:rPr>
          <w:rFonts w:ascii="Times New Roman" w:hAnsi="Times New Roman" w:cs="Times New Roman"/>
          <w:bCs/>
        </w:rPr>
        <w:t xml:space="preserve"> be provided must be increased</w:t>
      </w:r>
      <w:r w:rsidR="004001A2" w:rsidRPr="00BF4CE7">
        <w:rPr>
          <w:rFonts w:ascii="Times New Roman" w:hAnsi="Times New Roman" w:cs="Times New Roman"/>
          <w:bCs/>
        </w:rPr>
        <w:t xml:space="preserve"> significantly</w:t>
      </w:r>
      <w:r w:rsidR="001E1A18">
        <w:rPr>
          <w:rFonts w:ascii="Times New Roman" w:hAnsi="Times New Roman" w:cs="Times New Roman"/>
          <w:bCs/>
        </w:rPr>
        <w:t xml:space="preserve"> to ensure that it does not impact on the </w:t>
      </w:r>
      <w:r w:rsidR="002D7052">
        <w:rPr>
          <w:rFonts w:ascii="Times New Roman" w:hAnsi="Times New Roman" w:cs="Times New Roman"/>
          <w:bCs/>
        </w:rPr>
        <w:t xml:space="preserve">practical </w:t>
      </w:r>
      <w:r w:rsidR="001E1A18">
        <w:rPr>
          <w:rFonts w:ascii="Times New Roman" w:hAnsi="Times New Roman" w:cs="Times New Roman"/>
          <w:bCs/>
        </w:rPr>
        <w:t>deliverability of the sit</w:t>
      </w:r>
      <w:r w:rsidR="002D7052">
        <w:rPr>
          <w:rFonts w:ascii="Times New Roman" w:hAnsi="Times New Roman" w:cs="Times New Roman"/>
          <w:bCs/>
        </w:rPr>
        <w:t>e</w:t>
      </w:r>
      <w:r w:rsidR="004001A2" w:rsidRPr="00BF4CE7">
        <w:rPr>
          <w:rFonts w:ascii="Times New Roman" w:hAnsi="Times New Roman" w:cs="Times New Roman"/>
          <w:bCs/>
        </w:rPr>
        <w:t xml:space="preserve">. </w:t>
      </w:r>
      <w:r w:rsidR="002D7052">
        <w:rPr>
          <w:rFonts w:ascii="Times New Roman" w:hAnsi="Times New Roman" w:cs="Times New Roman"/>
          <w:bCs/>
        </w:rPr>
        <w:t>HBF still considers it necessary for t</w:t>
      </w:r>
      <w:r w:rsidR="00A13315" w:rsidRPr="00BF4CE7">
        <w:rPr>
          <w:rFonts w:ascii="Times New Roman" w:hAnsi="Times New Roman" w:cs="Times New Roman"/>
          <w:bCs/>
        </w:rPr>
        <w:t xml:space="preserve">he Council </w:t>
      </w:r>
      <w:r w:rsidRPr="00BF4CE7">
        <w:rPr>
          <w:rFonts w:ascii="Times New Roman" w:hAnsi="Times New Roman" w:cs="Times New Roman"/>
          <w:bCs/>
        </w:rPr>
        <w:t>to</w:t>
      </w:r>
      <w:r w:rsidR="00A13315" w:rsidRPr="00BF4CE7">
        <w:rPr>
          <w:rFonts w:ascii="Times New Roman" w:hAnsi="Times New Roman" w:cs="Times New Roman"/>
          <w:bCs/>
        </w:rPr>
        <w:t xml:space="preserve"> support and encourage sites to come forward for </w:t>
      </w:r>
      <w:r w:rsidRPr="00BF4CE7">
        <w:rPr>
          <w:rFonts w:ascii="Times New Roman" w:hAnsi="Times New Roman" w:cs="Times New Roman"/>
          <w:bCs/>
        </w:rPr>
        <w:t>self-build</w:t>
      </w:r>
      <w:r w:rsidR="00A13315" w:rsidRPr="00BF4CE7">
        <w:rPr>
          <w:rFonts w:ascii="Times New Roman" w:hAnsi="Times New Roman" w:cs="Times New Roman"/>
          <w:bCs/>
        </w:rPr>
        <w:t xml:space="preserve"> </w:t>
      </w:r>
      <w:r w:rsidRPr="00BF4CE7">
        <w:rPr>
          <w:rFonts w:ascii="Times New Roman" w:hAnsi="Times New Roman" w:cs="Times New Roman"/>
          <w:bCs/>
        </w:rPr>
        <w:t>developers</w:t>
      </w:r>
      <w:r w:rsidR="00A13315" w:rsidRPr="00BF4CE7">
        <w:rPr>
          <w:rFonts w:ascii="Times New Roman" w:hAnsi="Times New Roman" w:cs="Times New Roman"/>
          <w:bCs/>
        </w:rPr>
        <w:t xml:space="preserve">, as it does in </w:t>
      </w:r>
      <w:r w:rsidRPr="00BF4CE7">
        <w:rPr>
          <w:rFonts w:ascii="Times New Roman" w:hAnsi="Times New Roman" w:cs="Times New Roman"/>
          <w:bCs/>
        </w:rPr>
        <w:t xml:space="preserve">part 3 of this policy. </w:t>
      </w:r>
      <w:r w:rsidR="002D7052">
        <w:rPr>
          <w:rFonts w:ascii="Times New Roman" w:hAnsi="Times New Roman" w:cs="Times New Roman"/>
          <w:bCs/>
        </w:rPr>
        <w:t>However, w</w:t>
      </w:r>
      <w:r w:rsidR="009B1530" w:rsidRPr="00BF4CE7">
        <w:rPr>
          <w:rFonts w:ascii="Times New Roman" w:hAnsi="Times New Roman" w:cs="Times New Roman"/>
          <w:bCs/>
        </w:rPr>
        <w:t xml:space="preserve">e </w:t>
      </w:r>
      <w:r w:rsidR="009A352D" w:rsidRPr="00BF4CE7">
        <w:rPr>
          <w:rFonts w:ascii="Times New Roman" w:hAnsi="Times New Roman" w:cs="Times New Roman"/>
          <w:bCs/>
        </w:rPr>
        <w:t>would</w:t>
      </w:r>
      <w:r w:rsidR="009B1530" w:rsidRPr="00BF4CE7">
        <w:rPr>
          <w:rFonts w:ascii="Times New Roman" w:hAnsi="Times New Roman" w:cs="Times New Roman"/>
          <w:bCs/>
        </w:rPr>
        <w:t xml:space="preserve"> also </w:t>
      </w:r>
      <w:r w:rsidR="009A352D" w:rsidRPr="00BF4CE7">
        <w:rPr>
          <w:rFonts w:ascii="Times New Roman" w:hAnsi="Times New Roman" w:cs="Times New Roman"/>
          <w:bCs/>
        </w:rPr>
        <w:t>suggest</w:t>
      </w:r>
      <w:r w:rsidR="009B1530" w:rsidRPr="00BF4CE7">
        <w:rPr>
          <w:rFonts w:ascii="Times New Roman" w:hAnsi="Times New Roman" w:cs="Times New Roman"/>
          <w:bCs/>
        </w:rPr>
        <w:t xml:space="preserve"> </w:t>
      </w:r>
      <w:r w:rsidR="009A352D" w:rsidRPr="00BF4CE7">
        <w:rPr>
          <w:rFonts w:ascii="Times New Roman" w:hAnsi="Times New Roman" w:cs="Times New Roman"/>
          <w:bCs/>
        </w:rPr>
        <w:t>that the Council</w:t>
      </w:r>
      <w:r w:rsidR="009B1530" w:rsidRPr="00BF4CE7">
        <w:rPr>
          <w:rFonts w:ascii="Times New Roman" w:hAnsi="Times New Roman" w:cs="Times New Roman"/>
          <w:bCs/>
        </w:rPr>
        <w:t xml:space="preserve"> consider allocating specific sites </w:t>
      </w:r>
      <w:r w:rsidR="00DE5E06" w:rsidRPr="00BF4CE7">
        <w:rPr>
          <w:rFonts w:ascii="Times New Roman" w:hAnsi="Times New Roman" w:cs="Times New Roman"/>
          <w:bCs/>
        </w:rPr>
        <w:t xml:space="preserve">for </w:t>
      </w:r>
      <w:r w:rsidR="009A352D" w:rsidRPr="00BF4CE7">
        <w:rPr>
          <w:rFonts w:ascii="Times New Roman" w:hAnsi="Times New Roman" w:cs="Times New Roman"/>
          <w:bCs/>
        </w:rPr>
        <w:t>self-builders</w:t>
      </w:r>
      <w:r w:rsidR="00DE5E06" w:rsidRPr="00BF4CE7">
        <w:rPr>
          <w:rFonts w:ascii="Times New Roman" w:hAnsi="Times New Roman" w:cs="Times New Roman"/>
          <w:bCs/>
        </w:rPr>
        <w:t xml:space="preserve"> </w:t>
      </w:r>
      <w:r w:rsidR="009A352D" w:rsidRPr="00BF4CE7">
        <w:rPr>
          <w:rFonts w:ascii="Times New Roman" w:hAnsi="Times New Roman" w:cs="Times New Roman"/>
          <w:bCs/>
        </w:rPr>
        <w:t>which</w:t>
      </w:r>
      <w:r w:rsidR="00DE5E06" w:rsidRPr="00BF4CE7">
        <w:rPr>
          <w:rFonts w:ascii="Times New Roman" w:hAnsi="Times New Roman" w:cs="Times New Roman"/>
          <w:bCs/>
        </w:rPr>
        <w:t xml:space="preserve"> are </w:t>
      </w:r>
      <w:r w:rsidR="004001A2" w:rsidRPr="00BF4CE7">
        <w:rPr>
          <w:rFonts w:ascii="Times New Roman" w:hAnsi="Times New Roman" w:cs="Times New Roman"/>
          <w:bCs/>
        </w:rPr>
        <w:t>more likely</w:t>
      </w:r>
      <w:r w:rsidR="00DE5E06" w:rsidRPr="00BF4CE7">
        <w:rPr>
          <w:rFonts w:ascii="Times New Roman" w:hAnsi="Times New Roman" w:cs="Times New Roman"/>
          <w:bCs/>
        </w:rPr>
        <w:t xml:space="preserve"> to meet the needs of those households as well as </w:t>
      </w:r>
      <w:r w:rsidR="009A352D" w:rsidRPr="00BF4CE7">
        <w:rPr>
          <w:rFonts w:ascii="Times New Roman" w:hAnsi="Times New Roman" w:cs="Times New Roman"/>
          <w:bCs/>
        </w:rPr>
        <w:t>avoid</w:t>
      </w:r>
      <w:r w:rsidR="00DE5E06" w:rsidRPr="00BF4CE7">
        <w:rPr>
          <w:rFonts w:ascii="Times New Roman" w:hAnsi="Times New Roman" w:cs="Times New Roman"/>
          <w:bCs/>
        </w:rPr>
        <w:t>ing</w:t>
      </w:r>
      <w:r w:rsidR="009A352D" w:rsidRPr="00BF4CE7">
        <w:rPr>
          <w:rFonts w:ascii="Times New Roman" w:hAnsi="Times New Roman" w:cs="Times New Roman"/>
          <w:bCs/>
        </w:rPr>
        <w:t xml:space="preserve"> the</w:t>
      </w:r>
      <w:r w:rsidR="00DE5E06" w:rsidRPr="00BF4CE7">
        <w:rPr>
          <w:rFonts w:ascii="Times New Roman" w:hAnsi="Times New Roman" w:cs="Times New Roman"/>
          <w:bCs/>
        </w:rPr>
        <w:t xml:space="preserve"> </w:t>
      </w:r>
      <w:r w:rsidR="009A352D" w:rsidRPr="00BF4CE7">
        <w:rPr>
          <w:rFonts w:ascii="Times New Roman" w:hAnsi="Times New Roman" w:cs="Times New Roman"/>
          <w:bCs/>
        </w:rPr>
        <w:t>potentially</w:t>
      </w:r>
      <w:r w:rsidR="00DE5E06" w:rsidRPr="00BF4CE7">
        <w:rPr>
          <w:rFonts w:ascii="Times New Roman" w:hAnsi="Times New Roman" w:cs="Times New Roman"/>
          <w:bCs/>
        </w:rPr>
        <w:t xml:space="preserve"> harmful </w:t>
      </w:r>
      <w:r w:rsidR="009A352D" w:rsidRPr="00BF4CE7">
        <w:rPr>
          <w:rFonts w:ascii="Times New Roman" w:hAnsi="Times New Roman" w:cs="Times New Roman"/>
          <w:bCs/>
        </w:rPr>
        <w:t>impacts of mixing the delivery of self-build units alongside commercial housebuilding.</w:t>
      </w:r>
    </w:p>
    <w:p w14:paraId="3BDFE282" w14:textId="0F877150" w:rsidR="000E3687" w:rsidRDefault="000E3687" w:rsidP="0011481C">
      <w:pPr>
        <w:widowControl/>
        <w:suppressAutoHyphens w:val="0"/>
        <w:autoSpaceDE/>
        <w:spacing w:after="240" w:line="360" w:lineRule="auto"/>
        <w:jc w:val="both"/>
        <w:rPr>
          <w:rFonts w:ascii="Times New Roman" w:hAnsi="Times New Roman" w:cs="Times New Roman"/>
          <w:b/>
        </w:rPr>
      </w:pPr>
      <w:r>
        <w:rPr>
          <w:rFonts w:ascii="Times New Roman" w:hAnsi="Times New Roman" w:cs="Times New Roman"/>
          <w:b/>
        </w:rPr>
        <w:t>CC1</w:t>
      </w:r>
      <w:r w:rsidR="004D1DA1">
        <w:rPr>
          <w:rFonts w:ascii="Times New Roman" w:hAnsi="Times New Roman" w:cs="Times New Roman"/>
          <w:b/>
        </w:rPr>
        <w:t xml:space="preserve"> – Mitigating and Adapting to the impacts of climate change</w:t>
      </w:r>
    </w:p>
    <w:p w14:paraId="1E3A2F12" w14:textId="417F1BFB" w:rsidR="004D1DA1" w:rsidRPr="00A61ECC" w:rsidRDefault="00B65E8C" w:rsidP="00407FE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HBF object to the statement in p</w:t>
      </w:r>
      <w:r w:rsidR="00F9611C" w:rsidRPr="00B65E8C">
        <w:rPr>
          <w:rFonts w:ascii="Times New Roman" w:hAnsi="Times New Roman" w:cs="Times New Roman"/>
          <w:bCs/>
        </w:rPr>
        <w:t xml:space="preserve">art </w:t>
      </w:r>
      <w:proofErr w:type="spellStart"/>
      <w:r w:rsidR="00F9611C" w:rsidRPr="00B65E8C">
        <w:rPr>
          <w:rFonts w:ascii="Times New Roman" w:hAnsi="Times New Roman" w:cs="Times New Roman"/>
          <w:bCs/>
        </w:rPr>
        <w:t>i</w:t>
      </w:r>
      <w:proofErr w:type="spellEnd"/>
      <w:r w:rsidR="00F9611C" w:rsidRPr="00B65E8C">
        <w:rPr>
          <w:rFonts w:ascii="Times New Roman" w:hAnsi="Times New Roman" w:cs="Times New Roman"/>
          <w:bCs/>
        </w:rPr>
        <w:t>.</w:t>
      </w:r>
      <w:r>
        <w:rPr>
          <w:rFonts w:ascii="Times New Roman" w:hAnsi="Times New Roman" w:cs="Times New Roman"/>
          <w:bCs/>
        </w:rPr>
        <w:t xml:space="preserve"> which </w:t>
      </w:r>
      <w:r w:rsidR="00F9611C" w:rsidRPr="00B65E8C">
        <w:rPr>
          <w:rFonts w:ascii="Times New Roman" w:hAnsi="Times New Roman" w:cs="Times New Roman"/>
          <w:bCs/>
        </w:rPr>
        <w:t xml:space="preserve">states that development must </w:t>
      </w:r>
      <w:r w:rsidRPr="00B65E8C">
        <w:rPr>
          <w:rFonts w:ascii="Times New Roman" w:hAnsi="Times New Roman" w:cs="Times New Roman"/>
          <w:bCs/>
        </w:rPr>
        <w:t>minimise</w:t>
      </w:r>
      <w:r w:rsidR="00F9611C" w:rsidRPr="00B65E8C">
        <w:rPr>
          <w:rFonts w:ascii="Times New Roman" w:hAnsi="Times New Roman" w:cs="Times New Roman"/>
          <w:bCs/>
        </w:rPr>
        <w:t xml:space="preserve"> </w:t>
      </w:r>
      <w:r w:rsidRPr="00B65E8C">
        <w:rPr>
          <w:rFonts w:ascii="Times New Roman" w:hAnsi="Times New Roman" w:cs="Times New Roman"/>
          <w:bCs/>
        </w:rPr>
        <w:t>water</w:t>
      </w:r>
      <w:r w:rsidR="00F9611C" w:rsidRPr="00B65E8C">
        <w:rPr>
          <w:rFonts w:ascii="Times New Roman" w:hAnsi="Times New Roman" w:cs="Times New Roman"/>
          <w:bCs/>
        </w:rPr>
        <w:t xml:space="preserve"> consumption</w:t>
      </w:r>
      <w:r>
        <w:rPr>
          <w:rFonts w:ascii="Times New Roman" w:hAnsi="Times New Roman" w:cs="Times New Roman"/>
          <w:bCs/>
        </w:rPr>
        <w:t>. As set out in W</w:t>
      </w:r>
      <w:r w:rsidR="00B27931">
        <w:rPr>
          <w:rFonts w:ascii="Times New Roman" w:hAnsi="Times New Roman" w:cs="Times New Roman"/>
          <w:bCs/>
        </w:rPr>
        <w:t xml:space="preserve">3 development is required to meet the lower </w:t>
      </w:r>
      <w:r w:rsidR="003A6399">
        <w:rPr>
          <w:rFonts w:ascii="Times New Roman" w:hAnsi="Times New Roman" w:cs="Times New Roman"/>
          <w:bCs/>
        </w:rPr>
        <w:t>technical</w:t>
      </w:r>
      <w:r w:rsidR="00B27931">
        <w:rPr>
          <w:rFonts w:ascii="Times New Roman" w:hAnsi="Times New Roman" w:cs="Times New Roman"/>
          <w:bCs/>
        </w:rPr>
        <w:t xml:space="preserve"> standard for water </w:t>
      </w:r>
      <w:r w:rsidR="003A6399">
        <w:rPr>
          <w:rFonts w:ascii="Times New Roman" w:hAnsi="Times New Roman" w:cs="Times New Roman"/>
          <w:bCs/>
        </w:rPr>
        <w:t>consumption</w:t>
      </w:r>
      <w:r w:rsidR="00B27931">
        <w:rPr>
          <w:rFonts w:ascii="Times New Roman" w:hAnsi="Times New Roman" w:cs="Times New Roman"/>
          <w:bCs/>
        </w:rPr>
        <w:t xml:space="preserve"> of 110 lppd. It is therefore not necessary for </w:t>
      </w:r>
      <w:r w:rsidR="003A6399">
        <w:rPr>
          <w:rFonts w:ascii="Times New Roman" w:hAnsi="Times New Roman" w:cs="Times New Roman"/>
          <w:bCs/>
        </w:rPr>
        <w:t xml:space="preserve">a further statement. If the Council wish to retain a statement in part </w:t>
      </w:r>
      <w:proofErr w:type="spellStart"/>
      <w:r w:rsidR="00A61ECC">
        <w:rPr>
          <w:rFonts w:ascii="Times New Roman" w:hAnsi="Times New Roman" w:cs="Times New Roman"/>
          <w:bCs/>
        </w:rPr>
        <w:t>i</w:t>
      </w:r>
      <w:proofErr w:type="spellEnd"/>
      <w:r w:rsidR="00A61ECC">
        <w:rPr>
          <w:rFonts w:ascii="Times New Roman" w:hAnsi="Times New Roman" w:cs="Times New Roman"/>
          <w:bCs/>
        </w:rPr>
        <w:t>.</w:t>
      </w:r>
      <w:r w:rsidR="003A6399">
        <w:rPr>
          <w:rFonts w:ascii="Times New Roman" w:hAnsi="Times New Roman" w:cs="Times New Roman"/>
          <w:bCs/>
        </w:rPr>
        <w:t xml:space="preserve"> it </w:t>
      </w:r>
      <w:r w:rsidR="00A61ECC">
        <w:rPr>
          <w:rFonts w:ascii="Times New Roman" w:hAnsi="Times New Roman" w:cs="Times New Roman"/>
          <w:bCs/>
        </w:rPr>
        <w:t>should</w:t>
      </w:r>
      <w:r w:rsidR="003A6399">
        <w:rPr>
          <w:rFonts w:ascii="Times New Roman" w:hAnsi="Times New Roman" w:cs="Times New Roman"/>
          <w:bCs/>
        </w:rPr>
        <w:t xml:space="preserve"> read </w:t>
      </w:r>
      <w:r w:rsidR="00A61ECC">
        <w:rPr>
          <w:rFonts w:ascii="Times New Roman" w:hAnsi="Times New Roman" w:cs="Times New Roman"/>
          <w:bCs/>
        </w:rPr>
        <w:t>“</w:t>
      </w:r>
      <w:r w:rsidR="00A61ECC" w:rsidRPr="00A61ECC">
        <w:rPr>
          <w:rFonts w:ascii="Times New Roman" w:hAnsi="Times New Roman" w:cs="Times New Roman"/>
          <w:bCs/>
          <w:i/>
          <w:iCs/>
        </w:rPr>
        <w:t>Ensure water consumption is in line with the lower standards set out in W3”</w:t>
      </w:r>
      <w:r w:rsidR="00A61ECC">
        <w:rPr>
          <w:rFonts w:ascii="Times New Roman" w:hAnsi="Times New Roman" w:cs="Times New Roman"/>
          <w:bCs/>
        </w:rPr>
        <w:t xml:space="preserve">. This </w:t>
      </w:r>
      <w:r w:rsidR="00407FE3">
        <w:rPr>
          <w:rFonts w:ascii="Times New Roman" w:hAnsi="Times New Roman" w:cs="Times New Roman"/>
          <w:bCs/>
        </w:rPr>
        <w:t xml:space="preserve">will make it clear to decision makers that the 110 lppd standard is sufficient and that further reductions are not required. </w:t>
      </w:r>
    </w:p>
    <w:p w14:paraId="026A6791" w14:textId="157B7262" w:rsidR="0011481C" w:rsidRPr="00D0464E" w:rsidRDefault="0011481C" w:rsidP="0011481C">
      <w:pPr>
        <w:widowControl/>
        <w:suppressAutoHyphens w:val="0"/>
        <w:autoSpaceDE/>
        <w:spacing w:after="240" w:line="360" w:lineRule="auto"/>
        <w:jc w:val="both"/>
        <w:rPr>
          <w:rFonts w:ascii="Times New Roman" w:hAnsi="Times New Roman" w:cs="Times New Roman"/>
          <w:b/>
        </w:rPr>
      </w:pPr>
      <w:r w:rsidRPr="00D0464E">
        <w:rPr>
          <w:rFonts w:ascii="Times New Roman" w:hAnsi="Times New Roman" w:cs="Times New Roman"/>
          <w:b/>
        </w:rPr>
        <w:t xml:space="preserve">CC4 </w:t>
      </w:r>
      <w:r w:rsidR="00B15B0A" w:rsidRPr="00D0464E">
        <w:rPr>
          <w:rFonts w:ascii="Times New Roman" w:hAnsi="Times New Roman" w:cs="Times New Roman"/>
          <w:b/>
        </w:rPr>
        <w:t>– Tree Planting</w:t>
      </w:r>
    </w:p>
    <w:p w14:paraId="7C4943B1" w14:textId="7B20788F" w:rsidR="0011481C" w:rsidRPr="00B15B0A" w:rsidRDefault="0011481C" w:rsidP="00D0464E">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B15B0A">
        <w:rPr>
          <w:rFonts w:ascii="Times New Roman" w:hAnsi="Times New Roman" w:cs="Times New Roman"/>
          <w:bCs/>
        </w:rPr>
        <w:t xml:space="preserve">The provision of trees on a development site is important, however </w:t>
      </w:r>
      <w:r w:rsidR="006A6D92">
        <w:rPr>
          <w:rFonts w:ascii="Times New Roman" w:hAnsi="Times New Roman" w:cs="Times New Roman"/>
          <w:bCs/>
        </w:rPr>
        <w:t xml:space="preserve">while the </w:t>
      </w:r>
      <w:r w:rsidR="002A2327">
        <w:rPr>
          <w:rFonts w:ascii="Times New Roman" w:hAnsi="Times New Roman" w:cs="Times New Roman"/>
          <w:bCs/>
        </w:rPr>
        <w:t>policy</w:t>
      </w:r>
      <w:r w:rsidR="006A6D92">
        <w:rPr>
          <w:rFonts w:ascii="Times New Roman" w:hAnsi="Times New Roman" w:cs="Times New Roman"/>
          <w:bCs/>
        </w:rPr>
        <w:t xml:space="preserve"> contains some </w:t>
      </w:r>
      <w:r w:rsidR="002A2327">
        <w:rPr>
          <w:rFonts w:ascii="Times New Roman" w:hAnsi="Times New Roman" w:cs="Times New Roman"/>
          <w:bCs/>
        </w:rPr>
        <w:t>flexibility</w:t>
      </w:r>
      <w:r w:rsidR="006A6D92">
        <w:rPr>
          <w:rFonts w:ascii="Times New Roman" w:hAnsi="Times New Roman" w:cs="Times New Roman"/>
          <w:bCs/>
        </w:rPr>
        <w:t xml:space="preserve"> </w:t>
      </w:r>
      <w:r w:rsidR="002A2327">
        <w:rPr>
          <w:rFonts w:ascii="Times New Roman" w:hAnsi="Times New Roman" w:cs="Times New Roman"/>
          <w:bCs/>
        </w:rPr>
        <w:t>stating</w:t>
      </w:r>
      <w:r w:rsidR="006A6D92">
        <w:rPr>
          <w:rFonts w:ascii="Times New Roman" w:hAnsi="Times New Roman" w:cs="Times New Roman"/>
          <w:bCs/>
        </w:rPr>
        <w:t xml:space="preserve"> that </w:t>
      </w:r>
      <w:r w:rsidR="00B91C76">
        <w:rPr>
          <w:rFonts w:ascii="Times New Roman" w:hAnsi="Times New Roman" w:cs="Times New Roman"/>
          <w:bCs/>
        </w:rPr>
        <w:t xml:space="preserve">the two tree per unit </w:t>
      </w:r>
      <w:r w:rsidR="002A2327">
        <w:rPr>
          <w:rFonts w:ascii="Times New Roman" w:hAnsi="Times New Roman" w:cs="Times New Roman"/>
          <w:bCs/>
        </w:rPr>
        <w:t>requirement</w:t>
      </w:r>
      <w:r w:rsidR="00B91C76">
        <w:rPr>
          <w:rFonts w:ascii="Times New Roman" w:hAnsi="Times New Roman" w:cs="Times New Roman"/>
          <w:bCs/>
        </w:rPr>
        <w:t xml:space="preserve"> may not be required where it is not </w:t>
      </w:r>
      <w:r w:rsidR="002A2327">
        <w:rPr>
          <w:rFonts w:ascii="Times New Roman" w:hAnsi="Times New Roman" w:cs="Times New Roman"/>
          <w:bCs/>
        </w:rPr>
        <w:t>practical</w:t>
      </w:r>
      <w:r w:rsidR="00B91C76">
        <w:rPr>
          <w:rFonts w:ascii="Times New Roman" w:hAnsi="Times New Roman" w:cs="Times New Roman"/>
          <w:bCs/>
        </w:rPr>
        <w:t xml:space="preserve"> due to sites </w:t>
      </w:r>
      <w:r w:rsidR="002A2327">
        <w:rPr>
          <w:rFonts w:ascii="Times New Roman" w:hAnsi="Times New Roman" w:cs="Times New Roman"/>
          <w:bCs/>
        </w:rPr>
        <w:t>constraints</w:t>
      </w:r>
      <w:r w:rsidR="00B91C76">
        <w:rPr>
          <w:rFonts w:ascii="Times New Roman" w:hAnsi="Times New Roman" w:cs="Times New Roman"/>
          <w:bCs/>
        </w:rPr>
        <w:t xml:space="preserve"> HBF </w:t>
      </w:r>
      <w:r w:rsidR="002A2327">
        <w:rPr>
          <w:rFonts w:ascii="Times New Roman" w:hAnsi="Times New Roman" w:cs="Times New Roman"/>
          <w:bCs/>
        </w:rPr>
        <w:t>still consider this to too rigid.</w:t>
      </w:r>
      <w:r w:rsidR="007E6E7E">
        <w:rPr>
          <w:rFonts w:ascii="Times New Roman" w:hAnsi="Times New Roman" w:cs="Times New Roman"/>
          <w:bCs/>
        </w:rPr>
        <w:t xml:space="preserve"> </w:t>
      </w:r>
      <w:r w:rsidR="00CD6F84">
        <w:rPr>
          <w:rFonts w:ascii="Times New Roman" w:hAnsi="Times New Roman" w:cs="Times New Roman"/>
          <w:bCs/>
        </w:rPr>
        <w:t>Rather</w:t>
      </w:r>
      <w:r w:rsidR="007E6E7E">
        <w:rPr>
          <w:rFonts w:ascii="Times New Roman" w:hAnsi="Times New Roman" w:cs="Times New Roman"/>
          <w:bCs/>
        </w:rPr>
        <w:t xml:space="preserve"> than a requirement t</w:t>
      </w:r>
      <w:r w:rsidR="00CD6F84">
        <w:rPr>
          <w:rFonts w:ascii="Times New Roman" w:hAnsi="Times New Roman" w:cs="Times New Roman"/>
          <w:bCs/>
        </w:rPr>
        <w:t>o</w:t>
      </w:r>
      <w:r w:rsidR="007E6E7E">
        <w:rPr>
          <w:rFonts w:ascii="Times New Roman" w:hAnsi="Times New Roman" w:cs="Times New Roman"/>
          <w:bCs/>
        </w:rPr>
        <w:t xml:space="preserve"> </w:t>
      </w:r>
      <w:r w:rsidR="00CD6F84">
        <w:rPr>
          <w:rFonts w:ascii="Times New Roman" w:hAnsi="Times New Roman" w:cs="Times New Roman"/>
          <w:bCs/>
        </w:rPr>
        <w:t>provide</w:t>
      </w:r>
      <w:r w:rsidR="007E6E7E">
        <w:rPr>
          <w:rFonts w:ascii="Times New Roman" w:hAnsi="Times New Roman" w:cs="Times New Roman"/>
          <w:bCs/>
        </w:rPr>
        <w:t xml:space="preserve"> two trees</w:t>
      </w:r>
      <w:r w:rsidR="00CD6F84">
        <w:rPr>
          <w:rFonts w:ascii="Times New Roman" w:hAnsi="Times New Roman" w:cs="Times New Roman"/>
          <w:bCs/>
        </w:rPr>
        <w:t xml:space="preserve"> per unit</w:t>
      </w:r>
      <w:r w:rsidR="007E6E7E">
        <w:rPr>
          <w:rFonts w:ascii="Times New Roman" w:hAnsi="Times New Roman" w:cs="Times New Roman"/>
          <w:bCs/>
        </w:rPr>
        <w:t xml:space="preserve"> HBF </w:t>
      </w:r>
      <w:r w:rsidR="00CD6F84">
        <w:rPr>
          <w:rFonts w:ascii="Times New Roman" w:hAnsi="Times New Roman" w:cs="Times New Roman"/>
          <w:bCs/>
        </w:rPr>
        <w:t>suggest</w:t>
      </w:r>
      <w:r w:rsidR="007E6E7E">
        <w:rPr>
          <w:rFonts w:ascii="Times New Roman" w:hAnsi="Times New Roman" w:cs="Times New Roman"/>
          <w:bCs/>
        </w:rPr>
        <w:t xml:space="preserve"> </w:t>
      </w:r>
      <w:r w:rsidR="00CD6F84">
        <w:rPr>
          <w:rFonts w:ascii="Times New Roman" w:hAnsi="Times New Roman" w:cs="Times New Roman"/>
          <w:bCs/>
        </w:rPr>
        <w:t xml:space="preserve">that </w:t>
      </w:r>
      <w:r w:rsidR="005E3828">
        <w:rPr>
          <w:rFonts w:ascii="Times New Roman" w:hAnsi="Times New Roman" w:cs="Times New Roman"/>
          <w:bCs/>
        </w:rPr>
        <w:t xml:space="preserve">part 1 of </w:t>
      </w:r>
      <w:r w:rsidR="007E6E7E">
        <w:rPr>
          <w:rFonts w:ascii="Times New Roman" w:hAnsi="Times New Roman" w:cs="Times New Roman"/>
          <w:bCs/>
        </w:rPr>
        <w:t>the</w:t>
      </w:r>
      <w:r w:rsidR="00CD6F84">
        <w:rPr>
          <w:rFonts w:ascii="Times New Roman" w:hAnsi="Times New Roman" w:cs="Times New Roman"/>
          <w:bCs/>
        </w:rPr>
        <w:t xml:space="preserve"> policy</w:t>
      </w:r>
      <w:r w:rsidR="007E6E7E">
        <w:rPr>
          <w:rFonts w:ascii="Times New Roman" w:hAnsi="Times New Roman" w:cs="Times New Roman"/>
          <w:bCs/>
        </w:rPr>
        <w:t xml:space="preserve"> should state that </w:t>
      </w:r>
      <w:r w:rsidR="00CD6F84">
        <w:rPr>
          <w:rFonts w:ascii="Times New Roman" w:hAnsi="Times New Roman" w:cs="Times New Roman"/>
          <w:bCs/>
        </w:rPr>
        <w:t>“</w:t>
      </w:r>
      <w:r w:rsidR="00CD6F84" w:rsidRPr="00CD6F84">
        <w:rPr>
          <w:rFonts w:ascii="Times New Roman" w:hAnsi="Times New Roman" w:cs="Times New Roman"/>
          <w:bCs/>
          <w:i/>
          <w:iCs/>
        </w:rPr>
        <w:t>M</w:t>
      </w:r>
      <w:r w:rsidR="009F02FB" w:rsidRPr="00CD6F84">
        <w:rPr>
          <w:rFonts w:ascii="Times New Roman" w:hAnsi="Times New Roman" w:cs="Times New Roman"/>
          <w:bCs/>
          <w:i/>
          <w:iCs/>
        </w:rPr>
        <w:t xml:space="preserve">ajor </w:t>
      </w:r>
      <w:r w:rsidR="00CD6F84" w:rsidRPr="00CD6F84">
        <w:rPr>
          <w:rFonts w:ascii="Times New Roman" w:hAnsi="Times New Roman" w:cs="Times New Roman"/>
          <w:bCs/>
          <w:i/>
          <w:iCs/>
        </w:rPr>
        <w:t>residential</w:t>
      </w:r>
      <w:r w:rsidR="009F02FB" w:rsidRPr="00CD6F84">
        <w:rPr>
          <w:rFonts w:ascii="Times New Roman" w:hAnsi="Times New Roman" w:cs="Times New Roman"/>
          <w:bCs/>
          <w:i/>
          <w:iCs/>
        </w:rPr>
        <w:t xml:space="preserve"> development should aim to deliver at least two trees per unit taking into account </w:t>
      </w:r>
      <w:r w:rsidR="00CD6F84" w:rsidRPr="00CD6F84">
        <w:rPr>
          <w:rFonts w:ascii="Times New Roman" w:hAnsi="Times New Roman" w:cs="Times New Roman"/>
          <w:bCs/>
          <w:i/>
          <w:iCs/>
        </w:rPr>
        <w:t>other policies in the local plan</w:t>
      </w:r>
      <w:r w:rsidR="00CD6F84">
        <w:rPr>
          <w:rFonts w:ascii="Times New Roman" w:hAnsi="Times New Roman" w:cs="Times New Roman"/>
          <w:bCs/>
        </w:rPr>
        <w:t xml:space="preserve">”. </w:t>
      </w:r>
      <w:r w:rsidR="002A2327">
        <w:rPr>
          <w:rFonts w:ascii="Times New Roman" w:hAnsi="Times New Roman" w:cs="Times New Roman"/>
          <w:bCs/>
        </w:rPr>
        <w:t xml:space="preserve"> </w:t>
      </w:r>
      <w:r w:rsidR="00B35DA7">
        <w:rPr>
          <w:rFonts w:ascii="Times New Roman" w:hAnsi="Times New Roman" w:cs="Times New Roman"/>
          <w:bCs/>
        </w:rPr>
        <w:t xml:space="preserve">This </w:t>
      </w:r>
      <w:r w:rsidR="001D18B7">
        <w:rPr>
          <w:rFonts w:ascii="Times New Roman" w:hAnsi="Times New Roman" w:cs="Times New Roman"/>
          <w:bCs/>
        </w:rPr>
        <w:t>flexibility</w:t>
      </w:r>
      <w:r w:rsidR="00B35DA7">
        <w:rPr>
          <w:rFonts w:ascii="Times New Roman" w:hAnsi="Times New Roman" w:cs="Times New Roman"/>
          <w:bCs/>
        </w:rPr>
        <w:t xml:space="preserve"> </w:t>
      </w:r>
      <w:r w:rsidR="001D18B7">
        <w:rPr>
          <w:rFonts w:ascii="Times New Roman" w:hAnsi="Times New Roman" w:cs="Times New Roman"/>
          <w:bCs/>
        </w:rPr>
        <w:t>will</w:t>
      </w:r>
      <w:r w:rsidR="00B35DA7">
        <w:rPr>
          <w:rFonts w:ascii="Times New Roman" w:hAnsi="Times New Roman" w:cs="Times New Roman"/>
          <w:bCs/>
        </w:rPr>
        <w:t xml:space="preserve"> allow the developer and decision maker to </w:t>
      </w:r>
      <w:r w:rsidR="001D18B7">
        <w:rPr>
          <w:rFonts w:ascii="Times New Roman" w:hAnsi="Times New Roman" w:cs="Times New Roman"/>
          <w:bCs/>
        </w:rPr>
        <w:t xml:space="preserve">ensure that tree provision is </w:t>
      </w:r>
      <w:r w:rsidRPr="00B15B0A">
        <w:rPr>
          <w:rFonts w:ascii="Times New Roman" w:hAnsi="Times New Roman" w:cs="Times New Roman"/>
          <w:bCs/>
        </w:rPr>
        <w:t xml:space="preserve">consistent with other policies within the Local Plan, such as requiring </w:t>
      </w:r>
      <w:r w:rsidRPr="00B15B0A">
        <w:rPr>
          <w:rFonts w:ascii="Times New Roman" w:hAnsi="Times New Roman" w:cs="Times New Roman"/>
          <w:bCs/>
        </w:rPr>
        <w:lastRenderedPageBreak/>
        <w:t xml:space="preserve">minimum site densities, the requirement for sites to prioritise on site BNG </w:t>
      </w:r>
      <w:r w:rsidR="001D18B7">
        <w:rPr>
          <w:rFonts w:ascii="Times New Roman" w:hAnsi="Times New Roman" w:cs="Times New Roman"/>
          <w:bCs/>
        </w:rPr>
        <w:t xml:space="preserve">– where planting </w:t>
      </w:r>
      <w:r w:rsidRPr="00B15B0A">
        <w:rPr>
          <w:rFonts w:ascii="Times New Roman" w:hAnsi="Times New Roman" w:cs="Times New Roman"/>
          <w:bCs/>
        </w:rPr>
        <w:t>may not be compatible with tree provision due to trading rules.</w:t>
      </w:r>
    </w:p>
    <w:p w14:paraId="77084B91" w14:textId="759DFDE7" w:rsidR="00961B9D" w:rsidRPr="003D42FD" w:rsidRDefault="00961B9D" w:rsidP="00961B9D">
      <w:pPr>
        <w:widowControl/>
        <w:suppressAutoHyphens w:val="0"/>
        <w:autoSpaceDE/>
        <w:spacing w:after="240" w:line="360" w:lineRule="auto"/>
        <w:jc w:val="both"/>
        <w:rPr>
          <w:rFonts w:ascii="Times New Roman" w:hAnsi="Times New Roman" w:cs="Times New Roman"/>
          <w:b/>
        </w:rPr>
      </w:pPr>
      <w:r w:rsidRPr="003D42FD">
        <w:rPr>
          <w:rFonts w:ascii="Times New Roman" w:hAnsi="Times New Roman" w:cs="Times New Roman"/>
          <w:b/>
        </w:rPr>
        <w:t xml:space="preserve">W3 </w:t>
      </w:r>
      <w:r w:rsidR="00D0464E">
        <w:rPr>
          <w:rFonts w:ascii="Times New Roman" w:hAnsi="Times New Roman" w:cs="Times New Roman"/>
          <w:b/>
        </w:rPr>
        <w:t xml:space="preserve">- </w:t>
      </w:r>
      <w:r w:rsidRPr="003D42FD">
        <w:rPr>
          <w:rFonts w:ascii="Times New Roman" w:hAnsi="Times New Roman" w:cs="Times New Roman"/>
          <w:b/>
        </w:rPr>
        <w:t>Water supply and quality</w:t>
      </w:r>
    </w:p>
    <w:p w14:paraId="2CE3AC61" w14:textId="2B342844" w:rsidR="00961B9D" w:rsidRPr="00961B9D" w:rsidRDefault="00826763" w:rsidP="003D42FD">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Part 2 of W3 sets ou</w:t>
      </w:r>
      <w:r w:rsidR="00C75825">
        <w:rPr>
          <w:rFonts w:ascii="Times New Roman" w:hAnsi="Times New Roman" w:cs="Times New Roman"/>
          <w:bCs/>
        </w:rPr>
        <w:t xml:space="preserve">t that </w:t>
      </w:r>
      <w:r w:rsidR="005E0707">
        <w:rPr>
          <w:rFonts w:ascii="Times New Roman" w:hAnsi="Times New Roman" w:cs="Times New Roman"/>
          <w:bCs/>
        </w:rPr>
        <w:t>development</w:t>
      </w:r>
      <w:r w:rsidR="00C75825">
        <w:rPr>
          <w:rFonts w:ascii="Times New Roman" w:hAnsi="Times New Roman" w:cs="Times New Roman"/>
          <w:bCs/>
        </w:rPr>
        <w:t xml:space="preserve"> </w:t>
      </w:r>
      <w:r w:rsidR="005E0707">
        <w:rPr>
          <w:rFonts w:ascii="Times New Roman" w:hAnsi="Times New Roman" w:cs="Times New Roman"/>
          <w:bCs/>
        </w:rPr>
        <w:t>results</w:t>
      </w:r>
      <w:r w:rsidR="00C75825">
        <w:rPr>
          <w:rFonts w:ascii="Times New Roman" w:hAnsi="Times New Roman" w:cs="Times New Roman"/>
          <w:bCs/>
        </w:rPr>
        <w:t xml:space="preserve"> in buildings that use mains water or generate </w:t>
      </w:r>
      <w:r w:rsidR="005E3511">
        <w:rPr>
          <w:rFonts w:ascii="Times New Roman" w:hAnsi="Times New Roman" w:cs="Times New Roman"/>
          <w:bCs/>
        </w:rPr>
        <w:t>w</w:t>
      </w:r>
      <w:r w:rsidR="00C75825">
        <w:rPr>
          <w:rFonts w:ascii="Times New Roman" w:hAnsi="Times New Roman" w:cs="Times New Roman"/>
          <w:bCs/>
        </w:rPr>
        <w:t xml:space="preserve">aste water must be designed </w:t>
      </w:r>
      <w:r w:rsidR="00CC7197">
        <w:rPr>
          <w:rFonts w:ascii="Times New Roman" w:hAnsi="Times New Roman" w:cs="Times New Roman"/>
          <w:bCs/>
        </w:rPr>
        <w:t>to</w:t>
      </w:r>
      <w:r w:rsidR="006C5AE3">
        <w:rPr>
          <w:rFonts w:ascii="Times New Roman" w:hAnsi="Times New Roman" w:cs="Times New Roman"/>
          <w:bCs/>
        </w:rPr>
        <w:t xml:space="preserve"> </w:t>
      </w:r>
      <w:r w:rsidR="00CC7197">
        <w:rPr>
          <w:rFonts w:ascii="Times New Roman" w:hAnsi="Times New Roman" w:cs="Times New Roman"/>
          <w:bCs/>
        </w:rPr>
        <w:t>minimise</w:t>
      </w:r>
      <w:r w:rsidR="006C5AE3">
        <w:rPr>
          <w:rFonts w:ascii="Times New Roman" w:hAnsi="Times New Roman" w:cs="Times New Roman"/>
          <w:bCs/>
        </w:rPr>
        <w:t xml:space="preserve"> </w:t>
      </w:r>
      <w:r w:rsidR="00CC7197">
        <w:rPr>
          <w:rFonts w:ascii="Times New Roman" w:hAnsi="Times New Roman" w:cs="Times New Roman"/>
          <w:bCs/>
        </w:rPr>
        <w:t>main</w:t>
      </w:r>
      <w:r w:rsidR="006C5AE3">
        <w:rPr>
          <w:rFonts w:ascii="Times New Roman" w:hAnsi="Times New Roman" w:cs="Times New Roman"/>
          <w:bCs/>
        </w:rPr>
        <w:t xml:space="preserve"> water use and </w:t>
      </w:r>
      <w:r w:rsidR="00CC7197">
        <w:rPr>
          <w:rFonts w:ascii="Times New Roman" w:hAnsi="Times New Roman" w:cs="Times New Roman"/>
          <w:bCs/>
        </w:rPr>
        <w:t>make</w:t>
      </w:r>
      <w:r w:rsidR="006C5AE3">
        <w:rPr>
          <w:rFonts w:ascii="Times New Roman" w:hAnsi="Times New Roman" w:cs="Times New Roman"/>
          <w:bCs/>
        </w:rPr>
        <w:t xml:space="preserve"> the most </w:t>
      </w:r>
      <w:r w:rsidR="00CC7197">
        <w:rPr>
          <w:rFonts w:ascii="Times New Roman" w:hAnsi="Times New Roman" w:cs="Times New Roman"/>
          <w:bCs/>
        </w:rPr>
        <w:t>efficient</w:t>
      </w:r>
      <w:r w:rsidR="006C5AE3">
        <w:rPr>
          <w:rFonts w:ascii="Times New Roman" w:hAnsi="Times New Roman" w:cs="Times New Roman"/>
          <w:bCs/>
        </w:rPr>
        <w:t xml:space="preserve"> use of water by incorporating</w:t>
      </w:r>
      <w:r w:rsidR="005E3511">
        <w:rPr>
          <w:rFonts w:ascii="Times New Roman" w:hAnsi="Times New Roman" w:cs="Times New Roman"/>
          <w:bCs/>
        </w:rPr>
        <w:t xml:space="preserve"> measures such as</w:t>
      </w:r>
      <w:r w:rsidR="006C5AE3">
        <w:rPr>
          <w:rFonts w:ascii="Times New Roman" w:hAnsi="Times New Roman" w:cs="Times New Roman"/>
          <w:bCs/>
        </w:rPr>
        <w:t xml:space="preserve"> rain</w:t>
      </w:r>
      <w:r w:rsidR="00CC7197">
        <w:rPr>
          <w:rFonts w:ascii="Times New Roman" w:hAnsi="Times New Roman" w:cs="Times New Roman"/>
          <w:bCs/>
        </w:rPr>
        <w:t xml:space="preserve">water </w:t>
      </w:r>
      <w:r w:rsidR="006C5AE3">
        <w:rPr>
          <w:rFonts w:ascii="Times New Roman" w:hAnsi="Times New Roman" w:cs="Times New Roman"/>
          <w:bCs/>
        </w:rPr>
        <w:t xml:space="preserve">harvesting </w:t>
      </w:r>
      <w:r w:rsidR="00CC7197">
        <w:rPr>
          <w:rFonts w:ascii="Times New Roman" w:hAnsi="Times New Roman" w:cs="Times New Roman"/>
          <w:bCs/>
        </w:rPr>
        <w:t xml:space="preserve">and grey water recycling </w:t>
      </w:r>
      <w:r w:rsidR="005E3511">
        <w:rPr>
          <w:rFonts w:ascii="Times New Roman" w:hAnsi="Times New Roman" w:cs="Times New Roman"/>
          <w:bCs/>
        </w:rPr>
        <w:t>systems.</w:t>
      </w:r>
      <w:r w:rsidR="00CC7197">
        <w:rPr>
          <w:rFonts w:ascii="Times New Roman" w:hAnsi="Times New Roman" w:cs="Times New Roman"/>
          <w:bCs/>
        </w:rPr>
        <w:t xml:space="preserve"> </w:t>
      </w:r>
      <w:r w:rsidR="005E0707">
        <w:rPr>
          <w:rFonts w:ascii="Times New Roman" w:hAnsi="Times New Roman" w:cs="Times New Roman"/>
          <w:bCs/>
        </w:rPr>
        <w:t xml:space="preserve">HBF has a number of </w:t>
      </w:r>
      <w:r w:rsidR="005C7B68">
        <w:rPr>
          <w:rFonts w:ascii="Times New Roman" w:hAnsi="Times New Roman" w:cs="Times New Roman"/>
          <w:bCs/>
        </w:rPr>
        <w:t>concerns</w:t>
      </w:r>
      <w:r w:rsidR="005E0707">
        <w:rPr>
          <w:rFonts w:ascii="Times New Roman" w:hAnsi="Times New Roman" w:cs="Times New Roman"/>
          <w:bCs/>
        </w:rPr>
        <w:t xml:space="preserve"> with this approach. </w:t>
      </w:r>
      <w:r w:rsidR="005C7B68">
        <w:rPr>
          <w:rFonts w:ascii="Times New Roman" w:hAnsi="Times New Roman" w:cs="Times New Roman"/>
          <w:bCs/>
        </w:rPr>
        <w:t xml:space="preserve">Firstly, </w:t>
      </w:r>
      <w:r w:rsidR="005E0707">
        <w:rPr>
          <w:rFonts w:ascii="Times New Roman" w:hAnsi="Times New Roman" w:cs="Times New Roman"/>
          <w:bCs/>
        </w:rPr>
        <w:t xml:space="preserve">residential development is </w:t>
      </w:r>
      <w:r w:rsidR="00AF5C7B">
        <w:rPr>
          <w:rFonts w:ascii="Times New Roman" w:hAnsi="Times New Roman" w:cs="Times New Roman"/>
          <w:bCs/>
        </w:rPr>
        <w:t>require</w:t>
      </w:r>
      <w:r w:rsidR="005C7B68">
        <w:rPr>
          <w:rFonts w:ascii="Times New Roman" w:hAnsi="Times New Roman" w:cs="Times New Roman"/>
          <w:bCs/>
        </w:rPr>
        <w:t>d</w:t>
      </w:r>
      <w:r w:rsidR="00AF5C7B">
        <w:rPr>
          <w:rFonts w:ascii="Times New Roman" w:hAnsi="Times New Roman" w:cs="Times New Roman"/>
          <w:bCs/>
        </w:rPr>
        <w:t xml:space="preserve"> </w:t>
      </w:r>
      <w:r w:rsidR="005C7B68">
        <w:rPr>
          <w:rFonts w:ascii="Times New Roman" w:hAnsi="Times New Roman" w:cs="Times New Roman"/>
          <w:bCs/>
        </w:rPr>
        <w:t>by part 3 of this policy</w:t>
      </w:r>
      <w:r w:rsidR="00AF5C7B">
        <w:rPr>
          <w:rFonts w:ascii="Times New Roman" w:hAnsi="Times New Roman" w:cs="Times New Roman"/>
          <w:bCs/>
        </w:rPr>
        <w:t xml:space="preserve"> to </w:t>
      </w:r>
      <w:r w:rsidR="005E0707">
        <w:rPr>
          <w:rFonts w:ascii="Times New Roman" w:hAnsi="Times New Roman" w:cs="Times New Roman"/>
          <w:bCs/>
        </w:rPr>
        <w:t xml:space="preserve">meet the lower optional standard of 110 lppd. </w:t>
      </w:r>
      <w:r w:rsidR="005C7B68">
        <w:rPr>
          <w:rFonts w:ascii="Times New Roman" w:hAnsi="Times New Roman" w:cs="Times New Roman"/>
          <w:bCs/>
        </w:rPr>
        <w:t xml:space="preserve">As such </w:t>
      </w:r>
      <w:r w:rsidR="002D3A06">
        <w:rPr>
          <w:rFonts w:ascii="Times New Roman" w:hAnsi="Times New Roman" w:cs="Times New Roman"/>
          <w:bCs/>
        </w:rPr>
        <w:t>residential development is</w:t>
      </w:r>
      <w:r w:rsidR="005C7B68">
        <w:rPr>
          <w:rFonts w:ascii="Times New Roman" w:hAnsi="Times New Roman" w:cs="Times New Roman"/>
          <w:bCs/>
        </w:rPr>
        <w:t xml:space="preserve"> already </w:t>
      </w:r>
      <w:r w:rsidR="00921684">
        <w:rPr>
          <w:rFonts w:ascii="Times New Roman" w:hAnsi="Times New Roman" w:cs="Times New Roman"/>
          <w:bCs/>
        </w:rPr>
        <w:t>minimising</w:t>
      </w:r>
      <w:r w:rsidR="005C7B68">
        <w:rPr>
          <w:rFonts w:ascii="Times New Roman" w:hAnsi="Times New Roman" w:cs="Times New Roman"/>
          <w:bCs/>
        </w:rPr>
        <w:t xml:space="preserve"> the use of mains water as part and should not be subject to any further consideration on this matter. Secondly the </w:t>
      </w:r>
      <w:r w:rsidR="00956EFD">
        <w:rPr>
          <w:rFonts w:ascii="Times New Roman" w:hAnsi="Times New Roman" w:cs="Times New Roman"/>
          <w:bCs/>
        </w:rPr>
        <w:t>requirement</w:t>
      </w:r>
      <w:r w:rsidR="005C7B68">
        <w:rPr>
          <w:rFonts w:ascii="Times New Roman" w:hAnsi="Times New Roman" w:cs="Times New Roman"/>
          <w:bCs/>
        </w:rPr>
        <w:t xml:space="preserve"> to </w:t>
      </w:r>
      <w:r w:rsidR="002D3A06">
        <w:rPr>
          <w:rFonts w:ascii="Times New Roman" w:hAnsi="Times New Roman" w:cs="Times New Roman"/>
          <w:bCs/>
        </w:rPr>
        <w:t>incorporate</w:t>
      </w:r>
      <w:r w:rsidR="00956EFD">
        <w:rPr>
          <w:rFonts w:ascii="Times New Roman" w:hAnsi="Times New Roman" w:cs="Times New Roman"/>
          <w:bCs/>
        </w:rPr>
        <w:t xml:space="preserve"> measures such as rain water harvesting </w:t>
      </w:r>
      <w:r w:rsidR="002D3A06">
        <w:rPr>
          <w:rFonts w:ascii="Times New Roman" w:hAnsi="Times New Roman" w:cs="Times New Roman"/>
          <w:bCs/>
        </w:rPr>
        <w:t>and</w:t>
      </w:r>
      <w:r w:rsidR="003C1199">
        <w:rPr>
          <w:rFonts w:ascii="Times New Roman" w:hAnsi="Times New Roman" w:cs="Times New Roman"/>
          <w:bCs/>
        </w:rPr>
        <w:t xml:space="preserve"> grey water recycling systems goes beyond the optional technical standards for water use. There are also fundamental problems with regard </w:t>
      </w:r>
      <w:r w:rsidR="002E1E84">
        <w:rPr>
          <w:rFonts w:ascii="Times New Roman" w:hAnsi="Times New Roman" w:cs="Times New Roman"/>
          <w:bCs/>
        </w:rPr>
        <w:t>to</w:t>
      </w:r>
      <w:r w:rsidR="003C1199">
        <w:rPr>
          <w:rFonts w:ascii="Times New Roman" w:hAnsi="Times New Roman" w:cs="Times New Roman"/>
          <w:bCs/>
        </w:rPr>
        <w:t xml:space="preserve"> </w:t>
      </w:r>
      <w:r w:rsidR="00C7131C">
        <w:rPr>
          <w:rFonts w:ascii="Times New Roman" w:hAnsi="Times New Roman" w:cs="Times New Roman"/>
          <w:bCs/>
        </w:rPr>
        <w:t xml:space="preserve">grey water recycling relating to health risks, high costs and </w:t>
      </w:r>
      <w:r w:rsidR="00FB15C5">
        <w:rPr>
          <w:rFonts w:ascii="Times New Roman" w:hAnsi="Times New Roman" w:cs="Times New Roman"/>
          <w:bCs/>
        </w:rPr>
        <w:t>technical complexities</w:t>
      </w:r>
      <w:r w:rsidR="00C966EB">
        <w:rPr>
          <w:rFonts w:ascii="Times New Roman" w:hAnsi="Times New Roman" w:cs="Times New Roman"/>
          <w:bCs/>
        </w:rPr>
        <w:t xml:space="preserve"> in delivering such systems that are likely to slow the delivery of new homes. </w:t>
      </w:r>
      <w:r w:rsidR="00573321">
        <w:rPr>
          <w:rFonts w:ascii="Times New Roman" w:hAnsi="Times New Roman" w:cs="Times New Roman"/>
          <w:bCs/>
        </w:rPr>
        <w:t xml:space="preserve">HBF therefore </w:t>
      </w:r>
      <w:r w:rsidR="00161445">
        <w:rPr>
          <w:rFonts w:ascii="Times New Roman" w:hAnsi="Times New Roman" w:cs="Times New Roman"/>
          <w:bCs/>
        </w:rPr>
        <w:t>recommend</w:t>
      </w:r>
      <w:r w:rsidR="00573321">
        <w:rPr>
          <w:rFonts w:ascii="Times New Roman" w:hAnsi="Times New Roman" w:cs="Times New Roman"/>
          <w:bCs/>
        </w:rPr>
        <w:t xml:space="preserve">s that part 2 is either </w:t>
      </w:r>
      <w:r w:rsidR="00161445">
        <w:rPr>
          <w:rFonts w:ascii="Times New Roman" w:hAnsi="Times New Roman" w:cs="Times New Roman"/>
          <w:bCs/>
        </w:rPr>
        <w:t>deleted</w:t>
      </w:r>
      <w:r w:rsidR="00573321">
        <w:rPr>
          <w:rFonts w:ascii="Times New Roman" w:hAnsi="Times New Roman" w:cs="Times New Roman"/>
          <w:bCs/>
        </w:rPr>
        <w:t xml:space="preserve"> or it </w:t>
      </w:r>
      <w:r w:rsidR="00161445">
        <w:rPr>
          <w:rFonts w:ascii="Times New Roman" w:hAnsi="Times New Roman" w:cs="Times New Roman"/>
          <w:bCs/>
        </w:rPr>
        <w:t>is clarified</w:t>
      </w:r>
      <w:r w:rsidR="00573321">
        <w:rPr>
          <w:rFonts w:ascii="Times New Roman" w:hAnsi="Times New Roman" w:cs="Times New Roman"/>
          <w:bCs/>
        </w:rPr>
        <w:t xml:space="preserve"> that </w:t>
      </w:r>
      <w:r w:rsidR="00161445">
        <w:rPr>
          <w:rFonts w:ascii="Times New Roman" w:hAnsi="Times New Roman" w:cs="Times New Roman"/>
          <w:bCs/>
        </w:rPr>
        <w:t>it</w:t>
      </w:r>
      <w:r w:rsidR="00573321">
        <w:rPr>
          <w:rFonts w:ascii="Times New Roman" w:hAnsi="Times New Roman" w:cs="Times New Roman"/>
          <w:bCs/>
        </w:rPr>
        <w:t xml:space="preserve"> does not </w:t>
      </w:r>
      <w:r w:rsidR="00161445">
        <w:rPr>
          <w:rFonts w:ascii="Times New Roman" w:hAnsi="Times New Roman" w:cs="Times New Roman"/>
          <w:bCs/>
        </w:rPr>
        <w:t xml:space="preserve">apply to residential development given that </w:t>
      </w:r>
      <w:r w:rsidR="00FF3C03">
        <w:rPr>
          <w:rFonts w:ascii="Times New Roman" w:hAnsi="Times New Roman" w:cs="Times New Roman"/>
          <w:bCs/>
        </w:rPr>
        <w:t xml:space="preserve">new homes are </w:t>
      </w:r>
      <w:r w:rsidR="00161445">
        <w:rPr>
          <w:rFonts w:ascii="Times New Roman" w:hAnsi="Times New Roman" w:cs="Times New Roman"/>
          <w:bCs/>
        </w:rPr>
        <w:t>required t</w:t>
      </w:r>
      <w:r w:rsidR="00FF3C03">
        <w:rPr>
          <w:rFonts w:ascii="Times New Roman" w:hAnsi="Times New Roman" w:cs="Times New Roman"/>
          <w:bCs/>
        </w:rPr>
        <w:t>o</w:t>
      </w:r>
      <w:r w:rsidR="00161445">
        <w:rPr>
          <w:rFonts w:ascii="Times New Roman" w:hAnsi="Times New Roman" w:cs="Times New Roman"/>
          <w:bCs/>
        </w:rPr>
        <w:t xml:space="preserve"> mee</w:t>
      </w:r>
      <w:r w:rsidR="00FF3C03">
        <w:rPr>
          <w:rFonts w:ascii="Times New Roman" w:hAnsi="Times New Roman" w:cs="Times New Roman"/>
          <w:bCs/>
        </w:rPr>
        <w:t>t</w:t>
      </w:r>
      <w:r w:rsidR="00161445">
        <w:rPr>
          <w:rFonts w:ascii="Times New Roman" w:hAnsi="Times New Roman" w:cs="Times New Roman"/>
          <w:bCs/>
        </w:rPr>
        <w:t xml:space="preserve"> the lower </w:t>
      </w:r>
      <w:r w:rsidR="00FF3C03">
        <w:rPr>
          <w:rFonts w:ascii="Times New Roman" w:hAnsi="Times New Roman" w:cs="Times New Roman"/>
          <w:bCs/>
        </w:rPr>
        <w:t>technical</w:t>
      </w:r>
      <w:r w:rsidR="00161445">
        <w:rPr>
          <w:rFonts w:ascii="Times New Roman" w:hAnsi="Times New Roman" w:cs="Times New Roman"/>
          <w:bCs/>
        </w:rPr>
        <w:t xml:space="preserve"> standard for water use</w:t>
      </w:r>
      <w:r w:rsidR="00FF3C03">
        <w:rPr>
          <w:rFonts w:ascii="Times New Roman" w:hAnsi="Times New Roman" w:cs="Times New Roman"/>
          <w:bCs/>
        </w:rPr>
        <w:t xml:space="preserve"> of 110 lppd.</w:t>
      </w:r>
      <w:r w:rsidR="00161445">
        <w:rPr>
          <w:rFonts w:ascii="Times New Roman" w:hAnsi="Times New Roman" w:cs="Times New Roman"/>
          <w:bCs/>
        </w:rPr>
        <w:t xml:space="preserve"> </w:t>
      </w:r>
    </w:p>
    <w:p w14:paraId="58ECAA5D" w14:textId="77777777" w:rsidR="009B6A75" w:rsidRPr="00634E50" w:rsidRDefault="009B6A75" w:rsidP="00634E50">
      <w:pPr>
        <w:widowControl/>
        <w:suppressAutoHyphens w:val="0"/>
        <w:autoSpaceDE/>
        <w:spacing w:after="240" w:line="360" w:lineRule="auto"/>
        <w:jc w:val="both"/>
        <w:rPr>
          <w:rFonts w:ascii="Times New Roman" w:hAnsi="Times New Roman" w:cs="Times New Roman"/>
          <w:b/>
        </w:rPr>
      </w:pPr>
      <w:r w:rsidRPr="00634E50">
        <w:rPr>
          <w:rFonts w:ascii="Times New Roman" w:hAnsi="Times New Roman" w:cs="Times New Roman"/>
          <w:b/>
        </w:rPr>
        <w:t>BW2 Biodiversity in new development</w:t>
      </w:r>
    </w:p>
    <w:p w14:paraId="0A508D6D" w14:textId="1A6911D9" w:rsidR="009B6A75" w:rsidRDefault="00301A9E" w:rsidP="0074524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The </w:t>
      </w:r>
      <w:r w:rsidR="000B1A34">
        <w:rPr>
          <w:rFonts w:ascii="Times New Roman" w:hAnsi="Times New Roman" w:cs="Times New Roman"/>
          <w:bCs/>
        </w:rPr>
        <w:t>policy</w:t>
      </w:r>
      <w:r>
        <w:rPr>
          <w:rFonts w:ascii="Times New Roman" w:hAnsi="Times New Roman" w:cs="Times New Roman"/>
          <w:bCs/>
        </w:rPr>
        <w:t xml:space="preserve"> </w:t>
      </w:r>
      <w:r w:rsidR="000B1A34">
        <w:rPr>
          <w:rFonts w:ascii="Times New Roman" w:hAnsi="Times New Roman" w:cs="Times New Roman"/>
          <w:bCs/>
        </w:rPr>
        <w:t>sets out</w:t>
      </w:r>
      <w:r>
        <w:rPr>
          <w:rFonts w:ascii="Times New Roman" w:hAnsi="Times New Roman" w:cs="Times New Roman"/>
          <w:bCs/>
        </w:rPr>
        <w:t xml:space="preserve"> that new development not expected by legislation should deliver a 10% </w:t>
      </w:r>
      <w:r w:rsidR="000B1A34">
        <w:rPr>
          <w:rFonts w:ascii="Times New Roman" w:hAnsi="Times New Roman" w:cs="Times New Roman"/>
          <w:bCs/>
        </w:rPr>
        <w:t xml:space="preserve">net in in accordance with statute. </w:t>
      </w:r>
      <w:r>
        <w:rPr>
          <w:rFonts w:ascii="Times New Roman" w:hAnsi="Times New Roman" w:cs="Times New Roman"/>
          <w:bCs/>
        </w:rPr>
        <w:t xml:space="preserve"> </w:t>
      </w:r>
      <w:r w:rsidR="008808C7">
        <w:rPr>
          <w:rFonts w:ascii="Times New Roman" w:hAnsi="Times New Roman" w:cs="Times New Roman"/>
          <w:bCs/>
        </w:rPr>
        <w:t>However, a</w:t>
      </w:r>
      <w:r w:rsidR="00EB53DE">
        <w:rPr>
          <w:rFonts w:ascii="Times New Roman" w:hAnsi="Times New Roman" w:cs="Times New Roman"/>
          <w:bCs/>
        </w:rPr>
        <w:t>s</w:t>
      </w:r>
      <w:r w:rsidR="008C2AA0">
        <w:rPr>
          <w:rFonts w:ascii="Times New Roman" w:hAnsi="Times New Roman" w:cs="Times New Roman"/>
          <w:bCs/>
        </w:rPr>
        <w:t xml:space="preserve"> the need to </w:t>
      </w:r>
      <w:r w:rsidR="003F3D73">
        <w:rPr>
          <w:rFonts w:ascii="Times New Roman" w:hAnsi="Times New Roman" w:cs="Times New Roman"/>
          <w:bCs/>
        </w:rPr>
        <w:t>provide</w:t>
      </w:r>
      <w:r w:rsidR="008C2AA0">
        <w:rPr>
          <w:rFonts w:ascii="Times New Roman" w:hAnsi="Times New Roman" w:cs="Times New Roman"/>
          <w:bCs/>
        </w:rPr>
        <w:t xml:space="preserve"> a 10% gain in </w:t>
      </w:r>
      <w:r w:rsidR="003F3D73">
        <w:rPr>
          <w:rFonts w:ascii="Times New Roman" w:hAnsi="Times New Roman" w:cs="Times New Roman"/>
          <w:bCs/>
        </w:rPr>
        <w:t>biodiversity</w:t>
      </w:r>
      <w:r w:rsidR="008808C7">
        <w:rPr>
          <w:rFonts w:ascii="Times New Roman" w:hAnsi="Times New Roman" w:cs="Times New Roman"/>
          <w:bCs/>
        </w:rPr>
        <w:t xml:space="preserve"> is a statutory requirement</w:t>
      </w:r>
      <w:r w:rsidR="008C2AA0">
        <w:rPr>
          <w:rFonts w:ascii="Times New Roman" w:hAnsi="Times New Roman" w:cs="Times New Roman"/>
          <w:bCs/>
        </w:rPr>
        <w:t xml:space="preserve"> HBF would question why </w:t>
      </w:r>
      <w:r w:rsidR="00F83B32">
        <w:rPr>
          <w:rFonts w:ascii="Times New Roman" w:hAnsi="Times New Roman" w:cs="Times New Roman"/>
          <w:bCs/>
        </w:rPr>
        <w:t xml:space="preserve">it is necessary for this to be included in a </w:t>
      </w:r>
      <w:r w:rsidR="008808C7">
        <w:rPr>
          <w:rFonts w:ascii="Times New Roman" w:hAnsi="Times New Roman" w:cs="Times New Roman"/>
          <w:bCs/>
        </w:rPr>
        <w:t xml:space="preserve">local plan policy. </w:t>
      </w:r>
      <w:r w:rsidR="00F83B32">
        <w:rPr>
          <w:rFonts w:ascii="Times New Roman" w:hAnsi="Times New Roman" w:cs="Times New Roman"/>
          <w:bCs/>
        </w:rPr>
        <w:t xml:space="preserve">Both </w:t>
      </w:r>
      <w:r w:rsidR="003F3D73">
        <w:rPr>
          <w:rFonts w:ascii="Times New Roman" w:hAnsi="Times New Roman" w:cs="Times New Roman"/>
          <w:bCs/>
        </w:rPr>
        <w:t>regulations</w:t>
      </w:r>
      <w:r w:rsidR="00F83B32">
        <w:rPr>
          <w:rFonts w:ascii="Times New Roman" w:hAnsi="Times New Roman" w:cs="Times New Roman"/>
          <w:bCs/>
        </w:rPr>
        <w:t xml:space="preserve"> and guidance supporting these</w:t>
      </w:r>
      <w:r w:rsidR="003F3D73">
        <w:rPr>
          <w:rFonts w:ascii="Times New Roman" w:hAnsi="Times New Roman" w:cs="Times New Roman"/>
          <w:bCs/>
        </w:rPr>
        <w:t xml:space="preserve"> are considered to be more than s</w:t>
      </w:r>
      <w:r w:rsidR="008808C7">
        <w:rPr>
          <w:rFonts w:ascii="Times New Roman" w:hAnsi="Times New Roman" w:cs="Times New Roman"/>
          <w:bCs/>
        </w:rPr>
        <w:t>ufficient in</w:t>
      </w:r>
      <w:r w:rsidR="003F3D73">
        <w:rPr>
          <w:rFonts w:ascii="Times New Roman" w:hAnsi="Times New Roman" w:cs="Times New Roman"/>
          <w:bCs/>
        </w:rPr>
        <w:t xml:space="preserve"> directing </w:t>
      </w:r>
      <w:r w:rsidR="008808C7">
        <w:rPr>
          <w:rFonts w:ascii="Times New Roman" w:hAnsi="Times New Roman" w:cs="Times New Roman"/>
          <w:bCs/>
        </w:rPr>
        <w:t>how</w:t>
      </w:r>
      <w:r w:rsidR="003F3D73">
        <w:rPr>
          <w:rFonts w:ascii="Times New Roman" w:hAnsi="Times New Roman" w:cs="Times New Roman"/>
          <w:bCs/>
        </w:rPr>
        <w:t xml:space="preserve"> development should </w:t>
      </w:r>
      <w:r w:rsidR="00255F84">
        <w:rPr>
          <w:rFonts w:ascii="Times New Roman" w:hAnsi="Times New Roman" w:cs="Times New Roman"/>
          <w:bCs/>
        </w:rPr>
        <w:t xml:space="preserve">deliver net gains and the information required to show compliance. </w:t>
      </w:r>
      <w:r w:rsidR="00560CE4">
        <w:rPr>
          <w:rFonts w:ascii="Times New Roman" w:hAnsi="Times New Roman" w:cs="Times New Roman"/>
          <w:bCs/>
        </w:rPr>
        <w:t xml:space="preserve">In particular it is unnecessary to set out </w:t>
      </w:r>
      <w:r w:rsidR="00A453E9">
        <w:rPr>
          <w:rFonts w:ascii="Times New Roman" w:hAnsi="Times New Roman" w:cs="Times New Roman"/>
          <w:bCs/>
        </w:rPr>
        <w:t xml:space="preserve">where off site provision should be made given that development must follow the </w:t>
      </w:r>
      <w:r w:rsidR="00805530">
        <w:rPr>
          <w:rFonts w:ascii="Times New Roman" w:hAnsi="Times New Roman" w:cs="Times New Roman"/>
          <w:bCs/>
        </w:rPr>
        <w:t>biodiversity</w:t>
      </w:r>
      <w:r w:rsidR="00A453E9">
        <w:rPr>
          <w:rFonts w:ascii="Times New Roman" w:hAnsi="Times New Roman" w:cs="Times New Roman"/>
          <w:bCs/>
        </w:rPr>
        <w:t xml:space="preserve"> gain hierarchy which sets out that net gains should be </w:t>
      </w:r>
      <w:r w:rsidR="00805530">
        <w:rPr>
          <w:rFonts w:ascii="Times New Roman" w:hAnsi="Times New Roman" w:cs="Times New Roman"/>
          <w:bCs/>
        </w:rPr>
        <w:t>where possible delivered on site</w:t>
      </w:r>
      <w:r w:rsidR="00380115">
        <w:rPr>
          <w:rFonts w:ascii="Times New Roman" w:hAnsi="Times New Roman" w:cs="Times New Roman"/>
          <w:bCs/>
        </w:rPr>
        <w:t xml:space="preserve"> before being delivered off site. The biodiversity metric then applies a spatial </w:t>
      </w:r>
      <w:r w:rsidR="000B724E">
        <w:rPr>
          <w:rFonts w:ascii="Times New Roman" w:hAnsi="Times New Roman" w:cs="Times New Roman"/>
          <w:bCs/>
        </w:rPr>
        <w:t xml:space="preserve">risk </w:t>
      </w:r>
      <w:r w:rsidR="00997F6E">
        <w:rPr>
          <w:rFonts w:ascii="Times New Roman" w:hAnsi="Times New Roman" w:cs="Times New Roman"/>
          <w:bCs/>
        </w:rPr>
        <w:t>multiplier</w:t>
      </w:r>
      <w:r w:rsidR="000B724E">
        <w:rPr>
          <w:rFonts w:ascii="Times New Roman" w:hAnsi="Times New Roman" w:cs="Times New Roman"/>
          <w:bCs/>
        </w:rPr>
        <w:t xml:space="preserve"> </w:t>
      </w:r>
      <w:r w:rsidR="00997F6E">
        <w:rPr>
          <w:rFonts w:ascii="Times New Roman" w:hAnsi="Times New Roman" w:cs="Times New Roman"/>
          <w:bCs/>
        </w:rPr>
        <w:t xml:space="preserve">that imposes </w:t>
      </w:r>
      <w:r w:rsidR="000B724E">
        <w:rPr>
          <w:rFonts w:ascii="Times New Roman" w:hAnsi="Times New Roman" w:cs="Times New Roman"/>
          <w:bCs/>
        </w:rPr>
        <w:t xml:space="preserve">unit </w:t>
      </w:r>
      <w:r w:rsidR="00997F6E">
        <w:rPr>
          <w:rFonts w:ascii="Times New Roman" w:hAnsi="Times New Roman" w:cs="Times New Roman"/>
          <w:bCs/>
        </w:rPr>
        <w:t>penalties</w:t>
      </w:r>
      <w:r w:rsidR="000B724E">
        <w:rPr>
          <w:rFonts w:ascii="Times New Roman" w:hAnsi="Times New Roman" w:cs="Times New Roman"/>
          <w:bCs/>
        </w:rPr>
        <w:t xml:space="preserve"> the </w:t>
      </w:r>
      <w:r w:rsidR="00E8020E">
        <w:rPr>
          <w:rFonts w:ascii="Times New Roman" w:hAnsi="Times New Roman" w:cs="Times New Roman"/>
          <w:bCs/>
        </w:rPr>
        <w:t>farther</w:t>
      </w:r>
      <w:r w:rsidR="000B724E">
        <w:rPr>
          <w:rFonts w:ascii="Times New Roman" w:hAnsi="Times New Roman" w:cs="Times New Roman"/>
          <w:bCs/>
        </w:rPr>
        <w:t xml:space="preserve"> units are delivered from </w:t>
      </w:r>
      <w:r w:rsidR="00997F6E">
        <w:rPr>
          <w:rFonts w:ascii="Times New Roman" w:hAnsi="Times New Roman" w:cs="Times New Roman"/>
          <w:bCs/>
        </w:rPr>
        <w:t xml:space="preserve">the </w:t>
      </w:r>
      <w:r w:rsidR="00E8020E">
        <w:rPr>
          <w:rFonts w:ascii="Times New Roman" w:hAnsi="Times New Roman" w:cs="Times New Roman"/>
          <w:bCs/>
        </w:rPr>
        <w:t>original</w:t>
      </w:r>
      <w:r w:rsidR="00997F6E">
        <w:rPr>
          <w:rFonts w:ascii="Times New Roman" w:hAnsi="Times New Roman" w:cs="Times New Roman"/>
          <w:bCs/>
        </w:rPr>
        <w:t xml:space="preserve"> development site. </w:t>
      </w:r>
      <w:r w:rsidR="00E8020E">
        <w:rPr>
          <w:rFonts w:ascii="Times New Roman" w:hAnsi="Times New Roman" w:cs="Times New Roman"/>
          <w:bCs/>
        </w:rPr>
        <w:t xml:space="preserve">As such there is no need to </w:t>
      </w:r>
      <w:r w:rsidR="00A10EAC">
        <w:rPr>
          <w:rFonts w:ascii="Times New Roman" w:hAnsi="Times New Roman" w:cs="Times New Roman"/>
          <w:bCs/>
        </w:rPr>
        <w:t>set out in policy a sequential test with regard to where offsite units can be delivered</w:t>
      </w:r>
      <w:r w:rsidR="00CB7321">
        <w:rPr>
          <w:rFonts w:ascii="Times New Roman" w:hAnsi="Times New Roman" w:cs="Times New Roman"/>
          <w:bCs/>
        </w:rPr>
        <w:t xml:space="preserve"> or </w:t>
      </w:r>
      <w:r w:rsidR="00A53915">
        <w:rPr>
          <w:rFonts w:ascii="Times New Roman" w:hAnsi="Times New Roman" w:cs="Times New Roman"/>
          <w:bCs/>
        </w:rPr>
        <w:t>restrict</w:t>
      </w:r>
      <w:r w:rsidR="00CB7321">
        <w:rPr>
          <w:rFonts w:ascii="Times New Roman" w:hAnsi="Times New Roman" w:cs="Times New Roman"/>
          <w:bCs/>
        </w:rPr>
        <w:t xml:space="preserve"> the</w:t>
      </w:r>
      <w:r w:rsidR="00A53915">
        <w:rPr>
          <w:rFonts w:ascii="Times New Roman" w:hAnsi="Times New Roman" w:cs="Times New Roman"/>
          <w:bCs/>
        </w:rPr>
        <w:t xml:space="preserve"> delivery of offsite units</w:t>
      </w:r>
      <w:r w:rsidR="00CB7321">
        <w:rPr>
          <w:rFonts w:ascii="Times New Roman" w:hAnsi="Times New Roman" w:cs="Times New Roman"/>
          <w:bCs/>
        </w:rPr>
        <w:t xml:space="preserve"> </w:t>
      </w:r>
      <w:r w:rsidR="00A53915">
        <w:rPr>
          <w:rFonts w:ascii="Times New Roman" w:hAnsi="Times New Roman" w:cs="Times New Roman"/>
          <w:bCs/>
        </w:rPr>
        <w:t xml:space="preserve">to the same national character area if delivered outside of the borough. </w:t>
      </w:r>
      <w:r w:rsidR="00B02AD3">
        <w:rPr>
          <w:rFonts w:ascii="Times New Roman" w:hAnsi="Times New Roman" w:cs="Times New Roman"/>
          <w:bCs/>
        </w:rPr>
        <w:t xml:space="preserve">HBF would therefore suggest the paragraphs relating to BNG are deleted from BW2 as they are not only unnecessary but are inconsistent with the regulations and guidance.  </w:t>
      </w:r>
    </w:p>
    <w:p w14:paraId="49A026F6" w14:textId="38625655" w:rsidR="00CC4202" w:rsidRPr="009B6A75" w:rsidRDefault="006B3506" w:rsidP="0074524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also </w:t>
      </w:r>
      <w:r w:rsidR="00861CBA">
        <w:rPr>
          <w:rFonts w:ascii="Times New Roman" w:hAnsi="Times New Roman" w:cs="Times New Roman"/>
          <w:bCs/>
        </w:rPr>
        <w:t>has</w:t>
      </w:r>
      <w:r>
        <w:rPr>
          <w:rFonts w:ascii="Times New Roman" w:hAnsi="Times New Roman" w:cs="Times New Roman"/>
          <w:bCs/>
        </w:rPr>
        <w:t xml:space="preserve"> concerns </w:t>
      </w:r>
      <w:r w:rsidR="00861CBA">
        <w:rPr>
          <w:rFonts w:ascii="Times New Roman" w:hAnsi="Times New Roman" w:cs="Times New Roman"/>
          <w:bCs/>
        </w:rPr>
        <w:t>with the basis for the</w:t>
      </w:r>
      <w:r>
        <w:rPr>
          <w:rFonts w:ascii="Times New Roman" w:hAnsi="Times New Roman" w:cs="Times New Roman"/>
          <w:bCs/>
        </w:rPr>
        <w:t xml:space="preserve"> costs used </w:t>
      </w:r>
      <w:r w:rsidR="00861CBA">
        <w:rPr>
          <w:rFonts w:ascii="Times New Roman" w:hAnsi="Times New Roman" w:cs="Times New Roman"/>
          <w:bCs/>
        </w:rPr>
        <w:t xml:space="preserve">in relation to BNG </w:t>
      </w:r>
      <w:r>
        <w:rPr>
          <w:rFonts w:ascii="Times New Roman" w:hAnsi="Times New Roman" w:cs="Times New Roman"/>
          <w:bCs/>
        </w:rPr>
        <w:t xml:space="preserve">within the </w:t>
      </w:r>
      <w:r w:rsidR="00861CBA">
        <w:rPr>
          <w:rFonts w:ascii="Times New Roman" w:hAnsi="Times New Roman" w:cs="Times New Roman"/>
          <w:bCs/>
        </w:rPr>
        <w:t xml:space="preserve">Preliminary Viability Report. The study states </w:t>
      </w:r>
      <w:r w:rsidR="003F02CA">
        <w:rPr>
          <w:rFonts w:ascii="Times New Roman" w:hAnsi="Times New Roman" w:cs="Times New Roman"/>
          <w:bCs/>
        </w:rPr>
        <w:t>in paragraph 2.2</w:t>
      </w:r>
      <w:r w:rsidR="006E30C3">
        <w:rPr>
          <w:rFonts w:ascii="Times New Roman" w:hAnsi="Times New Roman" w:cs="Times New Roman"/>
          <w:bCs/>
        </w:rPr>
        <w:t>6 are base don the costs within the DEFRA/ Natural England BNG Impact Assessment</w:t>
      </w:r>
      <w:r w:rsidR="00D02DB0">
        <w:rPr>
          <w:rFonts w:ascii="Times New Roman" w:hAnsi="Times New Roman" w:cs="Times New Roman"/>
          <w:bCs/>
        </w:rPr>
        <w:t xml:space="preserve"> from 2019. While it is noted that th</w:t>
      </w:r>
      <w:r w:rsidR="00F73A8B">
        <w:rPr>
          <w:rFonts w:ascii="Times New Roman" w:hAnsi="Times New Roman" w:cs="Times New Roman"/>
          <w:bCs/>
        </w:rPr>
        <w:t xml:space="preserve">e costs are based on the worst case scenario of 100% </w:t>
      </w:r>
      <w:r w:rsidR="008D67CD">
        <w:rPr>
          <w:rFonts w:ascii="Times New Roman" w:hAnsi="Times New Roman" w:cs="Times New Roman"/>
          <w:bCs/>
        </w:rPr>
        <w:t xml:space="preserve">use of offsite credits it should be noted that the costs of credits </w:t>
      </w:r>
      <w:r w:rsidR="00E73EAC">
        <w:rPr>
          <w:rFonts w:ascii="Times New Roman" w:hAnsi="Times New Roman" w:cs="Times New Roman"/>
          <w:bCs/>
        </w:rPr>
        <w:t>within the</w:t>
      </w:r>
      <w:r w:rsidR="008D67CD">
        <w:rPr>
          <w:rFonts w:ascii="Times New Roman" w:hAnsi="Times New Roman" w:cs="Times New Roman"/>
          <w:bCs/>
        </w:rPr>
        <w:t xml:space="preserve"> </w:t>
      </w:r>
      <w:r w:rsidR="00A22CF6">
        <w:rPr>
          <w:rFonts w:ascii="Times New Roman" w:hAnsi="Times New Roman" w:cs="Times New Roman"/>
          <w:bCs/>
        </w:rPr>
        <w:t>Impact Assessment</w:t>
      </w:r>
      <w:r w:rsidR="008D67CD">
        <w:rPr>
          <w:rFonts w:ascii="Times New Roman" w:hAnsi="Times New Roman" w:cs="Times New Roman"/>
          <w:bCs/>
        </w:rPr>
        <w:t xml:space="preserve"> </w:t>
      </w:r>
      <w:r w:rsidR="00A22CF6">
        <w:rPr>
          <w:rFonts w:ascii="Times New Roman" w:hAnsi="Times New Roman" w:cs="Times New Roman"/>
          <w:bCs/>
        </w:rPr>
        <w:t>are</w:t>
      </w:r>
      <w:r w:rsidR="008D67CD">
        <w:rPr>
          <w:rFonts w:ascii="Times New Roman" w:hAnsi="Times New Roman" w:cs="Times New Roman"/>
          <w:bCs/>
        </w:rPr>
        <w:t xml:space="preserve"> £11,000</w:t>
      </w:r>
      <w:r w:rsidR="00A22CF6">
        <w:rPr>
          <w:rFonts w:ascii="Times New Roman" w:hAnsi="Times New Roman" w:cs="Times New Roman"/>
          <w:bCs/>
        </w:rPr>
        <w:t xml:space="preserve"> per biodiversity unit</w:t>
      </w:r>
      <w:r w:rsidR="008D67CD">
        <w:rPr>
          <w:rFonts w:ascii="Times New Roman" w:hAnsi="Times New Roman" w:cs="Times New Roman"/>
          <w:bCs/>
        </w:rPr>
        <w:t>. T</w:t>
      </w:r>
      <w:r w:rsidR="006216E1">
        <w:rPr>
          <w:rFonts w:ascii="Times New Roman" w:hAnsi="Times New Roman" w:cs="Times New Roman"/>
          <w:bCs/>
        </w:rPr>
        <w:t>h</w:t>
      </w:r>
      <w:r w:rsidR="008D67CD">
        <w:rPr>
          <w:rFonts w:ascii="Times New Roman" w:hAnsi="Times New Roman" w:cs="Times New Roman"/>
          <w:bCs/>
        </w:rPr>
        <w:t xml:space="preserve">is </w:t>
      </w:r>
      <w:r w:rsidR="00E73EAC">
        <w:rPr>
          <w:rFonts w:ascii="Times New Roman" w:hAnsi="Times New Roman" w:cs="Times New Roman"/>
          <w:bCs/>
        </w:rPr>
        <w:t>compares</w:t>
      </w:r>
      <w:r w:rsidR="008D67CD">
        <w:rPr>
          <w:rFonts w:ascii="Times New Roman" w:hAnsi="Times New Roman" w:cs="Times New Roman"/>
          <w:bCs/>
        </w:rPr>
        <w:t xml:space="preserve"> to the costs of credits </w:t>
      </w:r>
      <w:r w:rsidR="006216E1">
        <w:rPr>
          <w:rFonts w:ascii="Times New Roman" w:hAnsi="Times New Roman" w:cs="Times New Roman"/>
          <w:bCs/>
        </w:rPr>
        <w:t xml:space="preserve">in the south being between </w:t>
      </w:r>
      <w:r w:rsidR="006A144E">
        <w:rPr>
          <w:rFonts w:ascii="Times New Roman" w:hAnsi="Times New Roman" w:cs="Times New Roman"/>
          <w:bCs/>
        </w:rPr>
        <w:t>£</w:t>
      </w:r>
      <w:r w:rsidR="009430E1">
        <w:rPr>
          <w:rFonts w:ascii="Times New Roman" w:hAnsi="Times New Roman" w:cs="Times New Roman"/>
          <w:bCs/>
        </w:rPr>
        <w:t>25,000 medium d</w:t>
      </w:r>
      <w:r w:rsidR="006A144E">
        <w:rPr>
          <w:rFonts w:ascii="Times New Roman" w:hAnsi="Times New Roman" w:cs="Times New Roman"/>
          <w:bCs/>
        </w:rPr>
        <w:t>istinctiveness</w:t>
      </w:r>
      <w:r w:rsidR="009430E1">
        <w:rPr>
          <w:rFonts w:ascii="Times New Roman" w:hAnsi="Times New Roman" w:cs="Times New Roman"/>
          <w:bCs/>
        </w:rPr>
        <w:t xml:space="preserve"> neutral grass land </w:t>
      </w:r>
      <w:r w:rsidR="006A144E">
        <w:rPr>
          <w:rFonts w:ascii="Times New Roman" w:hAnsi="Times New Roman" w:cs="Times New Roman"/>
          <w:bCs/>
        </w:rPr>
        <w:t xml:space="preserve">and </w:t>
      </w:r>
      <w:r w:rsidR="009430E1">
        <w:rPr>
          <w:rFonts w:ascii="Times New Roman" w:hAnsi="Times New Roman" w:cs="Times New Roman"/>
          <w:bCs/>
        </w:rPr>
        <w:t xml:space="preserve">up to </w:t>
      </w:r>
      <w:r w:rsidR="006A144E">
        <w:rPr>
          <w:rFonts w:ascii="Times New Roman" w:hAnsi="Times New Roman" w:cs="Times New Roman"/>
          <w:bCs/>
        </w:rPr>
        <w:t>£150,000 high distinctiveness water course</w:t>
      </w:r>
      <w:r w:rsidR="00B44499">
        <w:rPr>
          <w:rFonts w:ascii="Times New Roman" w:hAnsi="Times New Roman" w:cs="Times New Roman"/>
          <w:bCs/>
        </w:rPr>
        <w:t>s</w:t>
      </w:r>
      <w:r w:rsidR="006A144E">
        <w:rPr>
          <w:rStyle w:val="FootnoteReference"/>
          <w:rFonts w:ascii="Times New Roman" w:hAnsi="Times New Roman" w:cs="Times New Roman"/>
          <w:bCs/>
        </w:rPr>
        <w:footnoteReference w:id="1"/>
      </w:r>
      <w:r w:rsidR="006A144E">
        <w:rPr>
          <w:rFonts w:ascii="Times New Roman" w:hAnsi="Times New Roman" w:cs="Times New Roman"/>
          <w:bCs/>
        </w:rPr>
        <w:t xml:space="preserve">. </w:t>
      </w:r>
      <w:r w:rsidR="00A22CF6">
        <w:rPr>
          <w:rFonts w:ascii="Times New Roman" w:hAnsi="Times New Roman" w:cs="Times New Roman"/>
          <w:bCs/>
        </w:rPr>
        <w:t xml:space="preserve">This is a </w:t>
      </w:r>
      <w:r w:rsidR="000649EB">
        <w:rPr>
          <w:rFonts w:ascii="Times New Roman" w:hAnsi="Times New Roman" w:cs="Times New Roman"/>
          <w:bCs/>
        </w:rPr>
        <w:t>significant</w:t>
      </w:r>
      <w:r w:rsidR="00A22CF6">
        <w:rPr>
          <w:rFonts w:ascii="Times New Roman" w:hAnsi="Times New Roman" w:cs="Times New Roman"/>
          <w:bCs/>
        </w:rPr>
        <w:t xml:space="preserve"> difference that </w:t>
      </w:r>
      <w:r w:rsidR="00A22CF6">
        <w:rPr>
          <w:rFonts w:ascii="Times New Roman" w:hAnsi="Times New Roman" w:cs="Times New Roman"/>
          <w:bCs/>
        </w:rPr>
        <w:lastRenderedPageBreak/>
        <w:t xml:space="preserve">must be accounted for. It is also important to </w:t>
      </w:r>
      <w:r w:rsidR="000649EB">
        <w:rPr>
          <w:rFonts w:ascii="Times New Roman" w:hAnsi="Times New Roman" w:cs="Times New Roman"/>
          <w:bCs/>
        </w:rPr>
        <w:t>recognise</w:t>
      </w:r>
      <w:r w:rsidR="00A22CF6">
        <w:rPr>
          <w:rFonts w:ascii="Times New Roman" w:hAnsi="Times New Roman" w:cs="Times New Roman"/>
          <w:bCs/>
        </w:rPr>
        <w:t xml:space="preserve"> that the cost of meeting BNG is </w:t>
      </w:r>
      <w:r w:rsidR="00E9200B">
        <w:rPr>
          <w:rFonts w:ascii="Times New Roman" w:hAnsi="Times New Roman" w:cs="Times New Roman"/>
          <w:bCs/>
        </w:rPr>
        <w:t xml:space="preserve">dependent on the existing habits on site. Some sites will be able to meet the 10% </w:t>
      </w:r>
      <w:r w:rsidR="000649EB">
        <w:rPr>
          <w:rFonts w:ascii="Times New Roman" w:hAnsi="Times New Roman" w:cs="Times New Roman"/>
          <w:bCs/>
        </w:rPr>
        <w:t>requirement</w:t>
      </w:r>
      <w:r w:rsidR="00E9200B">
        <w:rPr>
          <w:rFonts w:ascii="Times New Roman" w:hAnsi="Times New Roman" w:cs="Times New Roman"/>
          <w:bCs/>
        </w:rPr>
        <w:t xml:space="preserve"> </w:t>
      </w:r>
      <w:r w:rsidR="000649EB">
        <w:rPr>
          <w:rFonts w:ascii="Times New Roman" w:hAnsi="Times New Roman" w:cs="Times New Roman"/>
          <w:bCs/>
        </w:rPr>
        <w:t>easily where as other may struggle. As such HBF recommend that some site specific consideration is given with the viability assessment as to the existing habitats and how that might impact on the cost of delivering the statutory 10% net gain in biodiversity.</w:t>
      </w:r>
    </w:p>
    <w:p w14:paraId="3F701DC2" w14:textId="2124E78D" w:rsidR="00B65951" w:rsidRPr="00F40C77" w:rsidRDefault="00D41A0B" w:rsidP="00D41A0B">
      <w:pPr>
        <w:widowControl/>
        <w:suppressAutoHyphens w:val="0"/>
        <w:autoSpaceDE/>
        <w:spacing w:after="240" w:line="360" w:lineRule="auto"/>
        <w:jc w:val="both"/>
        <w:rPr>
          <w:rFonts w:ascii="Times New Roman" w:hAnsi="Times New Roman" w:cs="Times New Roman"/>
          <w:b/>
        </w:rPr>
      </w:pPr>
      <w:r w:rsidRPr="00F40C77">
        <w:rPr>
          <w:rFonts w:ascii="Times New Roman" w:hAnsi="Times New Roman" w:cs="Times New Roman"/>
          <w:b/>
        </w:rPr>
        <w:t xml:space="preserve">Policy UD1 </w:t>
      </w:r>
      <w:r w:rsidR="00086A8A" w:rsidRPr="00F40C77">
        <w:rPr>
          <w:rFonts w:ascii="Times New Roman" w:hAnsi="Times New Roman" w:cs="Times New Roman"/>
          <w:b/>
        </w:rPr>
        <w:t>–</w:t>
      </w:r>
      <w:r w:rsidRPr="00F40C77">
        <w:rPr>
          <w:rFonts w:ascii="Times New Roman" w:hAnsi="Times New Roman" w:cs="Times New Roman"/>
          <w:b/>
        </w:rPr>
        <w:t xml:space="preserve"> </w:t>
      </w:r>
      <w:r w:rsidR="00086A8A" w:rsidRPr="00F40C77">
        <w:rPr>
          <w:rFonts w:ascii="Times New Roman" w:hAnsi="Times New Roman" w:cs="Times New Roman"/>
          <w:b/>
        </w:rPr>
        <w:t>Utilities and digital infrastructure.</w:t>
      </w:r>
    </w:p>
    <w:p w14:paraId="1AAFF938" w14:textId="1B7A44AA" w:rsidR="00086A8A" w:rsidRDefault="00BA06C8" w:rsidP="00CE187E">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Part</w:t>
      </w:r>
      <w:r w:rsidR="00086A8A">
        <w:rPr>
          <w:rFonts w:ascii="Times New Roman" w:hAnsi="Times New Roman" w:cs="Times New Roman"/>
          <w:bCs/>
        </w:rPr>
        <w:t xml:space="preserve"> 1 of this </w:t>
      </w:r>
      <w:r>
        <w:rPr>
          <w:rFonts w:ascii="Times New Roman" w:hAnsi="Times New Roman" w:cs="Times New Roman"/>
          <w:bCs/>
        </w:rPr>
        <w:t>policy</w:t>
      </w:r>
      <w:r w:rsidR="00086A8A">
        <w:rPr>
          <w:rFonts w:ascii="Times New Roman" w:hAnsi="Times New Roman" w:cs="Times New Roman"/>
          <w:bCs/>
        </w:rPr>
        <w:t xml:space="preserve"> which </w:t>
      </w:r>
      <w:r>
        <w:rPr>
          <w:rFonts w:ascii="Times New Roman" w:hAnsi="Times New Roman" w:cs="Times New Roman"/>
          <w:bCs/>
        </w:rPr>
        <w:t>all development proposal that there will be sufficient capacity within utilities infrastructure</w:t>
      </w:r>
      <w:r w:rsidR="00ED7338">
        <w:rPr>
          <w:rFonts w:ascii="Times New Roman" w:hAnsi="Times New Roman" w:cs="Times New Roman"/>
          <w:bCs/>
        </w:rPr>
        <w:t xml:space="preserve"> to meet the needs of the development. HBF do not consider it to be necessary for all proposals to </w:t>
      </w:r>
      <w:r w:rsidR="00283A9E">
        <w:rPr>
          <w:rFonts w:ascii="Times New Roman" w:hAnsi="Times New Roman" w:cs="Times New Roman"/>
          <w:bCs/>
        </w:rPr>
        <w:t xml:space="preserve">undertake such an assessment which should be </w:t>
      </w:r>
      <w:r w:rsidR="00947FD6">
        <w:rPr>
          <w:rFonts w:ascii="Times New Roman" w:hAnsi="Times New Roman" w:cs="Times New Roman"/>
          <w:bCs/>
        </w:rPr>
        <w:t xml:space="preserve">undertaken by the </w:t>
      </w:r>
      <w:r w:rsidR="00F40C77">
        <w:rPr>
          <w:rFonts w:ascii="Times New Roman" w:hAnsi="Times New Roman" w:cs="Times New Roman"/>
          <w:bCs/>
        </w:rPr>
        <w:t>Council</w:t>
      </w:r>
      <w:r w:rsidR="00947FD6">
        <w:rPr>
          <w:rFonts w:ascii="Times New Roman" w:hAnsi="Times New Roman" w:cs="Times New Roman"/>
          <w:bCs/>
        </w:rPr>
        <w:t xml:space="preserve"> as </w:t>
      </w:r>
      <w:r w:rsidR="00F40C77">
        <w:rPr>
          <w:rFonts w:ascii="Times New Roman" w:hAnsi="Times New Roman" w:cs="Times New Roman"/>
          <w:bCs/>
        </w:rPr>
        <w:t>part</w:t>
      </w:r>
      <w:r w:rsidR="00947FD6">
        <w:rPr>
          <w:rFonts w:ascii="Times New Roman" w:hAnsi="Times New Roman" w:cs="Times New Roman"/>
          <w:bCs/>
        </w:rPr>
        <w:t xml:space="preserve"> of its work </w:t>
      </w:r>
      <w:r w:rsidR="00F40C77">
        <w:rPr>
          <w:rFonts w:ascii="Times New Roman" w:hAnsi="Times New Roman" w:cs="Times New Roman"/>
          <w:bCs/>
        </w:rPr>
        <w:t>preparing this</w:t>
      </w:r>
      <w:r w:rsidR="00947FD6">
        <w:rPr>
          <w:rFonts w:ascii="Times New Roman" w:hAnsi="Times New Roman" w:cs="Times New Roman"/>
          <w:bCs/>
        </w:rPr>
        <w:t xml:space="preserve"> local plan. There may be a need </w:t>
      </w:r>
      <w:r w:rsidR="0042287C">
        <w:rPr>
          <w:rFonts w:ascii="Times New Roman" w:hAnsi="Times New Roman" w:cs="Times New Roman"/>
          <w:bCs/>
        </w:rPr>
        <w:t xml:space="preserve">for the developer to liaise with utility providers </w:t>
      </w:r>
      <w:r w:rsidR="00526BF6">
        <w:rPr>
          <w:rFonts w:ascii="Times New Roman" w:hAnsi="Times New Roman" w:cs="Times New Roman"/>
          <w:bCs/>
        </w:rPr>
        <w:t xml:space="preserve">with regard to local </w:t>
      </w:r>
      <w:r w:rsidR="00891D11">
        <w:rPr>
          <w:rFonts w:ascii="Times New Roman" w:hAnsi="Times New Roman" w:cs="Times New Roman"/>
          <w:bCs/>
        </w:rPr>
        <w:t>connections, but this should not extend to overall capacity. D</w:t>
      </w:r>
      <w:r w:rsidR="00526BF6">
        <w:rPr>
          <w:rFonts w:ascii="Times New Roman" w:hAnsi="Times New Roman" w:cs="Times New Roman"/>
          <w:bCs/>
        </w:rPr>
        <w:t xml:space="preserve">ecision maker should be able </w:t>
      </w:r>
      <w:r w:rsidR="00F3121A">
        <w:rPr>
          <w:rFonts w:ascii="Times New Roman" w:hAnsi="Times New Roman" w:cs="Times New Roman"/>
          <w:bCs/>
        </w:rPr>
        <w:t>to</w:t>
      </w:r>
      <w:r w:rsidR="00526BF6">
        <w:rPr>
          <w:rFonts w:ascii="Times New Roman" w:hAnsi="Times New Roman" w:cs="Times New Roman"/>
          <w:bCs/>
        </w:rPr>
        <w:t xml:space="preserve"> assume that the level </w:t>
      </w:r>
      <w:r w:rsidR="00F40C77">
        <w:rPr>
          <w:rFonts w:ascii="Times New Roman" w:hAnsi="Times New Roman" w:cs="Times New Roman"/>
          <w:bCs/>
        </w:rPr>
        <w:t>of</w:t>
      </w:r>
      <w:r w:rsidR="00526BF6">
        <w:rPr>
          <w:rFonts w:ascii="Times New Roman" w:hAnsi="Times New Roman" w:cs="Times New Roman"/>
          <w:bCs/>
        </w:rPr>
        <w:t xml:space="preserve"> development identified through this local plan is supported by </w:t>
      </w:r>
      <w:r w:rsidR="00F40C77">
        <w:rPr>
          <w:rFonts w:ascii="Times New Roman" w:hAnsi="Times New Roman" w:cs="Times New Roman"/>
          <w:bCs/>
        </w:rPr>
        <w:t>sufficient</w:t>
      </w:r>
      <w:r w:rsidR="00526BF6">
        <w:rPr>
          <w:rFonts w:ascii="Times New Roman" w:hAnsi="Times New Roman" w:cs="Times New Roman"/>
          <w:bCs/>
        </w:rPr>
        <w:t xml:space="preserve"> </w:t>
      </w:r>
      <w:r w:rsidR="00F40C77">
        <w:rPr>
          <w:rFonts w:ascii="Times New Roman" w:hAnsi="Times New Roman" w:cs="Times New Roman"/>
          <w:bCs/>
        </w:rPr>
        <w:t>infrastructure, either current or planned</w:t>
      </w:r>
      <w:r w:rsidR="00526BF6">
        <w:rPr>
          <w:rFonts w:ascii="Times New Roman" w:hAnsi="Times New Roman" w:cs="Times New Roman"/>
          <w:bCs/>
        </w:rPr>
        <w:t xml:space="preserve">. If this is not the </w:t>
      </w:r>
      <w:r w:rsidR="00F40C77">
        <w:rPr>
          <w:rFonts w:ascii="Times New Roman" w:hAnsi="Times New Roman" w:cs="Times New Roman"/>
          <w:bCs/>
        </w:rPr>
        <w:t>case,</w:t>
      </w:r>
      <w:r w:rsidR="00526BF6">
        <w:rPr>
          <w:rFonts w:ascii="Times New Roman" w:hAnsi="Times New Roman" w:cs="Times New Roman"/>
          <w:bCs/>
        </w:rPr>
        <w:t xml:space="preserve"> then the plan </w:t>
      </w:r>
      <w:r w:rsidR="00F40C77">
        <w:rPr>
          <w:rFonts w:ascii="Times New Roman" w:hAnsi="Times New Roman" w:cs="Times New Roman"/>
          <w:bCs/>
        </w:rPr>
        <w:t>cannot be considered to be deliverable over the plan period.</w:t>
      </w:r>
      <w:r w:rsidR="00F3121A">
        <w:rPr>
          <w:rFonts w:ascii="Times New Roman" w:hAnsi="Times New Roman" w:cs="Times New Roman"/>
          <w:bCs/>
        </w:rPr>
        <w:t xml:space="preserve"> </w:t>
      </w:r>
      <w:r w:rsidR="007B4DD5">
        <w:rPr>
          <w:rFonts w:ascii="Times New Roman" w:hAnsi="Times New Roman" w:cs="Times New Roman"/>
          <w:bCs/>
        </w:rPr>
        <w:t xml:space="preserve">UD1 should be amended to remove the </w:t>
      </w:r>
      <w:r w:rsidR="00EB7D75">
        <w:rPr>
          <w:rFonts w:ascii="Times New Roman" w:hAnsi="Times New Roman" w:cs="Times New Roman"/>
          <w:bCs/>
        </w:rPr>
        <w:t>requirement</w:t>
      </w:r>
      <w:r w:rsidR="007B4DD5">
        <w:rPr>
          <w:rFonts w:ascii="Times New Roman" w:hAnsi="Times New Roman" w:cs="Times New Roman"/>
          <w:bCs/>
        </w:rPr>
        <w:t xml:space="preserve"> for proposal to </w:t>
      </w:r>
      <w:r w:rsidR="00EB7D75">
        <w:rPr>
          <w:rFonts w:ascii="Times New Roman" w:hAnsi="Times New Roman" w:cs="Times New Roman"/>
          <w:bCs/>
        </w:rPr>
        <w:t>demonstrate</w:t>
      </w:r>
      <w:r w:rsidR="007B4DD5">
        <w:rPr>
          <w:rFonts w:ascii="Times New Roman" w:hAnsi="Times New Roman" w:cs="Times New Roman"/>
          <w:bCs/>
        </w:rPr>
        <w:t xml:space="preserve"> </w:t>
      </w:r>
      <w:r w:rsidR="00EB7D75">
        <w:rPr>
          <w:rFonts w:ascii="Times New Roman" w:hAnsi="Times New Roman" w:cs="Times New Roman"/>
          <w:bCs/>
        </w:rPr>
        <w:t>capacity within utilities infrastructure.</w:t>
      </w:r>
    </w:p>
    <w:p w14:paraId="35964F51" w14:textId="6B97E41E" w:rsidR="00EB7D75" w:rsidRPr="00D41A0B" w:rsidRDefault="00EB7D75" w:rsidP="00CE187E">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Part 5 req</w:t>
      </w:r>
      <w:r w:rsidR="002461F0">
        <w:rPr>
          <w:rFonts w:ascii="Times New Roman" w:hAnsi="Times New Roman" w:cs="Times New Roman"/>
          <w:bCs/>
        </w:rPr>
        <w:t>uires all new development to demonstrate how</w:t>
      </w:r>
      <w:r w:rsidR="0053359F">
        <w:rPr>
          <w:rFonts w:ascii="Times New Roman" w:hAnsi="Times New Roman" w:cs="Times New Roman"/>
          <w:bCs/>
        </w:rPr>
        <w:t xml:space="preserve"> </w:t>
      </w:r>
      <w:r w:rsidR="000C1C14">
        <w:rPr>
          <w:rFonts w:ascii="Times New Roman" w:hAnsi="Times New Roman" w:cs="Times New Roman"/>
          <w:bCs/>
        </w:rPr>
        <w:t xml:space="preserve">the contribute to the improvement of digital infrastructure. HBF </w:t>
      </w:r>
      <w:r w:rsidR="00EF3292">
        <w:rPr>
          <w:rFonts w:ascii="Times New Roman" w:hAnsi="Times New Roman" w:cs="Times New Roman"/>
          <w:bCs/>
        </w:rPr>
        <w:t>does</w:t>
      </w:r>
      <w:r w:rsidR="000C1C14">
        <w:rPr>
          <w:rFonts w:ascii="Times New Roman" w:hAnsi="Times New Roman" w:cs="Times New Roman"/>
          <w:bCs/>
        </w:rPr>
        <w:t xml:space="preserve"> </w:t>
      </w:r>
      <w:r w:rsidR="00EF3292">
        <w:rPr>
          <w:rFonts w:ascii="Times New Roman" w:hAnsi="Times New Roman" w:cs="Times New Roman"/>
          <w:bCs/>
        </w:rPr>
        <w:t>not</w:t>
      </w:r>
      <w:r w:rsidR="000C1C14">
        <w:rPr>
          <w:rFonts w:ascii="Times New Roman" w:hAnsi="Times New Roman" w:cs="Times New Roman"/>
          <w:bCs/>
        </w:rPr>
        <w:t xml:space="preserve"> </w:t>
      </w:r>
      <w:r w:rsidR="00EF3292">
        <w:rPr>
          <w:rFonts w:ascii="Times New Roman" w:hAnsi="Times New Roman" w:cs="Times New Roman"/>
          <w:bCs/>
        </w:rPr>
        <w:t>consider</w:t>
      </w:r>
      <w:r w:rsidR="000C1C14">
        <w:rPr>
          <w:rFonts w:ascii="Times New Roman" w:hAnsi="Times New Roman" w:cs="Times New Roman"/>
          <w:bCs/>
        </w:rPr>
        <w:t xml:space="preserve"> </w:t>
      </w:r>
      <w:r w:rsidR="00EF3292">
        <w:rPr>
          <w:rFonts w:ascii="Times New Roman" w:hAnsi="Times New Roman" w:cs="Times New Roman"/>
          <w:bCs/>
        </w:rPr>
        <w:t>to be</w:t>
      </w:r>
      <w:r w:rsidR="000C1C14">
        <w:rPr>
          <w:rFonts w:ascii="Times New Roman" w:hAnsi="Times New Roman" w:cs="Times New Roman"/>
          <w:bCs/>
        </w:rPr>
        <w:t xml:space="preserve"> sound for a number of reasons. </w:t>
      </w:r>
      <w:r w:rsidR="00EF3292">
        <w:rPr>
          <w:rFonts w:ascii="Times New Roman" w:hAnsi="Times New Roman" w:cs="Times New Roman"/>
          <w:bCs/>
        </w:rPr>
        <w:t>Firstly</w:t>
      </w:r>
      <w:r w:rsidR="000C1C14">
        <w:rPr>
          <w:rFonts w:ascii="Times New Roman" w:hAnsi="Times New Roman" w:cs="Times New Roman"/>
          <w:bCs/>
        </w:rPr>
        <w:t xml:space="preserve">, it is not in the gift </w:t>
      </w:r>
      <w:r w:rsidR="00EF3292">
        <w:rPr>
          <w:rFonts w:ascii="Times New Roman" w:hAnsi="Times New Roman" w:cs="Times New Roman"/>
          <w:bCs/>
        </w:rPr>
        <w:t>of</w:t>
      </w:r>
      <w:r w:rsidR="000C1C14">
        <w:rPr>
          <w:rFonts w:ascii="Times New Roman" w:hAnsi="Times New Roman" w:cs="Times New Roman"/>
          <w:bCs/>
        </w:rPr>
        <w:t xml:space="preserve"> the developer to expand digital </w:t>
      </w:r>
      <w:r w:rsidR="00EF3292">
        <w:rPr>
          <w:rFonts w:ascii="Times New Roman" w:hAnsi="Times New Roman" w:cs="Times New Roman"/>
          <w:bCs/>
        </w:rPr>
        <w:t>infrastructure</w:t>
      </w:r>
      <w:r w:rsidR="000C1C14">
        <w:rPr>
          <w:rFonts w:ascii="Times New Roman" w:hAnsi="Times New Roman" w:cs="Times New Roman"/>
          <w:bCs/>
        </w:rPr>
        <w:t xml:space="preserve"> Development must ensure that development can connect to available </w:t>
      </w:r>
      <w:r w:rsidR="00EF3292">
        <w:rPr>
          <w:rFonts w:ascii="Times New Roman" w:hAnsi="Times New Roman" w:cs="Times New Roman"/>
          <w:bCs/>
        </w:rPr>
        <w:t>infrastructure,</w:t>
      </w:r>
      <w:r w:rsidR="000C1C14">
        <w:rPr>
          <w:rFonts w:ascii="Times New Roman" w:hAnsi="Times New Roman" w:cs="Times New Roman"/>
          <w:bCs/>
        </w:rPr>
        <w:t xml:space="preserve"> but it </w:t>
      </w:r>
      <w:r w:rsidR="00EF3292">
        <w:rPr>
          <w:rFonts w:ascii="Times New Roman" w:hAnsi="Times New Roman" w:cs="Times New Roman"/>
          <w:bCs/>
        </w:rPr>
        <w:t>is for</w:t>
      </w:r>
      <w:r w:rsidR="000C1C14">
        <w:rPr>
          <w:rFonts w:ascii="Times New Roman" w:hAnsi="Times New Roman" w:cs="Times New Roman"/>
          <w:bCs/>
        </w:rPr>
        <w:t xml:space="preserve"> the </w:t>
      </w:r>
      <w:r w:rsidR="00EF3292">
        <w:rPr>
          <w:rFonts w:ascii="Times New Roman" w:hAnsi="Times New Roman" w:cs="Times New Roman"/>
          <w:bCs/>
        </w:rPr>
        <w:t xml:space="preserve">digital infrastructure providers to provide the necessary infrastructure to which development can connect. Secondly the </w:t>
      </w:r>
      <w:r w:rsidR="004A7177">
        <w:rPr>
          <w:rFonts w:ascii="Times New Roman" w:hAnsi="Times New Roman" w:cs="Times New Roman"/>
          <w:bCs/>
        </w:rPr>
        <w:t>requirement</w:t>
      </w:r>
      <w:r w:rsidR="00EF3292">
        <w:rPr>
          <w:rFonts w:ascii="Times New Roman" w:hAnsi="Times New Roman" w:cs="Times New Roman"/>
          <w:bCs/>
        </w:rPr>
        <w:t xml:space="preserve"> is for all development regardless of scale to show </w:t>
      </w:r>
      <w:r w:rsidR="004A7177">
        <w:rPr>
          <w:rFonts w:ascii="Times New Roman" w:hAnsi="Times New Roman" w:cs="Times New Roman"/>
          <w:bCs/>
        </w:rPr>
        <w:t xml:space="preserve">demonstrate how they contribute to improvements in digital infrastructure. This </w:t>
      </w:r>
      <w:r w:rsidR="00966F94">
        <w:rPr>
          <w:rFonts w:ascii="Times New Roman" w:hAnsi="Times New Roman" w:cs="Times New Roman"/>
          <w:bCs/>
        </w:rPr>
        <w:t>seems</w:t>
      </w:r>
      <w:r w:rsidR="004A7177">
        <w:rPr>
          <w:rFonts w:ascii="Times New Roman" w:hAnsi="Times New Roman" w:cs="Times New Roman"/>
          <w:bCs/>
        </w:rPr>
        <w:t xml:space="preserve"> overly onerous for small development</w:t>
      </w:r>
      <w:r w:rsidR="00B62ADC">
        <w:rPr>
          <w:rFonts w:ascii="Times New Roman" w:hAnsi="Times New Roman" w:cs="Times New Roman"/>
          <w:bCs/>
        </w:rPr>
        <w:t xml:space="preserve"> who are in even less of a position to impact on digital infrastructure than for larger developments. </w:t>
      </w:r>
      <w:r w:rsidR="00966F94">
        <w:rPr>
          <w:rFonts w:ascii="Times New Roman" w:hAnsi="Times New Roman" w:cs="Times New Roman"/>
          <w:bCs/>
        </w:rPr>
        <w:t xml:space="preserve">As such HBF would recommend that the final three sentences of part 5 are deleted. </w:t>
      </w:r>
    </w:p>
    <w:p w14:paraId="7C03A1E2" w14:textId="1673B995" w:rsidR="00F0430A" w:rsidRDefault="00F0430A" w:rsidP="00F0430A">
      <w:pPr>
        <w:spacing w:after="240" w:line="360" w:lineRule="auto"/>
        <w:rPr>
          <w:rFonts w:ascii="Arial" w:hAnsi="Arial" w:cs="Arial"/>
          <w:b/>
        </w:rPr>
      </w:pPr>
      <w:r>
        <w:rPr>
          <w:rFonts w:ascii="Arial" w:hAnsi="Arial" w:cs="Arial"/>
          <w:b/>
        </w:rPr>
        <w:t>Future Engagement</w:t>
      </w:r>
    </w:p>
    <w:p w14:paraId="32666532"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I trust that the Council will find these comments useful as it continues to progress its Local Plan. I would be happy to discuss these issues in greater detail or assist in facilitating discussions with the wider housebuilding industry.</w:t>
      </w:r>
    </w:p>
    <w:p w14:paraId="1D450004" w14:textId="77777777" w:rsidR="00F0430A" w:rsidRDefault="00F0430A" w:rsidP="0043348C">
      <w:pPr>
        <w:pStyle w:val="ListParagraph"/>
        <w:widowControl/>
        <w:numPr>
          <w:ilvl w:val="0"/>
          <w:numId w:val="2"/>
        </w:numPr>
        <w:tabs>
          <w:tab w:val="left" w:pos="2268"/>
        </w:tabs>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HBF would like to be kept informed of all forthcoming consultations upon the Local Plan and associated documents. Please use the contact details provided below for future correspondence.</w:t>
      </w:r>
    </w:p>
    <w:p w14:paraId="08C53D08" w14:textId="77777777" w:rsidR="0028345D" w:rsidRPr="004612EA" w:rsidRDefault="0028345D" w:rsidP="00C411E9">
      <w:pPr>
        <w:pStyle w:val="ListParagraph"/>
        <w:spacing w:line="360" w:lineRule="auto"/>
        <w:ind w:left="426"/>
        <w:rPr>
          <w:rFonts w:ascii="Times New Roman" w:hAnsi="Times New Roman" w:cs="Times New Roman"/>
          <w:b/>
        </w:rPr>
      </w:pPr>
    </w:p>
    <w:p w14:paraId="11C30352" w14:textId="77777777" w:rsidR="0028345D" w:rsidRPr="004612EA" w:rsidRDefault="0028345D" w:rsidP="00C411E9">
      <w:pPr>
        <w:spacing w:line="360" w:lineRule="auto"/>
        <w:rPr>
          <w:rFonts w:ascii="Times New Roman" w:hAnsi="Times New Roman" w:cs="Times New Roman"/>
          <w:b/>
        </w:rPr>
      </w:pPr>
    </w:p>
    <w:p w14:paraId="01632919" w14:textId="77777777" w:rsidR="0028345D" w:rsidRPr="004612EA" w:rsidRDefault="0028345D" w:rsidP="00C411E9">
      <w:pPr>
        <w:spacing w:line="360" w:lineRule="auto"/>
        <w:jc w:val="both"/>
        <w:rPr>
          <w:rFonts w:ascii="Times New Roman" w:hAnsi="Times New Roman" w:cs="Times New Roman"/>
        </w:rPr>
      </w:pPr>
      <w:r w:rsidRPr="004612EA">
        <w:rPr>
          <w:rFonts w:ascii="Times New Roman" w:hAnsi="Times New Roman" w:cs="Times New Roman"/>
        </w:rPr>
        <w:t>Yours sincerely,</w:t>
      </w:r>
    </w:p>
    <w:p w14:paraId="542C626C" w14:textId="03D677E5" w:rsidR="0028345D" w:rsidRPr="004612EA" w:rsidRDefault="00C411E9" w:rsidP="00C411E9">
      <w:pPr>
        <w:spacing w:line="360" w:lineRule="auto"/>
        <w:jc w:val="both"/>
        <w:rPr>
          <w:rFonts w:ascii="Times New Roman" w:hAnsi="Times New Roman" w:cs="Times New Roman"/>
        </w:rPr>
      </w:pPr>
      <w:r>
        <w:rPr>
          <w:noProof/>
        </w:rPr>
        <w:drawing>
          <wp:inline distT="0" distB="0" distL="0" distR="0" wp14:anchorId="55C24A28" wp14:editId="5B644039">
            <wp:extent cx="1823085" cy="688975"/>
            <wp:effectExtent l="0" t="0" r="5715" b="0"/>
            <wp:docPr id="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signature on a white background&#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3085" cy="688975"/>
                    </a:xfrm>
                    <a:prstGeom prst="rect">
                      <a:avLst/>
                    </a:prstGeom>
                    <a:noFill/>
                  </pic:spPr>
                </pic:pic>
              </a:graphicData>
            </a:graphic>
          </wp:inline>
        </w:drawing>
      </w:r>
    </w:p>
    <w:p w14:paraId="45C8A7DF" w14:textId="60D844CC"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Mark Behrendt</w:t>
      </w:r>
    </w:p>
    <w:p w14:paraId="3DDCE4C3" w14:textId="566E8E4B"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lastRenderedPageBreak/>
        <w:t xml:space="preserve">Regional </w:t>
      </w:r>
      <w:r w:rsidR="0028345D" w:rsidRPr="004612EA">
        <w:rPr>
          <w:rFonts w:ascii="Times New Roman" w:hAnsi="Times New Roman" w:cs="Times New Roman"/>
          <w:b/>
        </w:rPr>
        <w:t xml:space="preserve">Planning Manager – </w:t>
      </w:r>
      <w:r w:rsidRPr="004612EA">
        <w:rPr>
          <w:rFonts w:ascii="Times New Roman" w:hAnsi="Times New Roman" w:cs="Times New Roman"/>
          <w:b/>
        </w:rPr>
        <w:t>SE and E</w:t>
      </w:r>
    </w:p>
    <w:p w14:paraId="5E40E301" w14:textId="42DC2727"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Email: </w:t>
      </w:r>
      <w:r w:rsidR="000D7947" w:rsidRPr="004612EA">
        <w:rPr>
          <w:rFonts w:ascii="Times New Roman" w:hAnsi="Times New Roman" w:cs="Times New Roman"/>
        </w:rPr>
        <w:t>mark.behrendt@hbf.co.uk</w:t>
      </w:r>
    </w:p>
    <w:p w14:paraId="7A519937" w14:textId="3E7913DB"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Phone: </w:t>
      </w:r>
      <w:r w:rsidR="000D7947" w:rsidRPr="004612EA">
        <w:rPr>
          <w:rFonts w:ascii="Times New Roman" w:hAnsi="Times New Roman" w:cs="Times New Roman"/>
        </w:rPr>
        <w:t>07867415547</w:t>
      </w:r>
    </w:p>
    <w:p w14:paraId="0A209BA6" w14:textId="77777777" w:rsidR="00BC62DD" w:rsidRDefault="00BC62DD" w:rsidP="0043348C">
      <w:pPr>
        <w:tabs>
          <w:tab w:val="left" w:pos="426"/>
          <w:tab w:val="left" w:pos="2380"/>
        </w:tabs>
        <w:rPr>
          <w:rFonts w:ascii="Times New Roman" w:hAnsi="Times New Roman" w:cs="Times New Roman"/>
          <w:bCs/>
        </w:rPr>
        <w:sectPr w:rsidR="00BC62DD" w:rsidSect="009A7C8D">
          <w:footerReference w:type="default" r:id="rId12"/>
          <w:headerReference w:type="first" r:id="rId13"/>
          <w:footerReference w:type="first" r:id="rId14"/>
          <w:pgSz w:w="13090" w:h="18020"/>
          <w:pgMar w:top="1440" w:right="1440" w:bottom="1440" w:left="1440" w:header="0" w:footer="393" w:gutter="0"/>
          <w:pgNumType w:start="1"/>
          <w:cols w:space="720"/>
          <w:titlePg/>
          <w:docGrid w:linePitch="299"/>
        </w:sectPr>
      </w:pPr>
    </w:p>
    <w:p w14:paraId="276FDCDA" w14:textId="77777777" w:rsidR="0028345D" w:rsidRPr="0043348C" w:rsidRDefault="0028345D" w:rsidP="0043348C">
      <w:pPr>
        <w:tabs>
          <w:tab w:val="left" w:pos="426"/>
          <w:tab w:val="left" w:pos="2380"/>
        </w:tabs>
        <w:rPr>
          <w:rFonts w:ascii="Times New Roman" w:hAnsi="Times New Roman" w:cs="Times New Roman"/>
          <w:bCs/>
        </w:rPr>
      </w:pPr>
    </w:p>
    <w:p w14:paraId="271F3E21" w14:textId="77777777" w:rsidR="003205C3" w:rsidRPr="0043348C" w:rsidRDefault="003205C3">
      <w:pPr>
        <w:pStyle w:val="BodyText"/>
        <w:rPr>
          <w:rFonts w:ascii="Times New Roman" w:hAnsi="Times New Roman" w:cs="Times New Roman"/>
          <w:bCs/>
          <w:sz w:val="22"/>
          <w:szCs w:val="22"/>
        </w:rPr>
      </w:pPr>
    </w:p>
    <w:p w14:paraId="271F3E22" w14:textId="77777777" w:rsidR="003205C3" w:rsidRPr="0043348C" w:rsidRDefault="003205C3" w:rsidP="00527E57">
      <w:pPr>
        <w:tabs>
          <w:tab w:val="left" w:pos="426"/>
          <w:tab w:val="left" w:pos="2380"/>
        </w:tabs>
        <w:rPr>
          <w:rFonts w:ascii="Times New Roman" w:hAnsi="Times New Roman" w:cs="Times New Roman"/>
          <w:bCs/>
        </w:rPr>
      </w:pPr>
    </w:p>
    <w:p w14:paraId="271F3E58" w14:textId="1BF01850" w:rsidR="003205C3" w:rsidRPr="0043348C" w:rsidRDefault="003205C3" w:rsidP="00527E57">
      <w:pPr>
        <w:tabs>
          <w:tab w:val="left" w:pos="426"/>
          <w:tab w:val="left" w:pos="2380"/>
        </w:tabs>
        <w:rPr>
          <w:rFonts w:ascii="Times New Roman" w:hAnsi="Times New Roman" w:cs="Times New Roman"/>
          <w:bCs/>
        </w:rPr>
      </w:pPr>
    </w:p>
    <w:p w14:paraId="271F3E5D" w14:textId="77777777" w:rsidR="00B93060" w:rsidRPr="0043348C" w:rsidRDefault="00B93060" w:rsidP="00527E57">
      <w:pPr>
        <w:tabs>
          <w:tab w:val="left" w:pos="426"/>
          <w:tab w:val="left" w:pos="2380"/>
        </w:tabs>
        <w:rPr>
          <w:rFonts w:ascii="Times New Roman" w:hAnsi="Times New Roman" w:cs="Times New Roman"/>
          <w:bCs/>
        </w:rPr>
        <w:sectPr w:rsidR="00B93060" w:rsidRPr="0043348C" w:rsidSect="00BC62DD">
          <w:type w:val="continuous"/>
          <w:pgSz w:w="13090" w:h="18020"/>
          <w:pgMar w:top="1440" w:right="1440" w:bottom="1440" w:left="1440" w:header="0" w:footer="393" w:gutter="0"/>
          <w:pgNumType w:start="1"/>
          <w:cols w:space="720"/>
          <w:titlePg/>
          <w:docGrid w:linePitch="299"/>
        </w:sectPr>
      </w:pPr>
    </w:p>
    <w:p w14:paraId="2CCC6B5E" w14:textId="0462D1E8" w:rsidR="00527E57" w:rsidRPr="00527E57" w:rsidRDefault="00527E57" w:rsidP="00527E57">
      <w:pPr>
        <w:rPr>
          <w:rFonts w:ascii="Times New Roman" w:hAnsi="Times New Roman" w:cs="Times New Roman"/>
          <w:bCs/>
        </w:rPr>
      </w:pPr>
    </w:p>
    <w:sectPr w:rsidR="00527E57" w:rsidRPr="00527E57" w:rsidSect="00EE0F3D">
      <w:type w:val="continuous"/>
      <w:pgSz w:w="13090" w:h="18020"/>
      <w:pgMar w:top="1440" w:right="1440" w:bottom="1440" w:left="1440" w:header="0" w:footer="39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AB46F" w14:textId="77777777" w:rsidR="00FE4E9C" w:rsidRDefault="00FE4E9C">
      <w:r>
        <w:separator/>
      </w:r>
    </w:p>
  </w:endnote>
  <w:endnote w:type="continuationSeparator" w:id="0">
    <w:p w14:paraId="54AF2D0A" w14:textId="77777777" w:rsidR="00FE4E9C" w:rsidRDefault="00FE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G Omeg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E2B" w14:textId="333ED030" w:rsidR="00B93060" w:rsidRDefault="00B93060">
    <w:pPr>
      <w:spacing w:before="18"/>
    </w:pPr>
    <w:bookmarkStart w:id="1" w:name="_Hlk193356826"/>
  </w:p>
  <w:tbl>
    <w:tblPr>
      <w:tblW w:w="11326" w:type="dxa"/>
      <w:tblCellMar>
        <w:left w:w="10" w:type="dxa"/>
        <w:right w:w="10" w:type="dxa"/>
      </w:tblCellMar>
      <w:tblLook w:val="0000" w:firstRow="0" w:lastRow="0" w:firstColumn="0" w:lastColumn="0" w:noHBand="0" w:noVBand="0"/>
    </w:tblPr>
    <w:tblGrid>
      <w:gridCol w:w="5663"/>
      <w:gridCol w:w="5663"/>
    </w:tblGrid>
    <w:tr w:rsidR="005C00F7" w14:paraId="271F3E33" w14:textId="77777777">
      <w:trPr>
        <w:trHeight w:val="1016"/>
      </w:trPr>
      <w:tc>
        <w:tcPr>
          <w:tcW w:w="5663" w:type="dxa"/>
          <w:tcMar>
            <w:top w:w="0" w:type="dxa"/>
            <w:left w:w="108" w:type="dxa"/>
            <w:bottom w:w="0" w:type="dxa"/>
            <w:right w:w="108" w:type="dxa"/>
          </w:tcMar>
        </w:tcPr>
        <w:p w14:paraId="454A33AB" w14:textId="3EFE928A" w:rsidR="00B93060" w:rsidRDefault="00B93060">
          <w:pPr>
            <w:spacing w:before="18"/>
          </w:pPr>
        </w:p>
        <w:p w14:paraId="271F3E2E" w14:textId="51E62B4C" w:rsidR="00E539DA" w:rsidRDefault="00E539DA">
          <w:pPr>
            <w:spacing w:before="18"/>
          </w:pPr>
        </w:p>
      </w:tc>
      <w:tc>
        <w:tcPr>
          <w:tcW w:w="5663" w:type="dxa"/>
          <w:tcMar>
            <w:top w:w="0" w:type="dxa"/>
            <w:left w:w="108" w:type="dxa"/>
            <w:bottom w:w="0" w:type="dxa"/>
            <w:right w:w="108" w:type="dxa"/>
          </w:tcMar>
        </w:tcPr>
        <w:p w14:paraId="271F3E32" w14:textId="2C511E27" w:rsidR="00B93060" w:rsidRDefault="00B93060">
          <w:pPr>
            <w:spacing w:before="18"/>
            <w:rPr>
              <w:rFonts w:ascii="Times New Roman" w:hAnsi="Times New Roman" w:cs="Times New Roman"/>
              <w:b/>
              <w:bCs/>
              <w:color w:val="231F20"/>
              <w:spacing w:val="-2"/>
              <w:sz w:val="18"/>
            </w:rPr>
          </w:pPr>
        </w:p>
      </w:tc>
    </w:tr>
    <w:bookmarkEnd w:id="1"/>
  </w:tbl>
  <w:p w14:paraId="271F3E34" w14:textId="77777777" w:rsidR="00B93060" w:rsidRDefault="00B93060">
    <w:pPr>
      <w:spacing w:before="18"/>
      <w:rPr>
        <w:rFonts w:ascii="Times New Roman" w:hAnsi="Times New Roman" w:cs="Times New Roman"/>
        <w:color w:val="231F20"/>
        <w:spacing w:val="-2"/>
        <w:sz w:val="18"/>
      </w:rPr>
    </w:pPr>
  </w:p>
  <w:p w14:paraId="271F3E35" w14:textId="77777777" w:rsidR="00B93060" w:rsidRDefault="00B93060">
    <w:pPr>
      <w:pStyle w:val="BodyText"/>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A26" w14:textId="77777777" w:rsidR="009A7C8D" w:rsidRDefault="009A7C8D" w:rsidP="009A7C8D">
    <w:pPr>
      <w:spacing w:before="18"/>
    </w:pPr>
    <w:r>
      <w:rPr>
        <w:noProof/>
      </w:rPr>
      <mc:AlternateContent>
        <mc:Choice Requires="wps">
          <w:drawing>
            <wp:anchor distT="0" distB="0" distL="114300" distR="114300" simplePos="0" relativeHeight="251658241" behindDoc="0" locked="0" layoutInCell="1" allowOverlap="1" wp14:anchorId="2910AE42" wp14:editId="7FF9E427">
              <wp:simplePos x="0" y="0"/>
              <wp:positionH relativeFrom="margin">
                <wp:align>left</wp:align>
              </wp:positionH>
              <wp:positionV relativeFrom="paragraph">
                <wp:posOffset>110349</wp:posOffset>
              </wp:positionV>
              <wp:extent cx="6858000" cy="15243"/>
              <wp:effectExtent l="0" t="0" r="0" b="0"/>
              <wp:wrapTopAndBottom/>
              <wp:docPr id="629835544" name="Graphic 20"/>
              <wp:cNvGraphicFramePr/>
              <a:graphic xmlns:a="http://schemas.openxmlformats.org/drawingml/2006/main">
                <a:graphicData uri="http://schemas.microsoft.com/office/word/2010/wordprocessingShape">
                  <wps:wsp>
                    <wps:cNvSpPr/>
                    <wps:spPr>
                      <a:xfrm>
                        <a:off x="0" y="0"/>
                        <a:ext cx="6858000" cy="15243"/>
                      </a:xfrm>
                      <a:custGeom>
                        <a:avLst/>
                        <a:gdLst>
                          <a:gd name="f0" fmla="val w"/>
                          <a:gd name="f1" fmla="val h"/>
                          <a:gd name="f2" fmla="val 0"/>
                          <a:gd name="f3" fmla="val 6858000"/>
                          <a:gd name="f4" fmla="val 15240"/>
                          <a:gd name="f5" fmla="val 14731"/>
                          <a:gd name="f6" fmla="*/ f0 1 6858000"/>
                          <a:gd name="f7" fmla="*/ f1 1 15240"/>
                          <a:gd name="f8" fmla="+- f4 0 f2"/>
                          <a:gd name="f9" fmla="+- f3 0 f2"/>
                          <a:gd name="f10" fmla="*/ f9 1 6858000"/>
                          <a:gd name="f11" fmla="*/ f8 1 1524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858000" h="15240">
                            <a:moveTo>
                              <a:pt x="f3" y="f2"/>
                            </a:moveTo>
                            <a:lnTo>
                              <a:pt x="f2" y="f2"/>
                            </a:lnTo>
                            <a:lnTo>
                              <a:pt x="f2" y="f5"/>
                            </a:lnTo>
                            <a:lnTo>
                              <a:pt x="f3" y="f5"/>
                            </a:lnTo>
                            <a:lnTo>
                              <a:pt x="f3" y="f2"/>
                            </a:lnTo>
                            <a:close/>
                          </a:path>
                        </a:pathLst>
                      </a:custGeom>
                      <a:solidFill>
                        <a:srgbClr val="231F20"/>
                      </a:solidFill>
                      <a:ln cap="flat">
                        <a:noFill/>
                        <a:prstDash val="solid"/>
                      </a:ln>
                    </wps:spPr>
                    <wps:bodyPr lIns="0" tIns="0" rIns="0" bIns="0"/>
                  </wps:wsp>
                </a:graphicData>
              </a:graphic>
            </wp:anchor>
          </w:drawing>
        </mc:Choice>
        <mc:Fallback>
          <w:pict>
            <v:shape w14:anchorId="7C1A9E56" id="Graphic 20" o:spid="_x0000_s1026" style="position:absolute;margin-left:0;margin-top:8.7pt;width:540pt;height:1.2pt;z-index:251658241;visibility:visible;mso-wrap-style:square;mso-wrap-distance-left:9pt;mso-wrap-distance-top:0;mso-wrap-distance-right:9pt;mso-wrap-distance-bottom:0;mso-position-horizontal:left;mso-position-horizontal-relative:margin;mso-position-vertical:absolute;mso-position-vertical-relative:text;v-text-anchor:top" coordsize="68580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" path="m6858000,l,,,14731r6858000,l6858000,xe" fillcolor="#231f20" stroked="f">
              <v:path arrowok="t" o:connecttype="custom" o:connectlocs="3429000,0;6858000,7622;3429000,15243;0,7622" o:connectangles="270,0,90,180" textboxrect="0,0,6858000,15240"/>
              <w10:wrap type="topAndBottom" anchorx="margin"/>
            </v:shape>
          </w:pict>
        </mc:Fallback>
      </mc:AlternateContent>
    </w:r>
  </w:p>
  <w:tbl>
    <w:tblPr>
      <w:tblW w:w="11326" w:type="dxa"/>
      <w:tblCellMar>
        <w:left w:w="10" w:type="dxa"/>
        <w:right w:w="10" w:type="dxa"/>
      </w:tblCellMar>
      <w:tblLook w:val="0000" w:firstRow="0" w:lastRow="0" w:firstColumn="0" w:lastColumn="0" w:noHBand="0" w:noVBand="0"/>
    </w:tblPr>
    <w:tblGrid>
      <w:gridCol w:w="5663"/>
      <w:gridCol w:w="5663"/>
    </w:tblGrid>
    <w:tr w:rsidR="009A7C8D" w14:paraId="5EB38C0D" w14:textId="77777777" w:rsidTr="00D0237E">
      <w:trPr>
        <w:trHeight w:val="1016"/>
      </w:trPr>
      <w:tc>
        <w:tcPr>
          <w:tcW w:w="5663" w:type="dxa"/>
          <w:tcMar>
            <w:top w:w="0" w:type="dxa"/>
            <w:left w:w="108" w:type="dxa"/>
            <w:bottom w:w="0" w:type="dxa"/>
            <w:right w:w="108" w:type="dxa"/>
          </w:tcMar>
        </w:tcPr>
        <w:p w14:paraId="2B04AE18" w14:textId="77777777" w:rsidR="009A7C8D" w:rsidRDefault="009A7C8D" w:rsidP="009A7C8D">
          <w:pPr>
            <w:pStyle w:val="Title"/>
            <w:ind w:left="0"/>
          </w:pPr>
          <w:r>
            <w:rPr>
              <w:rFonts w:ascii="Times New Roman" w:hAnsi="Times New Roman" w:cs="Times New Roman"/>
              <w:color w:val="231F20"/>
              <w:w w:val="85"/>
              <w:sz w:val="20"/>
              <w:szCs w:val="20"/>
            </w:rPr>
            <w:t>Home</w:t>
          </w:r>
          <w:r>
            <w:rPr>
              <w:rFonts w:ascii="Times New Roman" w:hAnsi="Times New Roman" w:cs="Times New Roman"/>
              <w:color w:val="231F20"/>
              <w:spacing w:val="6"/>
              <w:sz w:val="20"/>
              <w:szCs w:val="20"/>
            </w:rPr>
            <w:t xml:space="preserve"> </w:t>
          </w:r>
          <w:r>
            <w:rPr>
              <w:rFonts w:ascii="Times New Roman" w:hAnsi="Times New Roman" w:cs="Times New Roman"/>
              <w:color w:val="231F20"/>
              <w:w w:val="85"/>
              <w:sz w:val="20"/>
              <w:szCs w:val="20"/>
            </w:rPr>
            <w:t>Builders</w:t>
          </w:r>
          <w:r>
            <w:rPr>
              <w:rFonts w:ascii="Times New Roman" w:hAnsi="Times New Roman" w:cs="Times New Roman"/>
              <w:color w:val="231F20"/>
              <w:spacing w:val="7"/>
              <w:sz w:val="20"/>
              <w:szCs w:val="20"/>
            </w:rPr>
            <w:t xml:space="preserve"> </w:t>
          </w:r>
          <w:r>
            <w:rPr>
              <w:rFonts w:ascii="Times New Roman" w:hAnsi="Times New Roman" w:cs="Times New Roman"/>
              <w:color w:val="231F20"/>
              <w:spacing w:val="-2"/>
              <w:w w:val="85"/>
              <w:sz w:val="20"/>
              <w:szCs w:val="20"/>
            </w:rPr>
            <w:t>Federation</w:t>
          </w:r>
        </w:p>
        <w:p w14:paraId="6D97A3D6" w14:textId="77777777" w:rsidR="009A7C8D" w:rsidRDefault="009A7C8D" w:rsidP="009A7C8D">
          <w:r>
            <w:rPr>
              <w:rFonts w:ascii="Times New Roman" w:hAnsi="Times New Roman" w:cs="Times New Roman"/>
              <w:color w:val="231F20"/>
              <w:spacing w:val="-6"/>
              <w:sz w:val="18"/>
              <w:szCs w:val="18"/>
            </w:rPr>
            <w:t>HBF</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House,</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27</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Broadwall,</w:t>
          </w:r>
          <w:r>
            <w:rPr>
              <w:rFonts w:ascii="Times New Roman" w:hAnsi="Times New Roman" w:cs="Times New Roman"/>
              <w:color w:val="231F20"/>
              <w:spacing w:val="1"/>
              <w:sz w:val="18"/>
              <w:szCs w:val="18"/>
            </w:rPr>
            <w:t xml:space="preserve"> </w:t>
          </w:r>
          <w:r>
            <w:rPr>
              <w:rFonts w:ascii="Times New Roman" w:hAnsi="Times New Roman" w:cs="Times New Roman"/>
              <w:color w:val="231F20"/>
              <w:spacing w:val="-6"/>
              <w:sz w:val="18"/>
              <w:szCs w:val="18"/>
            </w:rPr>
            <w:t>London</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SE1</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9PL</w:t>
          </w:r>
        </w:p>
        <w:p w14:paraId="6D752FC4" w14:textId="77777777" w:rsidR="009A7C8D" w:rsidRDefault="009A7C8D" w:rsidP="009A7C8D">
          <w:pPr>
            <w:spacing w:before="18"/>
          </w:pPr>
          <w:r>
            <w:rPr>
              <w:rFonts w:ascii="Times New Roman" w:hAnsi="Times New Roman" w:cs="Times New Roman"/>
              <w:color w:val="231F20"/>
              <w:spacing w:val="-2"/>
              <w:sz w:val="18"/>
            </w:rPr>
            <w:t>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0207</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960</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1600</w:t>
          </w:r>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E:</w:t>
          </w:r>
          <w:r>
            <w:rPr>
              <w:rFonts w:ascii="Times New Roman" w:hAnsi="Times New Roman" w:cs="Times New Roman"/>
              <w:color w:val="231F20"/>
              <w:spacing w:val="-5"/>
              <w:sz w:val="18"/>
            </w:rPr>
            <w:t xml:space="preserve"> </w:t>
          </w:r>
          <w:hyperlink r:id="rId1" w:history="1">
            <w:r>
              <w:rPr>
                <w:rFonts w:ascii="Times New Roman" w:hAnsi="Times New Roman" w:cs="Times New Roman"/>
                <w:color w:val="231F20"/>
                <w:spacing w:val="-2"/>
                <w:sz w:val="18"/>
              </w:rPr>
              <w:t>info@hbf.co.uk</w:t>
            </w:r>
          </w:hyperlink>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hbf.co.uk</w:t>
          </w:r>
        </w:p>
      </w:tc>
      <w:tc>
        <w:tcPr>
          <w:tcW w:w="5663" w:type="dxa"/>
          <w:tcMar>
            <w:top w:w="0" w:type="dxa"/>
            <w:left w:w="108" w:type="dxa"/>
            <w:bottom w:w="0" w:type="dxa"/>
            <w:right w:w="108" w:type="dxa"/>
          </w:tcMar>
        </w:tcPr>
        <w:p w14:paraId="43B6691D"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47EB6190"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2C0ABDF6" w14:textId="77777777" w:rsidR="009A7C8D" w:rsidRDefault="009A7C8D" w:rsidP="009A7C8D">
          <w:pPr>
            <w:pStyle w:val="BodyText"/>
            <w:spacing w:line="256" w:lineRule="auto"/>
            <w:ind w:right="1981"/>
          </w:pPr>
          <w:r>
            <w:rPr>
              <w:rFonts w:ascii="Times New Roman" w:hAnsi="Times New Roman" w:cs="Times New Roman"/>
              <w:color w:val="231F20"/>
              <w:spacing w:val="-2"/>
            </w:rPr>
            <w:t>Registered</w:t>
          </w:r>
          <w:r>
            <w:rPr>
              <w:rFonts w:ascii="Times New Roman" w:hAnsi="Times New Roman" w:cs="Times New Roman"/>
              <w:color w:val="231F20"/>
              <w:spacing w:val="-6"/>
            </w:rPr>
            <w:t xml:space="preserve"> </w:t>
          </w:r>
          <w:r>
            <w:rPr>
              <w:rFonts w:ascii="Times New Roman" w:hAnsi="Times New Roman" w:cs="Times New Roman"/>
              <w:color w:val="231F20"/>
              <w:spacing w:val="-2"/>
            </w:rPr>
            <w:t>in</w:t>
          </w:r>
          <w:r>
            <w:rPr>
              <w:rFonts w:ascii="Times New Roman" w:hAnsi="Times New Roman" w:cs="Times New Roman"/>
              <w:color w:val="231F20"/>
              <w:spacing w:val="-5"/>
            </w:rPr>
            <w:t xml:space="preserve"> </w:t>
          </w:r>
          <w:r>
            <w:rPr>
              <w:rFonts w:ascii="Times New Roman" w:hAnsi="Times New Roman" w:cs="Times New Roman"/>
              <w:color w:val="231F20"/>
              <w:spacing w:val="-2"/>
            </w:rPr>
            <w:t>England</w:t>
          </w:r>
          <w:r>
            <w:rPr>
              <w:rFonts w:ascii="Times New Roman" w:hAnsi="Times New Roman" w:cs="Times New Roman"/>
              <w:color w:val="231F20"/>
              <w:spacing w:val="-6"/>
            </w:rPr>
            <w:t xml:space="preserve"> </w:t>
          </w:r>
          <w:r>
            <w:rPr>
              <w:rFonts w:ascii="Times New Roman" w:hAnsi="Times New Roman" w:cs="Times New Roman"/>
              <w:color w:val="231F20"/>
              <w:spacing w:val="-2"/>
            </w:rPr>
            <w:t>and</w:t>
          </w:r>
          <w:r>
            <w:rPr>
              <w:rFonts w:ascii="Times New Roman" w:hAnsi="Times New Roman" w:cs="Times New Roman"/>
              <w:color w:val="231F20"/>
              <w:spacing w:val="-5"/>
            </w:rPr>
            <w:t xml:space="preserve"> </w:t>
          </w:r>
          <w:r>
            <w:rPr>
              <w:rFonts w:ascii="Times New Roman" w:hAnsi="Times New Roman" w:cs="Times New Roman"/>
              <w:color w:val="231F20"/>
              <w:spacing w:val="-2"/>
            </w:rPr>
            <w:t>Wales.</w:t>
          </w:r>
          <w:r>
            <w:rPr>
              <w:rFonts w:ascii="Times New Roman" w:hAnsi="Times New Roman" w:cs="Times New Roman"/>
              <w:color w:val="231F20"/>
              <w:spacing w:val="-6"/>
            </w:rPr>
            <w:t xml:space="preserve"> </w:t>
          </w:r>
          <w:r>
            <w:rPr>
              <w:rFonts w:ascii="Times New Roman" w:hAnsi="Times New Roman" w:cs="Times New Roman"/>
              <w:color w:val="231F20"/>
              <w:spacing w:val="-2"/>
            </w:rPr>
            <w:t>Registered</w:t>
          </w:r>
          <w:r>
            <w:rPr>
              <w:rFonts w:ascii="Times New Roman" w:hAnsi="Times New Roman" w:cs="Times New Roman"/>
              <w:color w:val="231F20"/>
              <w:spacing w:val="-5"/>
            </w:rPr>
            <w:t xml:space="preserve"> </w:t>
          </w:r>
          <w:r>
            <w:rPr>
              <w:rFonts w:ascii="Times New Roman" w:hAnsi="Times New Roman" w:cs="Times New Roman"/>
              <w:color w:val="231F20"/>
              <w:spacing w:val="-2"/>
            </w:rPr>
            <w:t>office:</w:t>
          </w:r>
          <w:r>
            <w:rPr>
              <w:rFonts w:ascii="Times New Roman" w:hAnsi="Times New Roman" w:cs="Times New Roman"/>
              <w:color w:val="231F20"/>
              <w:spacing w:val="-6"/>
            </w:rPr>
            <w:t xml:space="preserve"> </w:t>
          </w:r>
          <w:r>
            <w:rPr>
              <w:rFonts w:ascii="Times New Roman" w:hAnsi="Times New Roman" w:cs="Times New Roman"/>
              <w:color w:val="231F20"/>
              <w:spacing w:val="-2"/>
            </w:rPr>
            <w:t>HBF</w:t>
          </w:r>
          <w:r>
            <w:rPr>
              <w:rFonts w:ascii="Times New Roman" w:hAnsi="Times New Roman" w:cs="Times New Roman"/>
              <w:color w:val="231F20"/>
              <w:spacing w:val="-5"/>
            </w:rPr>
            <w:t xml:space="preserve"> </w:t>
          </w:r>
          <w:r>
            <w:rPr>
              <w:rFonts w:ascii="Times New Roman" w:hAnsi="Times New Roman" w:cs="Times New Roman"/>
              <w:color w:val="231F20"/>
              <w:spacing w:val="-2"/>
            </w:rPr>
            <w:t>House,</w:t>
          </w:r>
          <w:r>
            <w:rPr>
              <w:rFonts w:ascii="Times New Roman" w:hAnsi="Times New Roman" w:cs="Times New Roman"/>
              <w:color w:val="231F20"/>
              <w:spacing w:val="-6"/>
            </w:rPr>
            <w:t xml:space="preserve"> </w:t>
          </w:r>
          <w:r>
            <w:rPr>
              <w:rFonts w:ascii="Times New Roman" w:hAnsi="Times New Roman" w:cs="Times New Roman"/>
              <w:color w:val="231F20"/>
              <w:spacing w:val="-2"/>
            </w:rPr>
            <w:t>27</w:t>
          </w:r>
          <w:r>
            <w:rPr>
              <w:rFonts w:ascii="Times New Roman" w:hAnsi="Times New Roman" w:cs="Times New Roman"/>
              <w:color w:val="231F20"/>
              <w:spacing w:val="-5"/>
            </w:rPr>
            <w:t xml:space="preserve"> </w:t>
          </w:r>
          <w:r>
            <w:rPr>
              <w:rFonts w:ascii="Times New Roman" w:hAnsi="Times New Roman" w:cs="Times New Roman"/>
              <w:color w:val="231F20"/>
              <w:spacing w:val="-2"/>
            </w:rPr>
            <w:t>Broadwall,</w:t>
          </w:r>
          <w:r>
            <w:rPr>
              <w:rFonts w:ascii="Times New Roman" w:hAnsi="Times New Roman" w:cs="Times New Roman"/>
              <w:color w:val="231F20"/>
              <w:spacing w:val="-6"/>
            </w:rPr>
            <w:t xml:space="preserve"> </w:t>
          </w:r>
          <w:r>
            <w:rPr>
              <w:rFonts w:ascii="Times New Roman" w:hAnsi="Times New Roman" w:cs="Times New Roman"/>
              <w:color w:val="231F20"/>
              <w:spacing w:val="-2"/>
            </w:rPr>
            <w:t>London</w:t>
          </w:r>
          <w:r>
            <w:rPr>
              <w:rFonts w:ascii="Times New Roman" w:hAnsi="Times New Roman" w:cs="Times New Roman"/>
              <w:color w:val="231F20"/>
              <w:spacing w:val="-5"/>
            </w:rPr>
            <w:t xml:space="preserve"> </w:t>
          </w:r>
          <w:r>
            <w:rPr>
              <w:rFonts w:ascii="Times New Roman" w:hAnsi="Times New Roman" w:cs="Times New Roman"/>
              <w:color w:val="231F20"/>
              <w:spacing w:val="-2"/>
            </w:rPr>
            <w:t>SE1</w:t>
          </w:r>
          <w:r>
            <w:rPr>
              <w:rFonts w:ascii="Times New Roman" w:hAnsi="Times New Roman" w:cs="Times New Roman"/>
              <w:color w:val="231F20"/>
              <w:spacing w:val="-6"/>
            </w:rPr>
            <w:t xml:space="preserve"> </w:t>
          </w:r>
          <w:r>
            <w:rPr>
              <w:rFonts w:ascii="Times New Roman" w:hAnsi="Times New Roman" w:cs="Times New Roman"/>
              <w:color w:val="231F20"/>
              <w:spacing w:val="-2"/>
            </w:rPr>
            <w:t>9PL</w:t>
          </w:r>
          <w:r>
            <w:rPr>
              <w:rFonts w:ascii="Times New Roman" w:hAnsi="Times New Roman" w:cs="Times New Roman"/>
              <w:color w:val="231F20"/>
              <w:spacing w:val="40"/>
            </w:rPr>
            <w:t xml:space="preserve"> </w:t>
          </w:r>
          <w:r>
            <w:rPr>
              <w:rFonts w:ascii="Times New Roman" w:hAnsi="Times New Roman" w:cs="Times New Roman"/>
              <w:color w:val="231F20"/>
              <w:position w:val="2"/>
            </w:rPr>
            <w:t>Company</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Reg</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0276</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4757</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Vat</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882</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6294</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86</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Printed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on</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recycled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paper</w:t>
          </w:r>
          <w:r>
            <w:rPr>
              <w:rFonts w:ascii="Times New Roman" w:hAnsi="Times New Roman" w:cs="Times New Roman"/>
              <w:color w:val="231F20"/>
              <w:spacing w:val="-6"/>
              <w:position w:val="2"/>
            </w:rPr>
            <w:t xml:space="preserve"> </w:t>
          </w:r>
          <w:r>
            <w:rPr>
              <w:rFonts w:ascii="Times New Roman" w:hAnsi="Times New Roman" w:cs="Times New Roman"/>
              <w:b/>
              <w:bCs/>
              <w:noProof/>
              <w:color w:val="231F20"/>
              <w:spacing w:val="-3"/>
            </w:rPr>
            <w:drawing>
              <wp:inline distT="0" distB="0" distL="0" distR="0" wp14:anchorId="30B2A5A1" wp14:editId="5088D5E6">
                <wp:extent cx="67400" cy="64236"/>
                <wp:effectExtent l="0" t="0" r="8800" b="0"/>
                <wp:docPr id="361466313"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7400" cy="64236"/>
                        </a:xfrm>
                        <a:prstGeom prst="rect">
                          <a:avLst/>
                        </a:prstGeom>
                        <a:noFill/>
                        <a:ln>
                          <a:noFill/>
                          <a:prstDash/>
                        </a:ln>
                      </pic:spPr>
                    </pic:pic>
                  </a:graphicData>
                </a:graphic>
              </wp:inline>
            </w:drawing>
          </w:r>
        </w:p>
        <w:p w14:paraId="33264861" w14:textId="77777777" w:rsidR="009A7C8D" w:rsidRDefault="009A7C8D" w:rsidP="009A7C8D">
          <w:pPr>
            <w:spacing w:before="18"/>
            <w:rPr>
              <w:rFonts w:ascii="Times New Roman" w:hAnsi="Times New Roman" w:cs="Times New Roman"/>
              <w:b/>
              <w:bCs/>
              <w:color w:val="231F20"/>
              <w:spacing w:val="-2"/>
              <w:sz w:val="18"/>
            </w:rPr>
          </w:pPr>
        </w:p>
      </w:tc>
    </w:tr>
  </w:tbl>
  <w:p w14:paraId="4B9F6196" w14:textId="77777777" w:rsidR="00A80AB2" w:rsidRDefault="00A8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2628" w14:textId="77777777" w:rsidR="00FE4E9C" w:rsidRDefault="00FE4E9C">
      <w:r>
        <w:rPr>
          <w:color w:val="000000"/>
        </w:rPr>
        <w:separator/>
      </w:r>
    </w:p>
  </w:footnote>
  <w:footnote w:type="continuationSeparator" w:id="0">
    <w:p w14:paraId="1B939D5E" w14:textId="77777777" w:rsidR="00FE4E9C" w:rsidRDefault="00FE4E9C">
      <w:r>
        <w:continuationSeparator/>
      </w:r>
    </w:p>
  </w:footnote>
  <w:footnote w:id="1">
    <w:p w14:paraId="1F5E3300" w14:textId="59FD782A" w:rsidR="006A144E" w:rsidRPr="006A144E" w:rsidRDefault="006A144E">
      <w:pPr>
        <w:pStyle w:val="FootnoteText"/>
        <w:rPr>
          <w:lang w:val="en-GB"/>
        </w:rPr>
      </w:pPr>
      <w:r>
        <w:rPr>
          <w:rStyle w:val="FootnoteReference"/>
        </w:rPr>
        <w:footnoteRef/>
      </w:r>
      <w:r>
        <w:t xml:space="preserve"> </w:t>
      </w:r>
      <w:r w:rsidRPr="009E1371">
        <w:rPr>
          <w:rFonts w:ascii="Times New Roman" w:eastAsia="Palatino Linotype" w:hAnsi="Times New Roman" w:cs="Times New Roman"/>
          <w:bCs/>
          <w:color w:val="auto"/>
          <w:lang w:bidi="ar-SA"/>
        </w:rPr>
        <w:t>Biod</w:t>
      </w:r>
      <w:r w:rsidR="009E1371">
        <w:rPr>
          <w:rFonts w:ascii="Times New Roman" w:eastAsia="Palatino Linotype" w:hAnsi="Times New Roman" w:cs="Times New Roman"/>
          <w:bCs/>
          <w:color w:val="auto"/>
          <w:lang w:bidi="ar-SA"/>
        </w:rPr>
        <w:t xml:space="preserve">iversity </w:t>
      </w:r>
      <w:r w:rsidRPr="009E1371">
        <w:rPr>
          <w:rFonts w:ascii="Times New Roman" w:eastAsia="Palatino Linotype" w:hAnsi="Times New Roman" w:cs="Times New Roman"/>
          <w:bCs/>
          <w:color w:val="auto"/>
          <w:lang w:bidi="ar-SA"/>
        </w:rPr>
        <w:t>Units Uk</w:t>
      </w:r>
      <w:r w:rsidR="009E1371" w:rsidRPr="009E1371">
        <w:rPr>
          <w:rFonts w:ascii="Times New Roman" w:eastAsia="Palatino Linotype" w:hAnsi="Times New Roman" w:cs="Times New Roman"/>
          <w:bCs/>
          <w:color w:val="auto"/>
          <w:lang w:bidi="ar-SA"/>
        </w:rPr>
        <w:t xml:space="preserve"> </w:t>
      </w:r>
      <w:hyperlink r:id="rId1" w:history="1">
        <w:r w:rsidR="009E1371" w:rsidRPr="00B44499">
          <w:rPr>
            <w:rStyle w:val="Hyperlink"/>
            <w:rFonts w:ascii="Times New Roman" w:eastAsia="Palatino Linotype" w:hAnsi="Times New Roman" w:cs="Times New Roman"/>
            <w:bCs/>
            <w:lang w:bidi="ar-SA"/>
          </w:rPr>
          <w:t>Pricing Report</w:t>
        </w:r>
      </w:hyperlink>
      <w:r w:rsidR="009E1371">
        <w:rPr>
          <w:rFonts w:ascii="Times New Roman" w:eastAsia="Palatino Linotype" w:hAnsi="Times New Roman" w:cs="Times New Roman"/>
          <w:bCs/>
          <w:color w:val="auto"/>
          <w:lang w:bidi="ar-SA"/>
        </w:rPr>
        <w:t xml:space="preserve"> (June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7CFD" w14:textId="7128A88E" w:rsidR="00A80AB2" w:rsidRDefault="009A7C8D">
    <w:pPr>
      <w:pStyle w:val="Header"/>
    </w:pPr>
    <w:r>
      <w:rPr>
        <w:noProof/>
      </w:rPr>
      <w:drawing>
        <wp:anchor distT="0" distB="0" distL="114300" distR="114300" simplePos="0" relativeHeight="251658240" behindDoc="0" locked="0" layoutInCell="1" allowOverlap="1" wp14:anchorId="3FD7467F" wp14:editId="506C53E4">
          <wp:simplePos x="0" y="0"/>
          <wp:positionH relativeFrom="column">
            <wp:posOffset>4572000</wp:posOffset>
          </wp:positionH>
          <wp:positionV relativeFrom="paragraph">
            <wp:posOffset>561975</wp:posOffset>
          </wp:positionV>
          <wp:extent cx="2019873" cy="516142"/>
          <wp:effectExtent l="0" t="0" r="0" b="0"/>
          <wp:wrapNone/>
          <wp:docPr id="1276913256"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873" cy="5161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73FCE"/>
    <w:multiLevelType w:val="hybridMultilevel"/>
    <w:tmpl w:val="F548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0429ED"/>
    <w:multiLevelType w:val="multilevel"/>
    <w:tmpl w:val="2A42AB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F00AF3"/>
    <w:multiLevelType w:val="hybridMultilevel"/>
    <w:tmpl w:val="005C284C"/>
    <w:lvl w:ilvl="0" w:tplc="7D5472C2">
      <w:start w:val="1"/>
      <w:numFmt w:val="decimal"/>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E87FCD"/>
    <w:multiLevelType w:val="hybridMultilevel"/>
    <w:tmpl w:val="0C849B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83758027">
    <w:abstractNumId w:val="2"/>
  </w:num>
  <w:num w:numId="2" w16cid:durableId="1235816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645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933562">
    <w:abstractNumId w:val="1"/>
  </w:num>
  <w:num w:numId="5" w16cid:durableId="135607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C3"/>
    <w:rsid w:val="00010EE7"/>
    <w:rsid w:val="00013D32"/>
    <w:rsid w:val="00014FFC"/>
    <w:rsid w:val="0002258D"/>
    <w:rsid w:val="000225E4"/>
    <w:rsid w:val="0002535A"/>
    <w:rsid w:val="00033110"/>
    <w:rsid w:val="0003323D"/>
    <w:rsid w:val="000351E9"/>
    <w:rsid w:val="00035A2B"/>
    <w:rsid w:val="00036C7E"/>
    <w:rsid w:val="0004100B"/>
    <w:rsid w:val="0004110D"/>
    <w:rsid w:val="00044572"/>
    <w:rsid w:val="00044843"/>
    <w:rsid w:val="00045D2E"/>
    <w:rsid w:val="0005010B"/>
    <w:rsid w:val="00052659"/>
    <w:rsid w:val="00055FBC"/>
    <w:rsid w:val="00061ED0"/>
    <w:rsid w:val="000649EB"/>
    <w:rsid w:val="000663A3"/>
    <w:rsid w:val="00070733"/>
    <w:rsid w:val="00070B61"/>
    <w:rsid w:val="000735C7"/>
    <w:rsid w:val="0007442C"/>
    <w:rsid w:val="00075E1D"/>
    <w:rsid w:val="00077020"/>
    <w:rsid w:val="000851A4"/>
    <w:rsid w:val="00086A8A"/>
    <w:rsid w:val="00087294"/>
    <w:rsid w:val="000873E3"/>
    <w:rsid w:val="00087F59"/>
    <w:rsid w:val="00094832"/>
    <w:rsid w:val="000A100A"/>
    <w:rsid w:val="000A2346"/>
    <w:rsid w:val="000A77F8"/>
    <w:rsid w:val="000B181B"/>
    <w:rsid w:val="000B1A34"/>
    <w:rsid w:val="000B286D"/>
    <w:rsid w:val="000B5B70"/>
    <w:rsid w:val="000B724E"/>
    <w:rsid w:val="000C0BC3"/>
    <w:rsid w:val="000C16A6"/>
    <w:rsid w:val="000C1C14"/>
    <w:rsid w:val="000C2DA5"/>
    <w:rsid w:val="000C7152"/>
    <w:rsid w:val="000C753C"/>
    <w:rsid w:val="000C77EA"/>
    <w:rsid w:val="000D6B6E"/>
    <w:rsid w:val="000D7947"/>
    <w:rsid w:val="000E2930"/>
    <w:rsid w:val="000E3687"/>
    <w:rsid w:val="000E5F1D"/>
    <w:rsid w:val="00100123"/>
    <w:rsid w:val="00101E5F"/>
    <w:rsid w:val="001021C1"/>
    <w:rsid w:val="001025D9"/>
    <w:rsid w:val="00103F7A"/>
    <w:rsid w:val="00106078"/>
    <w:rsid w:val="00107551"/>
    <w:rsid w:val="001103D3"/>
    <w:rsid w:val="001119BF"/>
    <w:rsid w:val="0011389E"/>
    <w:rsid w:val="001141B0"/>
    <w:rsid w:val="0011481C"/>
    <w:rsid w:val="00114D7D"/>
    <w:rsid w:val="001173D8"/>
    <w:rsid w:val="001229D8"/>
    <w:rsid w:val="001301B9"/>
    <w:rsid w:val="00130CEE"/>
    <w:rsid w:val="00136244"/>
    <w:rsid w:val="00145609"/>
    <w:rsid w:val="00147982"/>
    <w:rsid w:val="00150CF7"/>
    <w:rsid w:val="00152339"/>
    <w:rsid w:val="00157082"/>
    <w:rsid w:val="00157532"/>
    <w:rsid w:val="00157FBF"/>
    <w:rsid w:val="00161445"/>
    <w:rsid w:val="001628A7"/>
    <w:rsid w:val="00162C30"/>
    <w:rsid w:val="00164703"/>
    <w:rsid w:val="001666DD"/>
    <w:rsid w:val="00166D9D"/>
    <w:rsid w:val="00174DEB"/>
    <w:rsid w:val="00180C40"/>
    <w:rsid w:val="00182C79"/>
    <w:rsid w:val="00191367"/>
    <w:rsid w:val="001930C5"/>
    <w:rsid w:val="001A000E"/>
    <w:rsid w:val="001A13EB"/>
    <w:rsid w:val="001A2BA8"/>
    <w:rsid w:val="001B0F43"/>
    <w:rsid w:val="001B0F6A"/>
    <w:rsid w:val="001B15E9"/>
    <w:rsid w:val="001B1855"/>
    <w:rsid w:val="001B2650"/>
    <w:rsid w:val="001B2A6F"/>
    <w:rsid w:val="001B2D5B"/>
    <w:rsid w:val="001B346C"/>
    <w:rsid w:val="001B7524"/>
    <w:rsid w:val="001C1FB0"/>
    <w:rsid w:val="001C39EE"/>
    <w:rsid w:val="001C5D85"/>
    <w:rsid w:val="001C63F9"/>
    <w:rsid w:val="001C7429"/>
    <w:rsid w:val="001D1581"/>
    <w:rsid w:val="001D18B7"/>
    <w:rsid w:val="001D223D"/>
    <w:rsid w:val="001D3D65"/>
    <w:rsid w:val="001E0DC0"/>
    <w:rsid w:val="001E1A18"/>
    <w:rsid w:val="001E2CE8"/>
    <w:rsid w:val="001E2E1B"/>
    <w:rsid w:val="001F27FF"/>
    <w:rsid w:val="001F3EA5"/>
    <w:rsid w:val="001F6025"/>
    <w:rsid w:val="00201C0E"/>
    <w:rsid w:val="00205930"/>
    <w:rsid w:val="0020691E"/>
    <w:rsid w:val="0021045F"/>
    <w:rsid w:val="00211217"/>
    <w:rsid w:val="00215C07"/>
    <w:rsid w:val="0021686E"/>
    <w:rsid w:val="002207C5"/>
    <w:rsid w:val="002224E9"/>
    <w:rsid w:val="0022702E"/>
    <w:rsid w:val="0023607A"/>
    <w:rsid w:val="002434D3"/>
    <w:rsid w:val="00243BE2"/>
    <w:rsid w:val="002461F0"/>
    <w:rsid w:val="002507D5"/>
    <w:rsid w:val="00252356"/>
    <w:rsid w:val="0025244A"/>
    <w:rsid w:val="00253E69"/>
    <w:rsid w:val="00255F84"/>
    <w:rsid w:val="00257345"/>
    <w:rsid w:val="002662DD"/>
    <w:rsid w:val="00271B2A"/>
    <w:rsid w:val="00271BEB"/>
    <w:rsid w:val="0027218C"/>
    <w:rsid w:val="00272F38"/>
    <w:rsid w:val="002766F5"/>
    <w:rsid w:val="00277E71"/>
    <w:rsid w:val="002806F3"/>
    <w:rsid w:val="00281D87"/>
    <w:rsid w:val="00282A0B"/>
    <w:rsid w:val="00282D68"/>
    <w:rsid w:val="002832AC"/>
    <w:rsid w:val="0028345D"/>
    <w:rsid w:val="00283A9E"/>
    <w:rsid w:val="002840BE"/>
    <w:rsid w:val="002908E5"/>
    <w:rsid w:val="00292932"/>
    <w:rsid w:val="00293E1C"/>
    <w:rsid w:val="00296E1A"/>
    <w:rsid w:val="002A0174"/>
    <w:rsid w:val="002A130C"/>
    <w:rsid w:val="002A2327"/>
    <w:rsid w:val="002A28B6"/>
    <w:rsid w:val="002A42C6"/>
    <w:rsid w:val="002B20B5"/>
    <w:rsid w:val="002B2293"/>
    <w:rsid w:val="002B3B7D"/>
    <w:rsid w:val="002B3E22"/>
    <w:rsid w:val="002B63D8"/>
    <w:rsid w:val="002C2471"/>
    <w:rsid w:val="002C26CF"/>
    <w:rsid w:val="002C272A"/>
    <w:rsid w:val="002C7926"/>
    <w:rsid w:val="002D2604"/>
    <w:rsid w:val="002D3323"/>
    <w:rsid w:val="002D3981"/>
    <w:rsid w:val="002D3A06"/>
    <w:rsid w:val="002D5310"/>
    <w:rsid w:val="002D7052"/>
    <w:rsid w:val="002E0987"/>
    <w:rsid w:val="002E1E84"/>
    <w:rsid w:val="002E205F"/>
    <w:rsid w:val="002E2E9D"/>
    <w:rsid w:val="002E324D"/>
    <w:rsid w:val="002E35BB"/>
    <w:rsid w:val="002E4409"/>
    <w:rsid w:val="002F1043"/>
    <w:rsid w:val="002F2E07"/>
    <w:rsid w:val="002F4F56"/>
    <w:rsid w:val="002F5F00"/>
    <w:rsid w:val="00301A9E"/>
    <w:rsid w:val="00306704"/>
    <w:rsid w:val="00306DDB"/>
    <w:rsid w:val="00310BFD"/>
    <w:rsid w:val="00313D9E"/>
    <w:rsid w:val="00315469"/>
    <w:rsid w:val="00316C0A"/>
    <w:rsid w:val="0032050C"/>
    <w:rsid w:val="003205C3"/>
    <w:rsid w:val="00320C04"/>
    <w:rsid w:val="003239B7"/>
    <w:rsid w:val="00323FC5"/>
    <w:rsid w:val="00325FE0"/>
    <w:rsid w:val="003268FE"/>
    <w:rsid w:val="00335D29"/>
    <w:rsid w:val="00340F8E"/>
    <w:rsid w:val="003426D8"/>
    <w:rsid w:val="00344EF4"/>
    <w:rsid w:val="00352DE0"/>
    <w:rsid w:val="00353C3F"/>
    <w:rsid w:val="00356176"/>
    <w:rsid w:val="00356DCF"/>
    <w:rsid w:val="0036102D"/>
    <w:rsid w:val="0036288B"/>
    <w:rsid w:val="00370487"/>
    <w:rsid w:val="00370B45"/>
    <w:rsid w:val="003716E1"/>
    <w:rsid w:val="00375E4C"/>
    <w:rsid w:val="00380115"/>
    <w:rsid w:val="00380FF0"/>
    <w:rsid w:val="00381C3F"/>
    <w:rsid w:val="00386C87"/>
    <w:rsid w:val="0038738B"/>
    <w:rsid w:val="00393D94"/>
    <w:rsid w:val="00393EA3"/>
    <w:rsid w:val="003A3CBD"/>
    <w:rsid w:val="003A43FF"/>
    <w:rsid w:val="003A6399"/>
    <w:rsid w:val="003B2361"/>
    <w:rsid w:val="003B37A2"/>
    <w:rsid w:val="003B4150"/>
    <w:rsid w:val="003B7B26"/>
    <w:rsid w:val="003C1199"/>
    <w:rsid w:val="003C11F6"/>
    <w:rsid w:val="003C2AAF"/>
    <w:rsid w:val="003C3A23"/>
    <w:rsid w:val="003C465D"/>
    <w:rsid w:val="003D3017"/>
    <w:rsid w:val="003D42FD"/>
    <w:rsid w:val="003D5352"/>
    <w:rsid w:val="003E1AA2"/>
    <w:rsid w:val="003E553B"/>
    <w:rsid w:val="003E5DED"/>
    <w:rsid w:val="003F02CA"/>
    <w:rsid w:val="003F0876"/>
    <w:rsid w:val="003F1288"/>
    <w:rsid w:val="003F3D73"/>
    <w:rsid w:val="004001A2"/>
    <w:rsid w:val="00402743"/>
    <w:rsid w:val="00404C67"/>
    <w:rsid w:val="004068D6"/>
    <w:rsid w:val="00407FE3"/>
    <w:rsid w:val="004216ED"/>
    <w:rsid w:val="0042287C"/>
    <w:rsid w:val="0043348C"/>
    <w:rsid w:val="00441885"/>
    <w:rsid w:val="00442C19"/>
    <w:rsid w:val="00443B2E"/>
    <w:rsid w:val="004446E7"/>
    <w:rsid w:val="00445008"/>
    <w:rsid w:val="004452DC"/>
    <w:rsid w:val="004502E1"/>
    <w:rsid w:val="00451947"/>
    <w:rsid w:val="004524F0"/>
    <w:rsid w:val="004539B0"/>
    <w:rsid w:val="00454A1A"/>
    <w:rsid w:val="004612EA"/>
    <w:rsid w:val="0046324A"/>
    <w:rsid w:val="004637EE"/>
    <w:rsid w:val="00464619"/>
    <w:rsid w:val="0046563E"/>
    <w:rsid w:val="00465938"/>
    <w:rsid w:val="004662B1"/>
    <w:rsid w:val="00466B65"/>
    <w:rsid w:val="00467CF1"/>
    <w:rsid w:val="0047274B"/>
    <w:rsid w:val="00482BE2"/>
    <w:rsid w:val="0049028D"/>
    <w:rsid w:val="0049081F"/>
    <w:rsid w:val="00491C50"/>
    <w:rsid w:val="004A00DC"/>
    <w:rsid w:val="004A1351"/>
    <w:rsid w:val="004A269D"/>
    <w:rsid w:val="004A3720"/>
    <w:rsid w:val="004A4EA6"/>
    <w:rsid w:val="004A5043"/>
    <w:rsid w:val="004A7177"/>
    <w:rsid w:val="004A7374"/>
    <w:rsid w:val="004B20C6"/>
    <w:rsid w:val="004B486B"/>
    <w:rsid w:val="004B49B7"/>
    <w:rsid w:val="004B6645"/>
    <w:rsid w:val="004C221E"/>
    <w:rsid w:val="004C5104"/>
    <w:rsid w:val="004C5D09"/>
    <w:rsid w:val="004D0BC5"/>
    <w:rsid w:val="004D16C2"/>
    <w:rsid w:val="004D18E0"/>
    <w:rsid w:val="004D1DA1"/>
    <w:rsid w:val="004D3EE6"/>
    <w:rsid w:val="004D444D"/>
    <w:rsid w:val="004D682B"/>
    <w:rsid w:val="004E0FF7"/>
    <w:rsid w:val="004E2A9A"/>
    <w:rsid w:val="004E5995"/>
    <w:rsid w:val="004E76F8"/>
    <w:rsid w:val="004F3050"/>
    <w:rsid w:val="004F3653"/>
    <w:rsid w:val="004F38B1"/>
    <w:rsid w:val="004F4CAB"/>
    <w:rsid w:val="004F75A5"/>
    <w:rsid w:val="00502B37"/>
    <w:rsid w:val="00505536"/>
    <w:rsid w:val="00507A0C"/>
    <w:rsid w:val="005126D7"/>
    <w:rsid w:val="00514820"/>
    <w:rsid w:val="0051526E"/>
    <w:rsid w:val="00516D9A"/>
    <w:rsid w:val="005176D1"/>
    <w:rsid w:val="0052174B"/>
    <w:rsid w:val="00526BF6"/>
    <w:rsid w:val="00527E57"/>
    <w:rsid w:val="00531A17"/>
    <w:rsid w:val="0053359F"/>
    <w:rsid w:val="00541CC0"/>
    <w:rsid w:val="00541F32"/>
    <w:rsid w:val="00542495"/>
    <w:rsid w:val="00543DDD"/>
    <w:rsid w:val="00560CE4"/>
    <w:rsid w:val="005610C6"/>
    <w:rsid w:val="00562B5A"/>
    <w:rsid w:val="005668EC"/>
    <w:rsid w:val="00570595"/>
    <w:rsid w:val="005709BC"/>
    <w:rsid w:val="00571F91"/>
    <w:rsid w:val="00573321"/>
    <w:rsid w:val="00577012"/>
    <w:rsid w:val="00580794"/>
    <w:rsid w:val="00581984"/>
    <w:rsid w:val="005843F5"/>
    <w:rsid w:val="005862DC"/>
    <w:rsid w:val="00587626"/>
    <w:rsid w:val="005878A8"/>
    <w:rsid w:val="005910D5"/>
    <w:rsid w:val="00591779"/>
    <w:rsid w:val="00595939"/>
    <w:rsid w:val="005A2427"/>
    <w:rsid w:val="005A335B"/>
    <w:rsid w:val="005A4D9B"/>
    <w:rsid w:val="005A67A9"/>
    <w:rsid w:val="005B10B1"/>
    <w:rsid w:val="005B2841"/>
    <w:rsid w:val="005B3338"/>
    <w:rsid w:val="005B6227"/>
    <w:rsid w:val="005C3052"/>
    <w:rsid w:val="005C456C"/>
    <w:rsid w:val="005C5B03"/>
    <w:rsid w:val="005C660D"/>
    <w:rsid w:val="005C6B61"/>
    <w:rsid w:val="005C7B68"/>
    <w:rsid w:val="005D0EDB"/>
    <w:rsid w:val="005D12BD"/>
    <w:rsid w:val="005D35FA"/>
    <w:rsid w:val="005E0707"/>
    <w:rsid w:val="005E09B2"/>
    <w:rsid w:val="005E1BF8"/>
    <w:rsid w:val="005E2746"/>
    <w:rsid w:val="005E3511"/>
    <w:rsid w:val="005E3828"/>
    <w:rsid w:val="005E4856"/>
    <w:rsid w:val="005E58D7"/>
    <w:rsid w:val="005E6525"/>
    <w:rsid w:val="005F2229"/>
    <w:rsid w:val="00603A73"/>
    <w:rsid w:val="006050A3"/>
    <w:rsid w:val="0060561F"/>
    <w:rsid w:val="006058ED"/>
    <w:rsid w:val="006173AA"/>
    <w:rsid w:val="006173D3"/>
    <w:rsid w:val="006216E1"/>
    <w:rsid w:val="00625C5C"/>
    <w:rsid w:val="00633AC0"/>
    <w:rsid w:val="00634343"/>
    <w:rsid w:val="00634E50"/>
    <w:rsid w:val="0064168A"/>
    <w:rsid w:val="00641805"/>
    <w:rsid w:val="006439D6"/>
    <w:rsid w:val="00646B31"/>
    <w:rsid w:val="00651231"/>
    <w:rsid w:val="006550B6"/>
    <w:rsid w:val="00656243"/>
    <w:rsid w:val="00666AA8"/>
    <w:rsid w:val="00671402"/>
    <w:rsid w:val="00677A22"/>
    <w:rsid w:val="00677CD2"/>
    <w:rsid w:val="00677FF1"/>
    <w:rsid w:val="006813E5"/>
    <w:rsid w:val="00683BD2"/>
    <w:rsid w:val="006864D8"/>
    <w:rsid w:val="00687D27"/>
    <w:rsid w:val="006916B3"/>
    <w:rsid w:val="00692CF1"/>
    <w:rsid w:val="006A04EE"/>
    <w:rsid w:val="006A144E"/>
    <w:rsid w:val="006A68C9"/>
    <w:rsid w:val="006A6D92"/>
    <w:rsid w:val="006B2F5D"/>
    <w:rsid w:val="006B3506"/>
    <w:rsid w:val="006B60BC"/>
    <w:rsid w:val="006B7FEE"/>
    <w:rsid w:val="006C193D"/>
    <w:rsid w:val="006C1C7C"/>
    <w:rsid w:val="006C5AE3"/>
    <w:rsid w:val="006C5B3B"/>
    <w:rsid w:val="006C6EC1"/>
    <w:rsid w:val="006D2AD0"/>
    <w:rsid w:val="006D408F"/>
    <w:rsid w:val="006D46E3"/>
    <w:rsid w:val="006D4D2A"/>
    <w:rsid w:val="006D73A9"/>
    <w:rsid w:val="006E0057"/>
    <w:rsid w:val="006E1259"/>
    <w:rsid w:val="006E289E"/>
    <w:rsid w:val="006E2B2E"/>
    <w:rsid w:val="006E30C3"/>
    <w:rsid w:val="006E5703"/>
    <w:rsid w:val="006E6D37"/>
    <w:rsid w:val="006F6C9A"/>
    <w:rsid w:val="00700EA7"/>
    <w:rsid w:val="00701D5B"/>
    <w:rsid w:val="00706CF1"/>
    <w:rsid w:val="007070C6"/>
    <w:rsid w:val="00711205"/>
    <w:rsid w:val="00711E51"/>
    <w:rsid w:val="00714439"/>
    <w:rsid w:val="00720B7C"/>
    <w:rsid w:val="007267B9"/>
    <w:rsid w:val="00733CDE"/>
    <w:rsid w:val="007418AA"/>
    <w:rsid w:val="007419E6"/>
    <w:rsid w:val="0074383A"/>
    <w:rsid w:val="00745244"/>
    <w:rsid w:val="0074532A"/>
    <w:rsid w:val="00753FAC"/>
    <w:rsid w:val="00754CAB"/>
    <w:rsid w:val="007558A6"/>
    <w:rsid w:val="00757275"/>
    <w:rsid w:val="00762F93"/>
    <w:rsid w:val="00764836"/>
    <w:rsid w:val="00764948"/>
    <w:rsid w:val="0076596E"/>
    <w:rsid w:val="0076689A"/>
    <w:rsid w:val="00770B9F"/>
    <w:rsid w:val="00771662"/>
    <w:rsid w:val="00786975"/>
    <w:rsid w:val="00790EBD"/>
    <w:rsid w:val="0079626F"/>
    <w:rsid w:val="007A0637"/>
    <w:rsid w:val="007A1FA4"/>
    <w:rsid w:val="007A3023"/>
    <w:rsid w:val="007B2455"/>
    <w:rsid w:val="007B4DD5"/>
    <w:rsid w:val="007B50E1"/>
    <w:rsid w:val="007C0BEA"/>
    <w:rsid w:val="007D6D29"/>
    <w:rsid w:val="007D7453"/>
    <w:rsid w:val="007D7D72"/>
    <w:rsid w:val="007E56BA"/>
    <w:rsid w:val="007E5A67"/>
    <w:rsid w:val="007E5DDC"/>
    <w:rsid w:val="007E6E7E"/>
    <w:rsid w:val="007F0EBA"/>
    <w:rsid w:val="007F3F23"/>
    <w:rsid w:val="008008AB"/>
    <w:rsid w:val="00800EF0"/>
    <w:rsid w:val="00802244"/>
    <w:rsid w:val="00805530"/>
    <w:rsid w:val="00811219"/>
    <w:rsid w:val="00813E70"/>
    <w:rsid w:val="00823345"/>
    <w:rsid w:val="00823EA2"/>
    <w:rsid w:val="0082438B"/>
    <w:rsid w:val="00826763"/>
    <w:rsid w:val="00832316"/>
    <w:rsid w:val="00832CBB"/>
    <w:rsid w:val="008379B1"/>
    <w:rsid w:val="00837E08"/>
    <w:rsid w:val="008415C8"/>
    <w:rsid w:val="00842726"/>
    <w:rsid w:val="0084416E"/>
    <w:rsid w:val="008447AA"/>
    <w:rsid w:val="0084571A"/>
    <w:rsid w:val="00845B44"/>
    <w:rsid w:val="008468C4"/>
    <w:rsid w:val="00846FAB"/>
    <w:rsid w:val="00847AB3"/>
    <w:rsid w:val="00850034"/>
    <w:rsid w:val="008553CD"/>
    <w:rsid w:val="00856EC4"/>
    <w:rsid w:val="00861CBA"/>
    <w:rsid w:val="00870AE1"/>
    <w:rsid w:val="008808C7"/>
    <w:rsid w:val="00880E50"/>
    <w:rsid w:val="00882A56"/>
    <w:rsid w:val="00891D11"/>
    <w:rsid w:val="0089497E"/>
    <w:rsid w:val="008B0F5D"/>
    <w:rsid w:val="008B3D96"/>
    <w:rsid w:val="008B569B"/>
    <w:rsid w:val="008B6EFE"/>
    <w:rsid w:val="008B76D2"/>
    <w:rsid w:val="008C09B6"/>
    <w:rsid w:val="008C1B46"/>
    <w:rsid w:val="008C2AA0"/>
    <w:rsid w:val="008C3C89"/>
    <w:rsid w:val="008C59EA"/>
    <w:rsid w:val="008C5CB7"/>
    <w:rsid w:val="008C7864"/>
    <w:rsid w:val="008C7D55"/>
    <w:rsid w:val="008D1F73"/>
    <w:rsid w:val="008D2048"/>
    <w:rsid w:val="008D2C11"/>
    <w:rsid w:val="008D42C9"/>
    <w:rsid w:val="008D490F"/>
    <w:rsid w:val="008D5F2B"/>
    <w:rsid w:val="008D67CD"/>
    <w:rsid w:val="008D71DE"/>
    <w:rsid w:val="008E011E"/>
    <w:rsid w:val="008E4FDC"/>
    <w:rsid w:val="008F323E"/>
    <w:rsid w:val="008F3AF5"/>
    <w:rsid w:val="008F5221"/>
    <w:rsid w:val="0090062A"/>
    <w:rsid w:val="00903FF7"/>
    <w:rsid w:val="00904A0C"/>
    <w:rsid w:val="00904C40"/>
    <w:rsid w:val="00905AC6"/>
    <w:rsid w:val="00906FC2"/>
    <w:rsid w:val="009070E0"/>
    <w:rsid w:val="00907817"/>
    <w:rsid w:val="00907920"/>
    <w:rsid w:val="00907C67"/>
    <w:rsid w:val="00912FC7"/>
    <w:rsid w:val="00915171"/>
    <w:rsid w:val="00917EDC"/>
    <w:rsid w:val="00920A79"/>
    <w:rsid w:val="00921684"/>
    <w:rsid w:val="00923E55"/>
    <w:rsid w:val="0092473D"/>
    <w:rsid w:val="00927C9B"/>
    <w:rsid w:val="00933260"/>
    <w:rsid w:val="009339C6"/>
    <w:rsid w:val="00934639"/>
    <w:rsid w:val="00935403"/>
    <w:rsid w:val="00937FCB"/>
    <w:rsid w:val="0094011D"/>
    <w:rsid w:val="0094046D"/>
    <w:rsid w:val="009430E1"/>
    <w:rsid w:val="00944C00"/>
    <w:rsid w:val="0094692C"/>
    <w:rsid w:val="00947FD6"/>
    <w:rsid w:val="009502CD"/>
    <w:rsid w:val="009525EE"/>
    <w:rsid w:val="00953039"/>
    <w:rsid w:val="0095592A"/>
    <w:rsid w:val="00956EFD"/>
    <w:rsid w:val="00960BB1"/>
    <w:rsid w:val="0096155B"/>
    <w:rsid w:val="00961B9D"/>
    <w:rsid w:val="00962214"/>
    <w:rsid w:val="00962345"/>
    <w:rsid w:val="00962E3E"/>
    <w:rsid w:val="00965D07"/>
    <w:rsid w:val="00966F94"/>
    <w:rsid w:val="00970BC5"/>
    <w:rsid w:val="009717B9"/>
    <w:rsid w:val="009813A8"/>
    <w:rsid w:val="00985A82"/>
    <w:rsid w:val="0098783C"/>
    <w:rsid w:val="00990C68"/>
    <w:rsid w:val="0099168F"/>
    <w:rsid w:val="00992FD6"/>
    <w:rsid w:val="00993A1A"/>
    <w:rsid w:val="00994CC9"/>
    <w:rsid w:val="00994DF2"/>
    <w:rsid w:val="0099545C"/>
    <w:rsid w:val="00995F10"/>
    <w:rsid w:val="00997F6E"/>
    <w:rsid w:val="009A24F1"/>
    <w:rsid w:val="009A2E74"/>
    <w:rsid w:val="009A352D"/>
    <w:rsid w:val="009A5ACD"/>
    <w:rsid w:val="009A65A8"/>
    <w:rsid w:val="009A7C8D"/>
    <w:rsid w:val="009B1530"/>
    <w:rsid w:val="009B593D"/>
    <w:rsid w:val="009B5B66"/>
    <w:rsid w:val="009B6A75"/>
    <w:rsid w:val="009C7CB1"/>
    <w:rsid w:val="009D18AB"/>
    <w:rsid w:val="009D3550"/>
    <w:rsid w:val="009D4C99"/>
    <w:rsid w:val="009D7689"/>
    <w:rsid w:val="009E0180"/>
    <w:rsid w:val="009E1371"/>
    <w:rsid w:val="009E4924"/>
    <w:rsid w:val="009E4C79"/>
    <w:rsid w:val="009E5D5D"/>
    <w:rsid w:val="009F02FB"/>
    <w:rsid w:val="009F0F65"/>
    <w:rsid w:val="00A035CC"/>
    <w:rsid w:val="00A04CA3"/>
    <w:rsid w:val="00A07E9B"/>
    <w:rsid w:val="00A10EAC"/>
    <w:rsid w:val="00A1116D"/>
    <w:rsid w:val="00A1151D"/>
    <w:rsid w:val="00A13315"/>
    <w:rsid w:val="00A13FD0"/>
    <w:rsid w:val="00A15625"/>
    <w:rsid w:val="00A158B7"/>
    <w:rsid w:val="00A16C0D"/>
    <w:rsid w:val="00A21495"/>
    <w:rsid w:val="00A224F8"/>
    <w:rsid w:val="00A22CF6"/>
    <w:rsid w:val="00A25197"/>
    <w:rsid w:val="00A313C7"/>
    <w:rsid w:val="00A31928"/>
    <w:rsid w:val="00A32302"/>
    <w:rsid w:val="00A36116"/>
    <w:rsid w:val="00A40DF1"/>
    <w:rsid w:val="00A453E9"/>
    <w:rsid w:val="00A51648"/>
    <w:rsid w:val="00A53879"/>
    <w:rsid w:val="00A53915"/>
    <w:rsid w:val="00A54BF5"/>
    <w:rsid w:val="00A57F6D"/>
    <w:rsid w:val="00A61ECC"/>
    <w:rsid w:val="00A62416"/>
    <w:rsid w:val="00A62ADF"/>
    <w:rsid w:val="00A62F81"/>
    <w:rsid w:val="00A65F68"/>
    <w:rsid w:val="00A70EBC"/>
    <w:rsid w:val="00A80349"/>
    <w:rsid w:val="00A80AB2"/>
    <w:rsid w:val="00A8140C"/>
    <w:rsid w:val="00A82D9F"/>
    <w:rsid w:val="00A83FC2"/>
    <w:rsid w:val="00A852AB"/>
    <w:rsid w:val="00A857DC"/>
    <w:rsid w:val="00A9087A"/>
    <w:rsid w:val="00A931DE"/>
    <w:rsid w:val="00A93869"/>
    <w:rsid w:val="00A942AB"/>
    <w:rsid w:val="00A94C93"/>
    <w:rsid w:val="00A958CF"/>
    <w:rsid w:val="00A9610D"/>
    <w:rsid w:val="00A96A36"/>
    <w:rsid w:val="00A97957"/>
    <w:rsid w:val="00AA61C0"/>
    <w:rsid w:val="00AA76AF"/>
    <w:rsid w:val="00AB313E"/>
    <w:rsid w:val="00AB36AA"/>
    <w:rsid w:val="00AB74B7"/>
    <w:rsid w:val="00AC15D5"/>
    <w:rsid w:val="00AC164D"/>
    <w:rsid w:val="00AC3878"/>
    <w:rsid w:val="00AC6A5A"/>
    <w:rsid w:val="00AC6F21"/>
    <w:rsid w:val="00AD3EF1"/>
    <w:rsid w:val="00AD5C0D"/>
    <w:rsid w:val="00AD65F9"/>
    <w:rsid w:val="00AE27F0"/>
    <w:rsid w:val="00AE4A5E"/>
    <w:rsid w:val="00AE4B8A"/>
    <w:rsid w:val="00AE683F"/>
    <w:rsid w:val="00AF3181"/>
    <w:rsid w:val="00AF4443"/>
    <w:rsid w:val="00AF5C7B"/>
    <w:rsid w:val="00AF5FF3"/>
    <w:rsid w:val="00B02AD3"/>
    <w:rsid w:val="00B0654D"/>
    <w:rsid w:val="00B10C63"/>
    <w:rsid w:val="00B13D02"/>
    <w:rsid w:val="00B15B0A"/>
    <w:rsid w:val="00B177E6"/>
    <w:rsid w:val="00B201A8"/>
    <w:rsid w:val="00B2271C"/>
    <w:rsid w:val="00B2465B"/>
    <w:rsid w:val="00B248C0"/>
    <w:rsid w:val="00B26302"/>
    <w:rsid w:val="00B27931"/>
    <w:rsid w:val="00B35DA7"/>
    <w:rsid w:val="00B35DC1"/>
    <w:rsid w:val="00B35FC0"/>
    <w:rsid w:val="00B36CF8"/>
    <w:rsid w:val="00B40129"/>
    <w:rsid w:val="00B44499"/>
    <w:rsid w:val="00B449F2"/>
    <w:rsid w:val="00B46AFC"/>
    <w:rsid w:val="00B474ED"/>
    <w:rsid w:val="00B5067C"/>
    <w:rsid w:val="00B507EF"/>
    <w:rsid w:val="00B53788"/>
    <w:rsid w:val="00B54A03"/>
    <w:rsid w:val="00B5759F"/>
    <w:rsid w:val="00B62ADC"/>
    <w:rsid w:val="00B63602"/>
    <w:rsid w:val="00B656E4"/>
    <w:rsid w:val="00B65951"/>
    <w:rsid w:val="00B65E8C"/>
    <w:rsid w:val="00B70ECB"/>
    <w:rsid w:val="00B725C8"/>
    <w:rsid w:val="00B737EB"/>
    <w:rsid w:val="00B7414A"/>
    <w:rsid w:val="00B74198"/>
    <w:rsid w:val="00B77129"/>
    <w:rsid w:val="00B831D2"/>
    <w:rsid w:val="00B84285"/>
    <w:rsid w:val="00B91C76"/>
    <w:rsid w:val="00B92783"/>
    <w:rsid w:val="00B93060"/>
    <w:rsid w:val="00B95CEF"/>
    <w:rsid w:val="00B962CB"/>
    <w:rsid w:val="00BA06C8"/>
    <w:rsid w:val="00BA3811"/>
    <w:rsid w:val="00BA3C0F"/>
    <w:rsid w:val="00BA5E99"/>
    <w:rsid w:val="00BB1124"/>
    <w:rsid w:val="00BB2AE4"/>
    <w:rsid w:val="00BB31E0"/>
    <w:rsid w:val="00BB365D"/>
    <w:rsid w:val="00BC1043"/>
    <w:rsid w:val="00BC55F0"/>
    <w:rsid w:val="00BC62DD"/>
    <w:rsid w:val="00BC683F"/>
    <w:rsid w:val="00BC7583"/>
    <w:rsid w:val="00BD2733"/>
    <w:rsid w:val="00BD3831"/>
    <w:rsid w:val="00BD50CD"/>
    <w:rsid w:val="00BD7D3E"/>
    <w:rsid w:val="00BE2267"/>
    <w:rsid w:val="00BE305C"/>
    <w:rsid w:val="00BE52A8"/>
    <w:rsid w:val="00BF0D89"/>
    <w:rsid w:val="00BF23BC"/>
    <w:rsid w:val="00BF42E6"/>
    <w:rsid w:val="00BF47E6"/>
    <w:rsid w:val="00BF4CE7"/>
    <w:rsid w:val="00BF6EBF"/>
    <w:rsid w:val="00C026DB"/>
    <w:rsid w:val="00C10770"/>
    <w:rsid w:val="00C12474"/>
    <w:rsid w:val="00C15D9B"/>
    <w:rsid w:val="00C172EC"/>
    <w:rsid w:val="00C203C1"/>
    <w:rsid w:val="00C20ECD"/>
    <w:rsid w:val="00C22D97"/>
    <w:rsid w:val="00C26118"/>
    <w:rsid w:val="00C26455"/>
    <w:rsid w:val="00C272FA"/>
    <w:rsid w:val="00C304DC"/>
    <w:rsid w:val="00C30BCF"/>
    <w:rsid w:val="00C32469"/>
    <w:rsid w:val="00C361C2"/>
    <w:rsid w:val="00C411E9"/>
    <w:rsid w:val="00C42F4A"/>
    <w:rsid w:val="00C43F6C"/>
    <w:rsid w:val="00C45551"/>
    <w:rsid w:val="00C45C95"/>
    <w:rsid w:val="00C45CC1"/>
    <w:rsid w:val="00C52673"/>
    <w:rsid w:val="00C54A8D"/>
    <w:rsid w:val="00C552B3"/>
    <w:rsid w:val="00C60CB0"/>
    <w:rsid w:val="00C63959"/>
    <w:rsid w:val="00C64E5B"/>
    <w:rsid w:val="00C655FD"/>
    <w:rsid w:val="00C7131C"/>
    <w:rsid w:val="00C72621"/>
    <w:rsid w:val="00C739CB"/>
    <w:rsid w:val="00C74B40"/>
    <w:rsid w:val="00C75825"/>
    <w:rsid w:val="00C806F3"/>
    <w:rsid w:val="00C83A31"/>
    <w:rsid w:val="00C90301"/>
    <w:rsid w:val="00C9230E"/>
    <w:rsid w:val="00C966EB"/>
    <w:rsid w:val="00CA16D4"/>
    <w:rsid w:val="00CA1D72"/>
    <w:rsid w:val="00CA5A8E"/>
    <w:rsid w:val="00CA5D3F"/>
    <w:rsid w:val="00CA7DE1"/>
    <w:rsid w:val="00CB1EEF"/>
    <w:rsid w:val="00CB65C2"/>
    <w:rsid w:val="00CB714E"/>
    <w:rsid w:val="00CB7321"/>
    <w:rsid w:val="00CC4202"/>
    <w:rsid w:val="00CC7197"/>
    <w:rsid w:val="00CD6F34"/>
    <w:rsid w:val="00CD6F84"/>
    <w:rsid w:val="00CD7926"/>
    <w:rsid w:val="00CE06B5"/>
    <w:rsid w:val="00CE187E"/>
    <w:rsid w:val="00CE4666"/>
    <w:rsid w:val="00CF168E"/>
    <w:rsid w:val="00CF6263"/>
    <w:rsid w:val="00CF655C"/>
    <w:rsid w:val="00CF6E4E"/>
    <w:rsid w:val="00CF78AE"/>
    <w:rsid w:val="00CF7E1A"/>
    <w:rsid w:val="00D009A9"/>
    <w:rsid w:val="00D02DB0"/>
    <w:rsid w:val="00D04034"/>
    <w:rsid w:val="00D0464E"/>
    <w:rsid w:val="00D16003"/>
    <w:rsid w:val="00D16A2C"/>
    <w:rsid w:val="00D22908"/>
    <w:rsid w:val="00D25A5A"/>
    <w:rsid w:val="00D26BCB"/>
    <w:rsid w:val="00D303BD"/>
    <w:rsid w:val="00D3327C"/>
    <w:rsid w:val="00D35AEB"/>
    <w:rsid w:val="00D41A0B"/>
    <w:rsid w:val="00D45335"/>
    <w:rsid w:val="00D477B7"/>
    <w:rsid w:val="00D5320B"/>
    <w:rsid w:val="00D533FC"/>
    <w:rsid w:val="00D53828"/>
    <w:rsid w:val="00D54C7C"/>
    <w:rsid w:val="00D5530A"/>
    <w:rsid w:val="00D57451"/>
    <w:rsid w:val="00D60205"/>
    <w:rsid w:val="00D6169D"/>
    <w:rsid w:val="00D632D5"/>
    <w:rsid w:val="00D665D6"/>
    <w:rsid w:val="00D703F6"/>
    <w:rsid w:val="00D7179B"/>
    <w:rsid w:val="00D74A02"/>
    <w:rsid w:val="00D77CF0"/>
    <w:rsid w:val="00D823E5"/>
    <w:rsid w:val="00D82839"/>
    <w:rsid w:val="00D843DF"/>
    <w:rsid w:val="00D848CD"/>
    <w:rsid w:val="00D938D4"/>
    <w:rsid w:val="00DA06D9"/>
    <w:rsid w:val="00DA37BA"/>
    <w:rsid w:val="00DA6C26"/>
    <w:rsid w:val="00DA7735"/>
    <w:rsid w:val="00DA7B86"/>
    <w:rsid w:val="00DB2A59"/>
    <w:rsid w:val="00DB3BE1"/>
    <w:rsid w:val="00DB3F89"/>
    <w:rsid w:val="00DB7792"/>
    <w:rsid w:val="00DC26A9"/>
    <w:rsid w:val="00DC3434"/>
    <w:rsid w:val="00DC39F7"/>
    <w:rsid w:val="00DD28AD"/>
    <w:rsid w:val="00DD2AF9"/>
    <w:rsid w:val="00DE4B7D"/>
    <w:rsid w:val="00DE583E"/>
    <w:rsid w:val="00DE5E06"/>
    <w:rsid w:val="00DE601A"/>
    <w:rsid w:val="00DF618F"/>
    <w:rsid w:val="00DF7BD8"/>
    <w:rsid w:val="00E00164"/>
    <w:rsid w:val="00E05FAF"/>
    <w:rsid w:val="00E10801"/>
    <w:rsid w:val="00E11FE5"/>
    <w:rsid w:val="00E1569D"/>
    <w:rsid w:val="00E15DCE"/>
    <w:rsid w:val="00E214A6"/>
    <w:rsid w:val="00E2429D"/>
    <w:rsid w:val="00E246D6"/>
    <w:rsid w:val="00E24D9F"/>
    <w:rsid w:val="00E260BB"/>
    <w:rsid w:val="00E26184"/>
    <w:rsid w:val="00E27998"/>
    <w:rsid w:val="00E3092F"/>
    <w:rsid w:val="00E30CE6"/>
    <w:rsid w:val="00E407FE"/>
    <w:rsid w:val="00E52F5D"/>
    <w:rsid w:val="00E53753"/>
    <w:rsid w:val="00E539DA"/>
    <w:rsid w:val="00E54ADD"/>
    <w:rsid w:val="00E56ABD"/>
    <w:rsid w:val="00E57B4D"/>
    <w:rsid w:val="00E64324"/>
    <w:rsid w:val="00E64C62"/>
    <w:rsid w:val="00E71475"/>
    <w:rsid w:val="00E73EAC"/>
    <w:rsid w:val="00E74195"/>
    <w:rsid w:val="00E76518"/>
    <w:rsid w:val="00E7730A"/>
    <w:rsid w:val="00E77E5E"/>
    <w:rsid w:val="00E8020E"/>
    <w:rsid w:val="00E9200B"/>
    <w:rsid w:val="00E941FB"/>
    <w:rsid w:val="00EA018F"/>
    <w:rsid w:val="00EB0E78"/>
    <w:rsid w:val="00EB53DE"/>
    <w:rsid w:val="00EB76A3"/>
    <w:rsid w:val="00EB7D75"/>
    <w:rsid w:val="00EC6239"/>
    <w:rsid w:val="00ED18D8"/>
    <w:rsid w:val="00ED18DE"/>
    <w:rsid w:val="00ED191C"/>
    <w:rsid w:val="00ED3BAF"/>
    <w:rsid w:val="00ED57E0"/>
    <w:rsid w:val="00ED7338"/>
    <w:rsid w:val="00EE00ED"/>
    <w:rsid w:val="00EE0F3D"/>
    <w:rsid w:val="00EE12CB"/>
    <w:rsid w:val="00EE27E2"/>
    <w:rsid w:val="00EE3137"/>
    <w:rsid w:val="00EF3292"/>
    <w:rsid w:val="00EF3956"/>
    <w:rsid w:val="00EF3B03"/>
    <w:rsid w:val="00EF4C94"/>
    <w:rsid w:val="00F00432"/>
    <w:rsid w:val="00F00576"/>
    <w:rsid w:val="00F0430A"/>
    <w:rsid w:val="00F058CD"/>
    <w:rsid w:val="00F0684E"/>
    <w:rsid w:val="00F06970"/>
    <w:rsid w:val="00F0761E"/>
    <w:rsid w:val="00F13537"/>
    <w:rsid w:val="00F155B9"/>
    <w:rsid w:val="00F17BB2"/>
    <w:rsid w:val="00F22AC6"/>
    <w:rsid w:val="00F30D38"/>
    <w:rsid w:val="00F3121A"/>
    <w:rsid w:val="00F33236"/>
    <w:rsid w:val="00F337A9"/>
    <w:rsid w:val="00F36EC8"/>
    <w:rsid w:val="00F373BB"/>
    <w:rsid w:val="00F4085B"/>
    <w:rsid w:val="00F40C77"/>
    <w:rsid w:val="00F426D0"/>
    <w:rsid w:val="00F429BF"/>
    <w:rsid w:val="00F42B5B"/>
    <w:rsid w:val="00F43210"/>
    <w:rsid w:val="00F43BF4"/>
    <w:rsid w:val="00F476A2"/>
    <w:rsid w:val="00F517EE"/>
    <w:rsid w:val="00F52617"/>
    <w:rsid w:val="00F527BA"/>
    <w:rsid w:val="00F52C46"/>
    <w:rsid w:val="00F572DD"/>
    <w:rsid w:val="00F579F1"/>
    <w:rsid w:val="00F60CED"/>
    <w:rsid w:val="00F61253"/>
    <w:rsid w:val="00F623E5"/>
    <w:rsid w:val="00F70354"/>
    <w:rsid w:val="00F717C0"/>
    <w:rsid w:val="00F71ADC"/>
    <w:rsid w:val="00F73A8B"/>
    <w:rsid w:val="00F73D53"/>
    <w:rsid w:val="00F73F1D"/>
    <w:rsid w:val="00F74EE9"/>
    <w:rsid w:val="00F774B5"/>
    <w:rsid w:val="00F77905"/>
    <w:rsid w:val="00F80587"/>
    <w:rsid w:val="00F80E6F"/>
    <w:rsid w:val="00F83B32"/>
    <w:rsid w:val="00F848F4"/>
    <w:rsid w:val="00F904F5"/>
    <w:rsid w:val="00F912FF"/>
    <w:rsid w:val="00F91E4B"/>
    <w:rsid w:val="00F93C69"/>
    <w:rsid w:val="00F9611C"/>
    <w:rsid w:val="00FA09F6"/>
    <w:rsid w:val="00FA2E2C"/>
    <w:rsid w:val="00FA719B"/>
    <w:rsid w:val="00FA75C1"/>
    <w:rsid w:val="00FB15C5"/>
    <w:rsid w:val="00FB1B21"/>
    <w:rsid w:val="00FB31D1"/>
    <w:rsid w:val="00FC2E4A"/>
    <w:rsid w:val="00FC48BB"/>
    <w:rsid w:val="00FC57D3"/>
    <w:rsid w:val="00FC6802"/>
    <w:rsid w:val="00FD031D"/>
    <w:rsid w:val="00FD136C"/>
    <w:rsid w:val="00FD2492"/>
    <w:rsid w:val="00FD46D0"/>
    <w:rsid w:val="00FD4952"/>
    <w:rsid w:val="00FD6208"/>
    <w:rsid w:val="00FE18C0"/>
    <w:rsid w:val="00FE4E9C"/>
    <w:rsid w:val="00FE5527"/>
    <w:rsid w:val="00FE56C3"/>
    <w:rsid w:val="00FF3C03"/>
    <w:rsid w:val="00FF4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3E21"/>
  <w15:docId w15:val="{3B05D03D-9AA3-45FE-A6C3-FB144C0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D"/>
    <w:pPr>
      <w:suppressAutoHyphens/>
    </w:pPr>
    <w:rPr>
      <w:rFonts w:ascii="Palatino Linotype" w:eastAsia="Palatino Linotype" w:hAnsi="Palatino Linotype" w:cs="Palatino Linotype"/>
    </w:rPr>
  </w:style>
  <w:style w:type="paragraph" w:styleId="Heading3">
    <w:name w:val="heading 3"/>
    <w:basedOn w:val="Normal"/>
    <w:next w:val="Normal"/>
    <w:link w:val="Heading3Char"/>
    <w:qFormat/>
    <w:rsid w:val="0028345D"/>
    <w:pPr>
      <w:keepNext/>
      <w:widowControl/>
      <w:suppressAutoHyphens w:val="0"/>
      <w:autoSpaceDE/>
      <w:autoSpaceDN/>
      <w:outlineLvl w:val="2"/>
    </w:pPr>
    <w:rPr>
      <w:rFonts w:ascii="CG Omega" w:eastAsia="Times New Roman" w:hAnsi="CG Omega"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szCs w:val="12"/>
    </w:rPr>
  </w:style>
  <w:style w:type="paragraph" w:styleId="Title">
    <w:name w:val="Title"/>
    <w:basedOn w:val="Normal"/>
    <w:uiPriority w:val="10"/>
    <w:qFormat/>
    <w:pPr>
      <w:spacing w:before="68"/>
      <w:ind w:left="1130"/>
    </w:pPr>
    <w:rPr>
      <w:rFonts w:ascii="Tahoma" w:eastAsia="Tahoma" w:hAnsi="Tahoma" w:cs="Tahoma"/>
      <w:b/>
      <w:bCs/>
      <w:sz w:val="18"/>
      <w:szCs w:val="18"/>
    </w:rPr>
  </w:style>
  <w:style w:type="paragraph" w:styleId="ListParagraph">
    <w:name w:val="List Paragraph"/>
    <w:basedOn w:val="Normal"/>
    <w:uiPriority w:val="34"/>
    <w:qFormat/>
  </w:style>
  <w:style w:type="paragraph" w:customStyle="1" w:styleId="TableParagraph">
    <w:name w:val="Table Paragraph"/>
    <w:basedOn w:val="Normal"/>
    <w:rPr>
      <w:rFonts w:ascii="Times New Roman" w:eastAsia="Times New Roman" w:hAnsi="Times New Roman" w:cs="Times New Roman"/>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Palatino Linotype" w:eastAsia="Palatino Linotype" w:hAnsi="Palatino Linotype" w:cs="Palatino Linotyp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Palatino Linotype" w:eastAsia="Palatino Linotype" w:hAnsi="Palatino Linotype" w:cs="Palatino Linotype"/>
    </w:rPr>
  </w:style>
  <w:style w:type="character" w:customStyle="1" w:styleId="BodyTextChar">
    <w:name w:val="Body Text Char"/>
    <w:basedOn w:val="DefaultParagraphFont"/>
    <w:rPr>
      <w:rFonts w:ascii="Palatino Linotype" w:eastAsia="Palatino Linotype" w:hAnsi="Palatino Linotype" w:cs="Palatino Linotype"/>
      <w:sz w:val="12"/>
      <w:szCs w:val="12"/>
    </w:rPr>
  </w:style>
  <w:style w:type="character" w:customStyle="1" w:styleId="TitleChar">
    <w:name w:val="Title Char"/>
    <w:basedOn w:val="DefaultParagraphFont"/>
    <w:uiPriority w:val="10"/>
    <w:rPr>
      <w:rFonts w:ascii="Tahoma" w:eastAsia="Tahoma" w:hAnsi="Tahoma" w:cs="Tahoma"/>
      <w:b/>
      <w:bCs/>
      <w:sz w:val="18"/>
      <w:szCs w:val="18"/>
    </w:rPr>
  </w:style>
  <w:style w:type="character" w:customStyle="1" w:styleId="Heading3Char">
    <w:name w:val="Heading 3 Char"/>
    <w:basedOn w:val="DefaultParagraphFont"/>
    <w:link w:val="Heading3"/>
    <w:rsid w:val="0028345D"/>
    <w:rPr>
      <w:rFonts w:ascii="CG Omega" w:eastAsia="Times New Roman" w:hAnsi="CG Omega" w:cs="Times New Roman"/>
      <w:b/>
      <w:sz w:val="24"/>
      <w:szCs w:val="20"/>
      <w:lang w:val="en-GB"/>
    </w:rPr>
  </w:style>
  <w:style w:type="character" w:styleId="Hyperlink">
    <w:name w:val="Hyperlink"/>
    <w:basedOn w:val="DefaultParagraphFont"/>
    <w:uiPriority w:val="99"/>
    <w:unhideWhenUsed/>
    <w:rsid w:val="0028345D"/>
    <w:rPr>
      <w:color w:val="467886" w:themeColor="hyperlink"/>
      <w:u w:val="single"/>
    </w:rPr>
  </w:style>
  <w:style w:type="paragraph" w:styleId="FootnoteText">
    <w:name w:val="footnote text"/>
    <w:basedOn w:val="Normal"/>
    <w:link w:val="FootnoteTextChar"/>
    <w:uiPriority w:val="99"/>
    <w:unhideWhenUsed/>
    <w:rsid w:val="005D12BD"/>
    <w:pPr>
      <w:widowControl/>
      <w:autoSpaceDE/>
      <w:autoSpaceDN/>
    </w:pPr>
    <w:rPr>
      <w:rFonts w:ascii="Tahoma" w:eastAsia="Times New Roman" w:hAnsi="Tahoma" w:cs="Tahoma"/>
      <w:color w:val="800000"/>
      <w:sz w:val="20"/>
      <w:szCs w:val="20"/>
      <w:lang w:bidi="en-US"/>
    </w:rPr>
  </w:style>
  <w:style w:type="character" w:customStyle="1" w:styleId="FootnoteTextChar">
    <w:name w:val="Footnote Text Char"/>
    <w:basedOn w:val="DefaultParagraphFont"/>
    <w:link w:val="FootnoteText"/>
    <w:uiPriority w:val="99"/>
    <w:rsid w:val="005D12BD"/>
    <w:rPr>
      <w:rFonts w:ascii="Tahoma" w:eastAsia="Times New Roman" w:hAnsi="Tahoma" w:cs="Tahoma"/>
      <w:color w:val="800000"/>
      <w:sz w:val="20"/>
      <w:szCs w:val="20"/>
      <w:lang w:bidi="en-US"/>
    </w:rPr>
  </w:style>
  <w:style w:type="character" w:styleId="FootnoteReference">
    <w:name w:val="footnote reference"/>
    <w:uiPriority w:val="99"/>
    <w:unhideWhenUsed/>
    <w:rsid w:val="005D12BD"/>
    <w:rPr>
      <w:vertAlign w:val="superscript"/>
    </w:rPr>
  </w:style>
  <w:style w:type="table" w:styleId="TableGrid">
    <w:name w:val="Table Grid"/>
    <w:basedOn w:val="TableNormal"/>
    <w:uiPriority w:val="39"/>
    <w:rsid w:val="005E58D7"/>
    <w:pPr>
      <w:widowControl/>
      <w:suppressAutoHyphens/>
      <w:autoSpaceDE/>
      <w:autoSpaceDN/>
    </w:pPr>
    <w:rPr>
      <w:rFonts w:ascii="Tahoma" w:eastAsia="Times New Roman" w:hAnsi="Tahoma" w:cs="Tahoma"/>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4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info@hbf.co.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iodiversity-units.uk/?gad_source=1&amp;gad_campaignid=21833895086&amp;gbraid=0AAAAAqYL9kgGa_Zo_uWIPjkz-3XTq7THB&amp;gclid=EAIaIQobChMIxMWq-tSekQMV24pQBh0tmgMfEAAYASAAEgJws_D_Bw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eaa070a7ccaa9c3973c608e2e51349ff">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8f2a6c3626e9a5f922790ed30f5754dd"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Props1.xml><?xml version="1.0" encoding="utf-8"?>
<ds:datastoreItem xmlns:ds="http://schemas.openxmlformats.org/officeDocument/2006/customXml" ds:itemID="{C2F10FDA-C4BE-4E27-B049-6538676F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D4445-F5BA-4CEE-B9F5-1409A6FA651A}">
  <ds:schemaRefs>
    <ds:schemaRef ds:uri="http://schemas.openxmlformats.org/officeDocument/2006/bibliography"/>
  </ds:schemaRefs>
</ds:datastoreItem>
</file>

<file path=customXml/itemProps3.xml><?xml version="1.0" encoding="utf-8"?>
<ds:datastoreItem xmlns:ds="http://schemas.openxmlformats.org/officeDocument/2006/customXml" ds:itemID="{AD26CD54-8697-499A-A9B3-EEE529F89003}">
  <ds:schemaRefs>
    <ds:schemaRef ds:uri="http://schemas.microsoft.com/sharepoint/v3/contenttype/forms"/>
  </ds:schemaRefs>
</ds:datastoreItem>
</file>

<file path=customXml/itemProps4.xml><?xml version="1.0" encoding="utf-8"?>
<ds:datastoreItem xmlns:ds="http://schemas.openxmlformats.org/officeDocument/2006/customXml" ds:itemID="{50443463-5719-4AD6-972E-563CDF6B8828}">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13</Pages>
  <Words>6579</Words>
  <Characters>33096</Characters>
  <Application>Microsoft Office Word</Application>
  <DocSecurity>0</DocSecurity>
  <Lines>689</Lines>
  <Paragraphs>264</Paragraphs>
  <ScaleCrop>false</ScaleCrop>
  <Company/>
  <LinksUpToDate>false</LinksUpToDate>
  <CharactersWithSpaces>39411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Calder</dc:creator>
  <cp:lastModifiedBy>Mark Behrendt</cp:lastModifiedBy>
  <cp:revision>918</cp:revision>
  <dcterms:created xsi:type="dcterms:W3CDTF">2025-11-27T11:26:00Z</dcterms:created>
  <dcterms:modified xsi:type="dcterms:W3CDTF">2025-12-02T11:08:00Z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InDesign 20.1 (Windows)</vt:lpwstr>
  </property>
  <property fmtid="{D5CDD505-2E9C-101B-9397-08002B2CF9AE}" pid="4" name="LastSaved">
    <vt:filetime>2025-02-14T00:00:00Z</vt:filetime>
  </property>
  <property fmtid="{D5CDD505-2E9C-101B-9397-08002B2CF9AE}" pid="5" name="Producer">
    <vt:lpwstr>Adobe PDF Library 17.0</vt:lpwstr>
  </property>
  <property fmtid="{D5CDD505-2E9C-101B-9397-08002B2CF9AE}" pid="6" name="ContentTypeId">
    <vt:lpwstr>0x0101005ACEACC4E1CDCF488D376413A381FD22</vt:lpwstr>
  </property>
  <property fmtid="{D5CDD505-2E9C-101B-9397-08002B2CF9AE}" pid="7" name="MediaServiceImageTags">
    <vt:lpwstr/>
  </property>
</Properties>
</file>