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7756" w14:textId="434FAEBC" w:rsidR="0028345D" w:rsidRPr="00C411E9" w:rsidRDefault="0028345D" w:rsidP="0028345D">
      <w:pPr>
        <w:spacing w:line="276" w:lineRule="auto"/>
        <w:rPr>
          <w:rFonts w:ascii="Times New Roman" w:hAnsi="Times New Roman" w:cs="Times New Roman"/>
        </w:rPr>
      </w:pPr>
      <w:r w:rsidRPr="00C411E9">
        <w:rPr>
          <w:rFonts w:ascii="Times New Roman" w:hAnsi="Times New Roman" w:cs="Times New Roman"/>
          <w:highlight w:val="yellow"/>
        </w:rPr>
        <w:t>Address</w:t>
      </w:r>
    </w:p>
    <w:p w14:paraId="4CCF833C" w14:textId="77777777" w:rsidR="0028345D" w:rsidRPr="00C411E9" w:rsidRDefault="0028345D" w:rsidP="0028345D">
      <w:pPr>
        <w:spacing w:line="276" w:lineRule="auto"/>
        <w:jc w:val="right"/>
        <w:rPr>
          <w:rFonts w:ascii="Times New Roman" w:hAnsi="Times New Roman" w:cs="Times New Roman"/>
        </w:rPr>
      </w:pPr>
    </w:p>
    <w:p w14:paraId="716344B2" w14:textId="77777777" w:rsidR="0028345D" w:rsidRPr="00C411E9" w:rsidRDefault="0028345D" w:rsidP="0028345D">
      <w:pPr>
        <w:spacing w:line="276" w:lineRule="auto"/>
        <w:jc w:val="right"/>
        <w:rPr>
          <w:rFonts w:ascii="Times New Roman" w:hAnsi="Times New Roman" w:cs="Times New Roman"/>
        </w:rPr>
      </w:pPr>
    </w:p>
    <w:p w14:paraId="5E7AD8ED" w14:textId="4FEA7A51"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rPr>
        <w:t>SENT BY EMAIL</w:t>
      </w:r>
    </w:p>
    <w:p w14:paraId="29E0D710" w14:textId="77777777"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highlight w:val="yellow"/>
        </w:rPr>
        <w:t>Email</w:t>
      </w:r>
    </w:p>
    <w:p w14:paraId="31A747EC" w14:textId="43B473A4" w:rsidR="0028345D" w:rsidRPr="00C411E9" w:rsidRDefault="0028345D" w:rsidP="0028345D">
      <w:pPr>
        <w:spacing w:line="276" w:lineRule="auto"/>
        <w:ind w:left="720" w:firstLine="720"/>
        <w:jc w:val="right"/>
        <w:rPr>
          <w:rFonts w:ascii="Times New Roman" w:hAnsi="Times New Roman" w:cs="Times New Roman"/>
        </w:rPr>
      </w:pPr>
      <w:r w:rsidRPr="00C411E9">
        <w:rPr>
          <w:rFonts w:ascii="Times New Roman" w:hAnsi="Times New Roman" w:cs="Times New Roman"/>
        </w:rPr>
        <w:t xml:space="preserve"> </w:t>
      </w:r>
      <w:r w:rsidR="00C411E9">
        <w:rPr>
          <w:rFonts w:ascii="Times New Roman" w:hAnsi="Times New Roman" w:cs="Times New Roman"/>
        </w:rPr>
        <w:t>Date</w:t>
      </w:r>
    </w:p>
    <w:p w14:paraId="14FD9C55" w14:textId="77777777" w:rsidR="0028345D" w:rsidRPr="001977B8" w:rsidRDefault="0028345D" w:rsidP="0028345D">
      <w:pPr>
        <w:spacing w:line="276" w:lineRule="auto"/>
        <w:rPr>
          <w:rFonts w:ascii="Arial" w:hAnsi="Arial" w:cs="Arial"/>
        </w:rPr>
      </w:pPr>
    </w:p>
    <w:p w14:paraId="31120CFD" w14:textId="77777777" w:rsidR="00F0430A" w:rsidRDefault="00F0430A" w:rsidP="00F0430A">
      <w:pPr>
        <w:spacing w:after="240" w:line="276" w:lineRule="auto"/>
        <w:rPr>
          <w:rFonts w:ascii="Times New Roman" w:hAnsi="Times New Roman" w:cs="Times New Roman"/>
        </w:rPr>
      </w:pPr>
      <w:r>
        <w:rPr>
          <w:rFonts w:ascii="Times New Roman" w:hAnsi="Times New Roman" w:cs="Times New Roman"/>
        </w:rPr>
        <w:t>Dear Sir/ Madam</w:t>
      </w:r>
    </w:p>
    <w:p w14:paraId="1C89053A" w14:textId="2E67E247" w:rsidR="00F0430A" w:rsidRDefault="00362DA6" w:rsidP="00F0430A">
      <w:pPr>
        <w:pStyle w:val="Heading3"/>
        <w:spacing w:after="240" w:line="276" w:lineRule="auto"/>
        <w:rPr>
          <w:rFonts w:ascii="Arial" w:hAnsi="Arial" w:cs="Arial"/>
          <w:sz w:val="22"/>
          <w:szCs w:val="22"/>
        </w:rPr>
      </w:pPr>
      <w:r>
        <w:rPr>
          <w:rFonts w:ascii="Arial" w:hAnsi="Arial" w:cs="Arial"/>
          <w:sz w:val="22"/>
          <w:szCs w:val="22"/>
        </w:rPr>
        <w:t>WAVER</w:t>
      </w:r>
      <w:r w:rsidR="00151F41">
        <w:rPr>
          <w:rFonts w:ascii="Arial" w:hAnsi="Arial" w:cs="Arial"/>
          <w:sz w:val="22"/>
          <w:szCs w:val="22"/>
        </w:rPr>
        <w:t>LE</w:t>
      </w:r>
      <w:r>
        <w:rPr>
          <w:rFonts w:ascii="Arial" w:hAnsi="Arial" w:cs="Arial"/>
          <w:sz w:val="22"/>
          <w:szCs w:val="22"/>
        </w:rPr>
        <w:t>Y</w:t>
      </w:r>
      <w:r w:rsidR="00F0430A">
        <w:rPr>
          <w:rFonts w:ascii="Arial" w:hAnsi="Arial" w:cs="Arial"/>
          <w:sz w:val="22"/>
          <w:szCs w:val="22"/>
        </w:rPr>
        <w:t xml:space="preserve"> LOCAL PLAN</w:t>
      </w:r>
    </w:p>
    <w:p w14:paraId="4F9A4834" w14:textId="74D33C26"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Thank you for consulting with the Home Builders Federation (HBF) on the </w:t>
      </w:r>
      <w:r w:rsidR="00362DA6">
        <w:rPr>
          <w:rFonts w:ascii="Times New Roman" w:hAnsi="Times New Roman" w:cs="Times New Roman"/>
          <w:bCs/>
        </w:rPr>
        <w:t>Waverley</w:t>
      </w:r>
      <w:r>
        <w:rPr>
          <w:rFonts w:ascii="Times New Roman" w:hAnsi="Times New Roman" w:cs="Times New Roman"/>
          <w:bCs/>
        </w:rPr>
        <w:t xml:space="preserve"> Local Plan.</w:t>
      </w:r>
    </w:p>
    <w:p w14:paraId="678A7AF5" w14:textId="4CE3DD61" w:rsidR="005C76CC" w:rsidRDefault="00F0430A" w:rsidP="00A64E8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is the principal representative body of the house-building industry in England and Wales. Our representations reflect the views of our membership, which include multi-national PLC’s, regional developers and small, local builders. In any one year, our members account for over 80% of all new “for sale” market housing built in England and Wales as well as a large proportion of newly built affordable housing. </w:t>
      </w:r>
    </w:p>
    <w:p w14:paraId="4EE74EAC" w14:textId="4D6279E4" w:rsidR="008843AD" w:rsidRPr="002C658C" w:rsidRDefault="008843AD" w:rsidP="002C658C">
      <w:pPr>
        <w:spacing w:after="240" w:line="360" w:lineRule="auto"/>
        <w:rPr>
          <w:rFonts w:ascii="Arial" w:hAnsi="Arial" w:cs="Arial"/>
          <w:b/>
        </w:rPr>
      </w:pPr>
      <w:r w:rsidRPr="002C658C">
        <w:rPr>
          <w:rFonts w:ascii="Arial" w:hAnsi="Arial" w:cs="Arial"/>
          <w:b/>
        </w:rPr>
        <w:t>Plan period</w:t>
      </w:r>
    </w:p>
    <w:p w14:paraId="35C600C6" w14:textId="10DC180E" w:rsidR="008843AD" w:rsidRDefault="00904A4C" w:rsidP="00A64E8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 Council are proposing a plan period to run from 2023</w:t>
      </w:r>
      <w:r w:rsidR="00843DA9">
        <w:rPr>
          <w:rFonts w:ascii="Times New Roman" w:hAnsi="Times New Roman" w:cs="Times New Roman"/>
          <w:bCs/>
        </w:rPr>
        <w:t xml:space="preserve"> </w:t>
      </w:r>
      <w:r>
        <w:rPr>
          <w:rFonts w:ascii="Times New Roman" w:hAnsi="Times New Roman" w:cs="Times New Roman"/>
          <w:bCs/>
        </w:rPr>
        <w:t>to 20</w:t>
      </w:r>
      <w:r w:rsidR="00371FA6">
        <w:rPr>
          <w:rFonts w:ascii="Times New Roman" w:hAnsi="Times New Roman" w:cs="Times New Roman"/>
          <w:bCs/>
        </w:rPr>
        <w:t>43</w:t>
      </w:r>
      <w:r>
        <w:rPr>
          <w:rFonts w:ascii="Times New Roman" w:hAnsi="Times New Roman" w:cs="Times New Roman"/>
          <w:bCs/>
        </w:rPr>
        <w:t xml:space="preserve">. As the Council will be aware </w:t>
      </w:r>
      <w:r w:rsidR="00BF09B7">
        <w:rPr>
          <w:rFonts w:ascii="Times New Roman" w:hAnsi="Times New Roman" w:cs="Times New Roman"/>
          <w:bCs/>
        </w:rPr>
        <w:t xml:space="preserve">paragraph 22 of the NPPF requires strategic </w:t>
      </w:r>
      <w:r w:rsidR="003D6D6E">
        <w:rPr>
          <w:rFonts w:ascii="Times New Roman" w:hAnsi="Times New Roman" w:cs="Times New Roman"/>
          <w:bCs/>
        </w:rPr>
        <w:t>policies</w:t>
      </w:r>
      <w:r w:rsidR="00BF09B7">
        <w:rPr>
          <w:rFonts w:ascii="Times New Roman" w:hAnsi="Times New Roman" w:cs="Times New Roman"/>
          <w:bCs/>
        </w:rPr>
        <w:t xml:space="preserve"> in local plans to look ahead </w:t>
      </w:r>
      <w:r w:rsidR="003D6D6E">
        <w:rPr>
          <w:rFonts w:ascii="Times New Roman" w:hAnsi="Times New Roman" w:cs="Times New Roman"/>
          <w:bCs/>
        </w:rPr>
        <w:t xml:space="preserve">over a minimum of 15 years. If the local plan is adopted in </w:t>
      </w:r>
      <w:r w:rsidR="006335DB">
        <w:rPr>
          <w:rFonts w:ascii="Times New Roman" w:hAnsi="Times New Roman" w:cs="Times New Roman"/>
          <w:bCs/>
        </w:rPr>
        <w:t xml:space="preserve">July 2028 as is suggested in Table of the consultation document, then the local plan will look ahead for less than 15 years. </w:t>
      </w:r>
      <w:r w:rsidR="006A2B42">
        <w:rPr>
          <w:rFonts w:ascii="Times New Roman" w:hAnsi="Times New Roman" w:cs="Times New Roman"/>
          <w:bCs/>
        </w:rPr>
        <w:t>However,</w:t>
      </w:r>
      <w:r w:rsidR="00CF0FF4">
        <w:rPr>
          <w:rFonts w:ascii="Times New Roman" w:hAnsi="Times New Roman" w:cs="Times New Roman"/>
          <w:bCs/>
        </w:rPr>
        <w:t xml:space="preserve"> there is a risk that this plan period post adoption will be shorter</w:t>
      </w:r>
      <w:r w:rsidR="007B1FE1">
        <w:rPr>
          <w:rFonts w:ascii="Times New Roman" w:hAnsi="Times New Roman" w:cs="Times New Roman"/>
          <w:bCs/>
        </w:rPr>
        <w:t xml:space="preserve"> on the basis that </w:t>
      </w:r>
      <w:r w:rsidR="006A2B42">
        <w:rPr>
          <w:rFonts w:ascii="Times New Roman" w:hAnsi="Times New Roman" w:cs="Times New Roman"/>
          <w:bCs/>
        </w:rPr>
        <w:t>the</w:t>
      </w:r>
      <w:r w:rsidR="002B344B">
        <w:rPr>
          <w:rFonts w:ascii="Times New Roman" w:hAnsi="Times New Roman" w:cs="Times New Roman"/>
          <w:bCs/>
        </w:rPr>
        <w:t xml:space="preserve"> adoption date</w:t>
      </w:r>
      <w:r w:rsidR="00483616">
        <w:rPr>
          <w:rFonts w:ascii="Times New Roman" w:hAnsi="Times New Roman" w:cs="Times New Roman"/>
          <w:bCs/>
        </w:rPr>
        <w:t xml:space="preserve"> of July 2028</w:t>
      </w:r>
      <w:r w:rsidR="00604745">
        <w:rPr>
          <w:rFonts w:ascii="Times New Roman" w:hAnsi="Times New Roman" w:cs="Times New Roman"/>
          <w:bCs/>
        </w:rPr>
        <w:t xml:space="preserve"> </w:t>
      </w:r>
      <w:r w:rsidR="007B1FE1">
        <w:rPr>
          <w:rFonts w:ascii="Times New Roman" w:hAnsi="Times New Roman" w:cs="Times New Roman"/>
          <w:bCs/>
        </w:rPr>
        <w:t>is ambitious</w:t>
      </w:r>
      <w:r w:rsidR="006A2B42">
        <w:rPr>
          <w:rFonts w:ascii="Times New Roman" w:hAnsi="Times New Roman" w:cs="Times New Roman"/>
          <w:bCs/>
        </w:rPr>
        <w:t xml:space="preserve"> given submission is scheduled for December 2027.</w:t>
      </w:r>
      <w:r w:rsidR="00536E87">
        <w:rPr>
          <w:rFonts w:ascii="Times New Roman" w:hAnsi="Times New Roman" w:cs="Times New Roman"/>
          <w:bCs/>
        </w:rPr>
        <w:t xml:space="preserve"> In our experience</w:t>
      </w:r>
      <w:r w:rsidR="005A00D0">
        <w:rPr>
          <w:rFonts w:ascii="Times New Roman" w:hAnsi="Times New Roman" w:cs="Times New Roman"/>
          <w:bCs/>
        </w:rPr>
        <w:t xml:space="preserve"> submission to adoption takes at least 12 months</w:t>
      </w:r>
      <w:r w:rsidR="003464AD">
        <w:rPr>
          <w:rFonts w:ascii="Times New Roman" w:hAnsi="Times New Roman" w:cs="Times New Roman"/>
          <w:bCs/>
        </w:rPr>
        <w:t>. This means that</w:t>
      </w:r>
      <w:r w:rsidR="00D02393">
        <w:rPr>
          <w:rFonts w:ascii="Times New Roman" w:hAnsi="Times New Roman" w:cs="Times New Roman"/>
          <w:bCs/>
        </w:rPr>
        <w:t xml:space="preserve"> at best</w:t>
      </w:r>
      <w:r w:rsidR="00480D36">
        <w:rPr>
          <w:rFonts w:ascii="Times New Roman" w:hAnsi="Times New Roman" w:cs="Times New Roman"/>
          <w:bCs/>
        </w:rPr>
        <w:t xml:space="preserve"> </w:t>
      </w:r>
      <w:r w:rsidR="00483616">
        <w:rPr>
          <w:rFonts w:ascii="Times New Roman" w:hAnsi="Times New Roman" w:cs="Times New Roman"/>
          <w:bCs/>
        </w:rPr>
        <w:t>adoption</w:t>
      </w:r>
      <w:r w:rsidR="003464AD">
        <w:rPr>
          <w:rFonts w:ascii="Times New Roman" w:hAnsi="Times New Roman" w:cs="Times New Roman"/>
          <w:bCs/>
        </w:rPr>
        <w:t xml:space="preserve"> is</w:t>
      </w:r>
      <w:r w:rsidR="00480D36">
        <w:rPr>
          <w:rFonts w:ascii="Times New Roman" w:hAnsi="Times New Roman" w:cs="Times New Roman"/>
          <w:bCs/>
        </w:rPr>
        <w:t xml:space="preserve"> more likely to be January 2029</w:t>
      </w:r>
      <w:r w:rsidR="003464AD">
        <w:rPr>
          <w:rFonts w:ascii="Times New Roman" w:hAnsi="Times New Roman" w:cs="Times New Roman"/>
          <w:bCs/>
        </w:rPr>
        <w:t>,</w:t>
      </w:r>
      <w:r w:rsidR="00483616">
        <w:rPr>
          <w:rFonts w:ascii="Times New Roman" w:hAnsi="Times New Roman" w:cs="Times New Roman"/>
          <w:bCs/>
        </w:rPr>
        <w:t xml:space="preserve"> if submitted to the suggested timescale</w:t>
      </w:r>
      <w:r w:rsidR="00D02393">
        <w:rPr>
          <w:rFonts w:ascii="Times New Roman" w:hAnsi="Times New Roman" w:cs="Times New Roman"/>
          <w:bCs/>
        </w:rPr>
        <w:t>.</w:t>
      </w:r>
      <w:r w:rsidR="00536E87">
        <w:rPr>
          <w:rFonts w:ascii="Times New Roman" w:hAnsi="Times New Roman" w:cs="Times New Roman"/>
          <w:bCs/>
        </w:rPr>
        <w:t xml:space="preserve"> </w:t>
      </w:r>
      <w:r w:rsidR="006A2B42">
        <w:rPr>
          <w:rFonts w:ascii="Times New Roman" w:hAnsi="Times New Roman" w:cs="Times New Roman"/>
          <w:bCs/>
        </w:rPr>
        <w:t xml:space="preserve"> </w:t>
      </w:r>
      <w:r w:rsidR="006335DB">
        <w:rPr>
          <w:rFonts w:ascii="Times New Roman" w:hAnsi="Times New Roman" w:cs="Times New Roman"/>
          <w:bCs/>
        </w:rPr>
        <w:t>The Council should therefore extend the plan period to 20</w:t>
      </w:r>
      <w:r w:rsidR="00371FA6">
        <w:rPr>
          <w:rFonts w:ascii="Times New Roman" w:hAnsi="Times New Roman" w:cs="Times New Roman"/>
          <w:bCs/>
        </w:rPr>
        <w:t>45 to ensure there will be 15 years left on the plan period post adoption</w:t>
      </w:r>
      <w:r w:rsidR="006335DB">
        <w:rPr>
          <w:rFonts w:ascii="Times New Roman" w:hAnsi="Times New Roman" w:cs="Times New Roman"/>
          <w:bCs/>
        </w:rPr>
        <w:t xml:space="preserve">. </w:t>
      </w:r>
      <w:r w:rsidR="000E1F0D">
        <w:rPr>
          <w:rFonts w:ascii="Times New Roman" w:hAnsi="Times New Roman" w:cs="Times New Roman"/>
          <w:bCs/>
        </w:rPr>
        <w:t xml:space="preserve">With regard </w:t>
      </w:r>
      <w:r w:rsidR="00771A22">
        <w:rPr>
          <w:rFonts w:ascii="Times New Roman" w:hAnsi="Times New Roman" w:cs="Times New Roman"/>
          <w:bCs/>
        </w:rPr>
        <w:t>t</w:t>
      </w:r>
      <w:r w:rsidR="000E1F0D">
        <w:rPr>
          <w:rFonts w:ascii="Times New Roman" w:hAnsi="Times New Roman" w:cs="Times New Roman"/>
          <w:bCs/>
        </w:rPr>
        <w:t>o</w:t>
      </w:r>
      <w:r w:rsidR="00771A22">
        <w:rPr>
          <w:rFonts w:ascii="Times New Roman" w:hAnsi="Times New Roman" w:cs="Times New Roman"/>
          <w:bCs/>
        </w:rPr>
        <w:t xml:space="preserve"> </w:t>
      </w:r>
      <w:r w:rsidR="000E1F0D">
        <w:rPr>
          <w:rFonts w:ascii="Times New Roman" w:hAnsi="Times New Roman" w:cs="Times New Roman"/>
          <w:bCs/>
        </w:rPr>
        <w:t>the start date</w:t>
      </w:r>
      <w:r w:rsidR="00483616">
        <w:rPr>
          <w:rFonts w:ascii="Times New Roman" w:hAnsi="Times New Roman" w:cs="Times New Roman"/>
          <w:bCs/>
        </w:rPr>
        <w:t>,</w:t>
      </w:r>
      <w:r w:rsidR="000E1F0D">
        <w:rPr>
          <w:rFonts w:ascii="Times New Roman" w:hAnsi="Times New Roman" w:cs="Times New Roman"/>
          <w:bCs/>
        </w:rPr>
        <w:t xml:space="preserve"> NPPF and PPG </w:t>
      </w:r>
      <w:r w:rsidR="00771A22">
        <w:rPr>
          <w:rFonts w:ascii="Times New Roman" w:hAnsi="Times New Roman" w:cs="Times New Roman"/>
          <w:bCs/>
        </w:rPr>
        <w:t>are</w:t>
      </w:r>
      <w:r w:rsidR="000E1F0D">
        <w:rPr>
          <w:rFonts w:ascii="Times New Roman" w:hAnsi="Times New Roman" w:cs="Times New Roman"/>
          <w:bCs/>
        </w:rPr>
        <w:t xml:space="preserve"> silent. However, given the assessment of housing need will be undertaken in the year it is </w:t>
      </w:r>
      <w:r w:rsidR="00771A22">
        <w:rPr>
          <w:rFonts w:ascii="Times New Roman" w:hAnsi="Times New Roman" w:cs="Times New Roman"/>
          <w:bCs/>
        </w:rPr>
        <w:t>submitted the</w:t>
      </w:r>
      <w:r w:rsidR="000E1F0D">
        <w:rPr>
          <w:rFonts w:ascii="Times New Roman" w:hAnsi="Times New Roman" w:cs="Times New Roman"/>
          <w:bCs/>
        </w:rPr>
        <w:t xml:space="preserve"> Council may want to consider whether a start date for the plan period some </w:t>
      </w:r>
      <w:r w:rsidR="00771A22">
        <w:rPr>
          <w:rFonts w:ascii="Times New Roman" w:hAnsi="Times New Roman" w:cs="Times New Roman"/>
          <w:bCs/>
        </w:rPr>
        <w:t xml:space="preserve">four years prior to submission </w:t>
      </w:r>
      <w:r w:rsidR="000E1F0D">
        <w:rPr>
          <w:rFonts w:ascii="Times New Roman" w:hAnsi="Times New Roman" w:cs="Times New Roman"/>
          <w:bCs/>
        </w:rPr>
        <w:t xml:space="preserve">is </w:t>
      </w:r>
      <w:r w:rsidR="00771A22">
        <w:rPr>
          <w:rFonts w:ascii="Times New Roman" w:hAnsi="Times New Roman" w:cs="Times New Roman"/>
          <w:bCs/>
        </w:rPr>
        <w:t>justified</w:t>
      </w:r>
      <w:r w:rsidR="000E1F0D">
        <w:rPr>
          <w:rFonts w:ascii="Times New Roman" w:hAnsi="Times New Roman" w:cs="Times New Roman"/>
          <w:bCs/>
        </w:rPr>
        <w:t xml:space="preserve">. </w:t>
      </w:r>
    </w:p>
    <w:p w14:paraId="7E8F3584" w14:textId="7F44CB57" w:rsidR="00943DD6" w:rsidRPr="002C658C" w:rsidRDefault="00943DD6" w:rsidP="002C658C">
      <w:pPr>
        <w:spacing w:after="240" w:line="360" w:lineRule="auto"/>
        <w:rPr>
          <w:rFonts w:ascii="Arial" w:hAnsi="Arial" w:cs="Arial"/>
          <w:b/>
        </w:rPr>
      </w:pPr>
      <w:r w:rsidRPr="002C658C">
        <w:rPr>
          <w:rFonts w:ascii="Arial" w:hAnsi="Arial" w:cs="Arial"/>
          <w:b/>
        </w:rPr>
        <w:t>Spatial development opportunities</w:t>
      </w:r>
    </w:p>
    <w:p w14:paraId="67638DAE" w14:textId="576E8465" w:rsidR="00B305CE" w:rsidRDefault="0091642E" w:rsidP="00A12F1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ED4968">
        <w:rPr>
          <w:rFonts w:ascii="Times New Roman" w:hAnsi="Times New Roman" w:cs="Times New Roman"/>
          <w:bCs/>
        </w:rPr>
        <w:t xml:space="preserve">The new standard method will require the Council to increase its housing supply from 590 </w:t>
      </w:r>
      <w:r w:rsidR="008A61BD">
        <w:rPr>
          <w:rFonts w:ascii="Times New Roman" w:hAnsi="Times New Roman" w:cs="Times New Roman"/>
          <w:bCs/>
        </w:rPr>
        <w:t>dwellings per annum (</w:t>
      </w:r>
      <w:r w:rsidRPr="00ED4968">
        <w:rPr>
          <w:rFonts w:ascii="Times New Roman" w:hAnsi="Times New Roman" w:cs="Times New Roman"/>
          <w:bCs/>
        </w:rPr>
        <w:t>dpa</w:t>
      </w:r>
      <w:r w:rsidR="008A61BD">
        <w:rPr>
          <w:rFonts w:ascii="Times New Roman" w:hAnsi="Times New Roman" w:cs="Times New Roman"/>
          <w:bCs/>
        </w:rPr>
        <w:t>)</w:t>
      </w:r>
      <w:r w:rsidRPr="00ED4968">
        <w:rPr>
          <w:rFonts w:ascii="Times New Roman" w:hAnsi="Times New Roman" w:cs="Times New Roman"/>
          <w:bCs/>
        </w:rPr>
        <w:t xml:space="preserve"> to 1,458 dpa. This is a significant </w:t>
      </w:r>
      <w:r w:rsidR="00ED4968" w:rsidRPr="00ED4968">
        <w:rPr>
          <w:rFonts w:ascii="Times New Roman" w:hAnsi="Times New Roman" w:cs="Times New Roman"/>
          <w:bCs/>
        </w:rPr>
        <w:t>increase</w:t>
      </w:r>
      <w:r w:rsidRPr="00ED4968">
        <w:rPr>
          <w:rFonts w:ascii="Times New Roman" w:hAnsi="Times New Roman" w:cs="Times New Roman"/>
          <w:bCs/>
        </w:rPr>
        <w:t xml:space="preserve"> in the number of </w:t>
      </w:r>
      <w:r w:rsidR="00ED4968" w:rsidRPr="00ED4968">
        <w:rPr>
          <w:rFonts w:ascii="Times New Roman" w:hAnsi="Times New Roman" w:cs="Times New Roman"/>
          <w:bCs/>
        </w:rPr>
        <w:t>homes,</w:t>
      </w:r>
      <w:r w:rsidRPr="00ED4968">
        <w:rPr>
          <w:rFonts w:ascii="Times New Roman" w:hAnsi="Times New Roman" w:cs="Times New Roman"/>
          <w:bCs/>
        </w:rPr>
        <w:t xml:space="preserve"> </w:t>
      </w:r>
      <w:r w:rsidR="00ED4968" w:rsidRPr="00ED4968">
        <w:rPr>
          <w:rFonts w:ascii="Times New Roman" w:hAnsi="Times New Roman" w:cs="Times New Roman"/>
          <w:bCs/>
        </w:rPr>
        <w:t xml:space="preserve">and </w:t>
      </w:r>
      <w:r w:rsidR="00ED4968">
        <w:rPr>
          <w:rFonts w:ascii="Times New Roman" w:hAnsi="Times New Roman" w:cs="Times New Roman"/>
          <w:bCs/>
        </w:rPr>
        <w:t>th</w:t>
      </w:r>
      <w:r w:rsidR="00D11665" w:rsidRPr="00ED4968">
        <w:rPr>
          <w:rFonts w:ascii="Times New Roman" w:hAnsi="Times New Roman" w:cs="Times New Roman"/>
          <w:bCs/>
        </w:rPr>
        <w:t xml:space="preserve">e </w:t>
      </w:r>
      <w:r w:rsidR="00834009" w:rsidRPr="00ED4968">
        <w:rPr>
          <w:rFonts w:ascii="Times New Roman" w:hAnsi="Times New Roman" w:cs="Times New Roman"/>
          <w:bCs/>
        </w:rPr>
        <w:t>Council</w:t>
      </w:r>
      <w:r w:rsidR="00D11665" w:rsidRPr="00ED4968">
        <w:rPr>
          <w:rFonts w:ascii="Times New Roman" w:hAnsi="Times New Roman" w:cs="Times New Roman"/>
          <w:bCs/>
        </w:rPr>
        <w:t xml:space="preserve"> have set </w:t>
      </w:r>
      <w:r w:rsidR="00834009" w:rsidRPr="00ED4968">
        <w:rPr>
          <w:rFonts w:ascii="Times New Roman" w:hAnsi="Times New Roman" w:cs="Times New Roman"/>
          <w:bCs/>
        </w:rPr>
        <w:t>out</w:t>
      </w:r>
      <w:r w:rsidR="00D11665" w:rsidRPr="00ED4968">
        <w:rPr>
          <w:rFonts w:ascii="Times New Roman" w:hAnsi="Times New Roman" w:cs="Times New Roman"/>
          <w:bCs/>
        </w:rPr>
        <w:t xml:space="preserve"> five different approaches to the delivery of development. Howeve</w:t>
      </w:r>
      <w:r w:rsidR="00834009" w:rsidRPr="00ED4968">
        <w:rPr>
          <w:rFonts w:ascii="Times New Roman" w:hAnsi="Times New Roman" w:cs="Times New Roman"/>
          <w:bCs/>
        </w:rPr>
        <w:t xml:space="preserve">r, in paragraph 3.33 the Council acknowledges that </w:t>
      </w:r>
      <w:r w:rsidR="00CD0619" w:rsidRPr="00ED4968">
        <w:rPr>
          <w:rFonts w:ascii="Times New Roman" w:hAnsi="Times New Roman" w:cs="Times New Roman"/>
          <w:bCs/>
        </w:rPr>
        <w:t xml:space="preserve">it will not be possible to </w:t>
      </w:r>
      <w:r w:rsidR="00ED4968">
        <w:rPr>
          <w:rFonts w:ascii="Times New Roman" w:hAnsi="Times New Roman" w:cs="Times New Roman"/>
          <w:bCs/>
        </w:rPr>
        <w:t>use</w:t>
      </w:r>
      <w:r w:rsidR="00CD0619" w:rsidRPr="00ED4968">
        <w:rPr>
          <w:rFonts w:ascii="Times New Roman" w:hAnsi="Times New Roman" w:cs="Times New Roman"/>
          <w:bCs/>
        </w:rPr>
        <w:t xml:space="preserve"> a single approach</w:t>
      </w:r>
      <w:r w:rsidR="00E5644F" w:rsidRPr="00ED4968">
        <w:rPr>
          <w:rFonts w:ascii="Times New Roman" w:hAnsi="Times New Roman" w:cs="Times New Roman"/>
          <w:bCs/>
        </w:rPr>
        <w:t xml:space="preserve"> and that the local plan will adopt a blend of all or some of the approaches proposed.</w:t>
      </w:r>
      <w:r w:rsidR="00ED4968">
        <w:rPr>
          <w:rFonts w:ascii="Times New Roman" w:hAnsi="Times New Roman" w:cs="Times New Roman"/>
          <w:bCs/>
        </w:rPr>
        <w:t xml:space="preserve"> HBF agrees, none of the approaches suggested by the Council </w:t>
      </w:r>
      <w:r w:rsidR="009679A1">
        <w:rPr>
          <w:rFonts w:ascii="Times New Roman" w:hAnsi="Times New Roman" w:cs="Times New Roman"/>
          <w:bCs/>
        </w:rPr>
        <w:t xml:space="preserve">would </w:t>
      </w:r>
      <w:r w:rsidR="00ED4968">
        <w:rPr>
          <w:rFonts w:ascii="Times New Roman" w:hAnsi="Times New Roman" w:cs="Times New Roman"/>
          <w:bCs/>
        </w:rPr>
        <w:t>on their own would be sufficient to meet the development needs of Waverley.</w:t>
      </w:r>
    </w:p>
    <w:p w14:paraId="3213F830" w14:textId="63DB2FDE" w:rsidR="003D61B1" w:rsidRDefault="00261616" w:rsidP="003D61B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A17957">
        <w:rPr>
          <w:rFonts w:ascii="Times New Roman" w:hAnsi="Times New Roman" w:cs="Times New Roman"/>
          <w:bCs/>
        </w:rPr>
        <w:t xml:space="preserve">HBF does not </w:t>
      </w:r>
      <w:r w:rsidR="0016594C" w:rsidRPr="00A17957">
        <w:rPr>
          <w:rFonts w:ascii="Times New Roman" w:hAnsi="Times New Roman" w:cs="Times New Roman"/>
          <w:bCs/>
        </w:rPr>
        <w:t>comment on what would be the most appropriate strategy</w:t>
      </w:r>
      <w:r w:rsidR="00FD6C84" w:rsidRPr="00A17957">
        <w:rPr>
          <w:rFonts w:ascii="Times New Roman" w:hAnsi="Times New Roman" w:cs="Times New Roman"/>
          <w:bCs/>
        </w:rPr>
        <w:t xml:space="preserve"> might be</w:t>
      </w:r>
      <w:r w:rsidR="00393809" w:rsidRPr="00A17957">
        <w:rPr>
          <w:rFonts w:ascii="Times New Roman" w:hAnsi="Times New Roman" w:cs="Times New Roman"/>
          <w:bCs/>
        </w:rPr>
        <w:t xml:space="preserve"> and where development should be located</w:t>
      </w:r>
      <w:r w:rsidR="00FD6C84" w:rsidRPr="00A17957">
        <w:rPr>
          <w:rFonts w:ascii="Times New Roman" w:hAnsi="Times New Roman" w:cs="Times New Roman"/>
          <w:bCs/>
        </w:rPr>
        <w:t xml:space="preserve">. However, </w:t>
      </w:r>
      <w:r w:rsidR="00C04D40" w:rsidRPr="00A17957">
        <w:rPr>
          <w:rFonts w:ascii="Times New Roman" w:hAnsi="Times New Roman" w:cs="Times New Roman"/>
          <w:bCs/>
        </w:rPr>
        <w:t xml:space="preserve">in considering how the </w:t>
      </w:r>
      <w:r w:rsidR="00925756" w:rsidRPr="00A17957">
        <w:rPr>
          <w:rFonts w:ascii="Times New Roman" w:hAnsi="Times New Roman" w:cs="Times New Roman"/>
          <w:bCs/>
        </w:rPr>
        <w:t>Council</w:t>
      </w:r>
      <w:r w:rsidR="00C04D40" w:rsidRPr="00A17957">
        <w:rPr>
          <w:rFonts w:ascii="Times New Roman" w:hAnsi="Times New Roman" w:cs="Times New Roman"/>
          <w:bCs/>
        </w:rPr>
        <w:t xml:space="preserve"> achieves growth </w:t>
      </w:r>
      <w:r w:rsidR="001C1294" w:rsidRPr="00A17957">
        <w:rPr>
          <w:rFonts w:ascii="Times New Roman" w:hAnsi="Times New Roman" w:cs="Times New Roman"/>
          <w:bCs/>
        </w:rPr>
        <w:t xml:space="preserve">HBF would recommend that it should </w:t>
      </w:r>
      <w:r w:rsidR="001C1294" w:rsidRPr="00A17957">
        <w:rPr>
          <w:rFonts w:ascii="Times New Roman" w:hAnsi="Times New Roman" w:cs="Times New Roman"/>
          <w:bCs/>
        </w:rPr>
        <w:lastRenderedPageBreak/>
        <w:t xml:space="preserve">seek to ensure </w:t>
      </w:r>
      <w:r w:rsidR="00A973BD" w:rsidRPr="00A17957">
        <w:rPr>
          <w:rFonts w:ascii="Times New Roman" w:hAnsi="Times New Roman" w:cs="Times New Roman"/>
          <w:bCs/>
        </w:rPr>
        <w:t xml:space="preserve">that </w:t>
      </w:r>
      <w:r w:rsidR="001C1294" w:rsidRPr="00A17957">
        <w:rPr>
          <w:rFonts w:ascii="Times New Roman" w:hAnsi="Times New Roman" w:cs="Times New Roman"/>
          <w:bCs/>
        </w:rPr>
        <w:t>a wide range of sites are allocated both in terms</w:t>
      </w:r>
      <w:r w:rsidR="00925756" w:rsidRPr="00A17957">
        <w:rPr>
          <w:rFonts w:ascii="Times New Roman" w:hAnsi="Times New Roman" w:cs="Times New Roman"/>
          <w:bCs/>
        </w:rPr>
        <w:t xml:space="preserve"> </w:t>
      </w:r>
      <w:r w:rsidR="001C1294" w:rsidRPr="00A17957">
        <w:rPr>
          <w:rFonts w:ascii="Times New Roman" w:hAnsi="Times New Roman" w:cs="Times New Roman"/>
          <w:bCs/>
        </w:rPr>
        <w:t xml:space="preserve">of </w:t>
      </w:r>
      <w:r w:rsidR="00925756" w:rsidRPr="00A17957">
        <w:rPr>
          <w:rFonts w:ascii="Times New Roman" w:hAnsi="Times New Roman" w:cs="Times New Roman"/>
          <w:bCs/>
        </w:rPr>
        <w:t>geography and size.</w:t>
      </w:r>
      <w:r w:rsidR="00E52158" w:rsidRPr="00A17957">
        <w:rPr>
          <w:rFonts w:ascii="Times New Roman" w:hAnsi="Times New Roman" w:cs="Times New Roman"/>
          <w:bCs/>
        </w:rPr>
        <w:t xml:space="preserve"> </w:t>
      </w:r>
      <w:r w:rsidR="00925756" w:rsidRPr="00A17957">
        <w:rPr>
          <w:rFonts w:ascii="Times New Roman" w:hAnsi="Times New Roman" w:cs="Times New Roman"/>
          <w:bCs/>
        </w:rPr>
        <w:t xml:space="preserve">A key starting point should be to ensure that the plan </w:t>
      </w:r>
      <w:r w:rsidR="0081239D" w:rsidRPr="00A17957">
        <w:rPr>
          <w:rFonts w:ascii="Times New Roman" w:hAnsi="Times New Roman" w:cs="Times New Roman"/>
          <w:bCs/>
        </w:rPr>
        <w:t>delivers</w:t>
      </w:r>
      <w:r w:rsidR="00925756" w:rsidRPr="00A17957">
        <w:rPr>
          <w:rFonts w:ascii="Times New Roman" w:hAnsi="Times New Roman" w:cs="Times New Roman"/>
          <w:bCs/>
        </w:rPr>
        <w:t xml:space="preserve"> homes consistently across the plan period and does not </w:t>
      </w:r>
      <w:r w:rsidR="0081239D" w:rsidRPr="00A17957">
        <w:rPr>
          <w:rFonts w:ascii="Times New Roman" w:hAnsi="Times New Roman" w:cs="Times New Roman"/>
          <w:bCs/>
        </w:rPr>
        <w:t>seek to unnecessarily delay the delivery of new homes on the basis of the sites that are selected to meet housing needs.</w:t>
      </w:r>
      <w:r w:rsidR="00440AC7" w:rsidRPr="00A17957">
        <w:rPr>
          <w:rFonts w:ascii="Times New Roman" w:hAnsi="Times New Roman" w:cs="Times New Roman"/>
          <w:bCs/>
        </w:rPr>
        <w:t xml:space="preserve"> </w:t>
      </w:r>
      <w:r w:rsidR="00E30BDC" w:rsidRPr="00905B7B">
        <w:rPr>
          <w:rFonts w:ascii="Times New Roman" w:hAnsi="Times New Roman" w:cs="Times New Roman"/>
          <w:bCs/>
        </w:rPr>
        <w:t>HBF recognises that a stepped housing requirement in such situations is permitted by PPG, but it should not form the basis against which the Council should plan</w:t>
      </w:r>
      <w:r w:rsidR="00E7096A">
        <w:rPr>
          <w:rFonts w:ascii="Times New Roman" w:hAnsi="Times New Roman" w:cs="Times New Roman"/>
          <w:bCs/>
        </w:rPr>
        <w:t xml:space="preserve"> </w:t>
      </w:r>
      <w:r w:rsidR="003D61B1">
        <w:rPr>
          <w:rFonts w:ascii="Times New Roman" w:hAnsi="Times New Roman" w:cs="Times New Roman"/>
          <w:bCs/>
        </w:rPr>
        <w:t xml:space="preserve">all possible opportunities to maximise delivery in the short and medium term </w:t>
      </w:r>
      <w:r w:rsidR="00E7096A">
        <w:rPr>
          <w:rFonts w:ascii="Times New Roman" w:hAnsi="Times New Roman" w:cs="Times New Roman"/>
          <w:bCs/>
        </w:rPr>
        <w:t>being considered</w:t>
      </w:r>
      <w:r w:rsidR="003D61B1">
        <w:rPr>
          <w:rFonts w:ascii="Times New Roman" w:hAnsi="Times New Roman" w:cs="Times New Roman"/>
          <w:bCs/>
        </w:rPr>
        <w:t>.</w:t>
      </w:r>
    </w:p>
    <w:p w14:paraId="0722AE3F" w14:textId="43251437" w:rsidR="002F17D3" w:rsidRDefault="00615FA7" w:rsidP="002F17D3">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w:t>
      </w:r>
      <w:r w:rsidR="00961111" w:rsidRPr="00615FA7">
        <w:rPr>
          <w:rFonts w:ascii="Times New Roman" w:hAnsi="Times New Roman" w:cs="Times New Roman"/>
          <w:bCs/>
        </w:rPr>
        <w:t xml:space="preserve">he Council will be </w:t>
      </w:r>
      <w:r w:rsidR="00993889" w:rsidRPr="00615FA7">
        <w:rPr>
          <w:rFonts w:ascii="Times New Roman" w:hAnsi="Times New Roman" w:cs="Times New Roman"/>
          <w:bCs/>
        </w:rPr>
        <w:t>aware that</w:t>
      </w:r>
      <w:r w:rsidR="00961111" w:rsidRPr="00615FA7">
        <w:rPr>
          <w:rFonts w:ascii="Times New Roman" w:hAnsi="Times New Roman" w:cs="Times New Roman"/>
          <w:bCs/>
        </w:rPr>
        <w:t xml:space="preserve"> larger sites </w:t>
      </w:r>
      <w:r w:rsidR="00351BAC" w:rsidRPr="00615FA7">
        <w:rPr>
          <w:rFonts w:ascii="Times New Roman" w:hAnsi="Times New Roman" w:cs="Times New Roman"/>
          <w:bCs/>
        </w:rPr>
        <w:t xml:space="preserve">can take a number of years to come forward due to the complexity of these sites and the infrastructure required to support them. </w:t>
      </w:r>
      <w:r w:rsidR="00103FBD" w:rsidRPr="00615FA7">
        <w:rPr>
          <w:rFonts w:ascii="Times New Roman" w:hAnsi="Times New Roman" w:cs="Times New Roman"/>
          <w:bCs/>
        </w:rPr>
        <w:t xml:space="preserve">The research by Lichfields in Start to Finish </w:t>
      </w:r>
      <w:r w:rsidR="00A74E86" w:rsidRPr="00615FA7">
        <w:rPr>
          <w:rFonts w:ascii="Times New Roman" w:hAnsi="Times New Roman" w:cs="Times New Roman"/>
          <w:bCs/>
        </w:rPr>
        <w:t>provides</w:t>
      </w:r>
      <w:r w:rsidR="00103FBD" w:rsidRPr="00615FA7">
        <w:rPr>
          <w:rFonts w:ascii="Times New Roman" w:hAnsi="Times New Roman" w:cs="Times New Roman"/>
          <w:bCs/>
        </w:rPr>
        <w:t xml:space="preserve"> </w:t>
      </w:r>
      <w:r w:rsidR="004F40B6" w:rsidRPr="00615FA7">
        <w:rPr>
          <w:rFonts w:ascii="Times New Roman" w:hAnsi="Times New Roman" w:cs="Times New Roman"/>
          <w:bCs/>
        </w:rPr>
        <w:t xml:space="preserve">a reasonable starting point </w:t>
      </w:r>
      <w:r w:rsidR="000E14BC" w:rsidRPr="00615FA7">
        <w:rPr>
          <w:rFonts w:ascii="Times New Roman" w:hAnsi="Times New Roman" w:cs="Times New Roman"/>
          <w:bCs/>
        </w:rPr>
        <w:t>when considering the rate at which larger sites deliver new homes. The latest iteration</w:t>
      </w:r>
      <w:r w:rsidR="000D439D">
        <w:rPr>
          <w:rFonts w:ascii="Times New Roman" w:hAnsi="Times New Roman" w:cs="Times New Roman"/>
          <w:bCs/>
        </w:rPr>
        <w:t xml:space="preserve"> for example</w:t>
      </w:r>
      <w:r w:rsidR="000E14BC" w:rsidRPr="00615FA7">
        <w:rPr>
          <w:rFonts w:ascii="Times New Roman" w:hAnsi="Times New Roman" w:cs="Times New Roman"/>
          <w:bCs/>
        </w:rPr>
        <w:t xml:space="preserve"> </w:t>
      </w:r>
      <w:r w:rsidR="00A74E86" w:rsidRPr="00615FA7">
        <w:rPr>
          <w:rFonts w:ascii="Times New Roman" w:hAnsi="Times New Roman" w:cs="Times New Roman"/>
          <w:bCs/>
        </w:rPr>
        <w:t>highlights</w:t>
      </w:r>
      <w:r w:rsidR="000E14BC" w:rsidRPr="00615FA7">
        <w:rPr>
          <w:rFonts w:ascii="Times New Roman" w:hAnsi="Times New Roman" w:cs="Times New Roman"/>
          <w:bCs/>
        </w:rPr>
        <w:t xml:space="preserve"> that </w:t>
      </w:r>
      <w:r w:rsidR="004530C1" w:rsidRPr="00615FA7">
        <w:rPr>
          <w:rFonts w:ascii="Times New Roman" w:hAnsi="Times New Roman" w:cs="Times New Roman"/>
          <w:bCs/>
        </w:rPr>
        <w:t xml:space="preserve">from </w:t>
      </w:r>
      <w:r w:rsidR="00B6428E" w:rsidRPr="00615FA7">
        <w:rPr>
          <w:rFonts w:ascii="Times New Roman" w:hAnsi="Times New Roman" w:cs="Times New Roman"/>
          <w:bCs/>
        </w:rPr>
        <w:t xml:space="preserve">the validation of the </w:t>
      </w:r>
      <w:r w:rsidR="00335B83" w:rsidRPr="00615FA7">
        <w:rPr>
          <w:rFonts w:ascii="Times New Roman" w:hAnsi="Times New Roman" w:cs="Times New Roman"/>
          <w:bCs/>
        </w:rPr>
        <w:t>application</w:t>
      </w:r>
      <w:r w:rsidR="00B6428E" w:rsidRPr="00615FA7">
        <w:rPr>
          <w:rFonts w:ascii="Times New Roman" w:hAnsi="Times New Roman" w:cs="Times New Roman"/>
          <w:bCs/>
        </w:rPr>
        <w:t xml:space="preserve"> to the first home</w:t>
      </w:r>
      <w:r w:rsidR="00335B83" w:rsidRPr="00615FA7">
        <w:rPr>
          <w:rFonts w:ascii="Times New Roman" w:hAnsi="Times New Roman" w:cs="Times New Roman"/>
          <w:bCs/>
        </w:rPr>
        <w:t>s</w:t>
      </w:r>
      <w:r w:rsidR="00B6428E" w:rsidRPr="00615FA7">
        <w:rPr>
          <w:rFonts w:ascii="Times New Roman" w:hAnsi="Times New Roman" w:cs="Times New Roman"/>
          <w:bCs/>
        </w:rPr>
        <w:t xml:space="preserve"> </w:t>
      </w:r>
      <w:r w:rsidR="00335B83" w:rsidRPr="00615FA7">
        <w:rPr>
          <w:rFonts w:ascii="Times New Roman" w:hAnsi="Times New Roman" w:cs="Times New Roman"/>
          <w:bCs/>
        </w:rPr>
        <w:t>being</w:t>
      </w:r>
      <w:r w:rsidR="00B6428E" w:rsidRPr="00615FA7">
        <w:rPr>
          <w:rFonts w:ascii="Times New Roman" w:hAnsi="Times New Roman" w:cs="Times New Roman"/>
          <w:bCs/>
        </w:rPr>
        <w:t xml:space="preserve"> </w:t>
      </w:r>
      <w:r w:rsidR="008D2A71" w:rsidRPr="00615FA7">
        <w:rPr>
          <w:rFonts w:ascii="Times New Roman" w:hAnsi="Times New Roman" w:cs="Times New Roman"/>
          <w:bCs/>
        </w:rPr>
        <w:t>delivered it</w:t>
      </w:r>
      <w:r w:rsidR="00B6428E" w:rsidRPr="00615FA7">
        <w:rPr>
          <w:rFonts w:ascii="Times New Roman" w:hAnsi="Times New Roman" w:cs="Times New Roman"/>
          <w:bCs/>
        </w:rPr>
        <w:t xml:space="preserve"> takes </w:t>
      </w:r>
      <w:r w:rsidR="00285EA5" w:rsidRPr="00615FA7">
        <w:rPr>
          <w:rFonts w:ascii="Times New Roman" w:hAnsi="Times New Roman" w:cs="Times New Roman"/>
          <w:bCs/>
        </w:rPr>
        <w:t>over 6 years for sites of over 1,000 homes</w:t>
      </w:r>
      <w:r w:rsidR="005709A6">
        <w:rPr>
          <w:rFonts w:ascii="Times New Roman" w:hAnsi="Times New Roman" w:cs="Times New Roman"/>
          <w:bCs/>
        </w:rPr>
        <w:t xml:space="preserve">. </w:t>
      </w:r>
      <w:r w:rsidR="00993889">
        <w:rPr>
          <w:rFonts w:ascii="Times New Roman" w:hAnsi="Times New Roman" w:cs="Times New Roman"/>
          <w:bCs/>
        </w:rPr>
        <w:t>Therefore,</w:t>
      </w:r>
      <w:r w:rsidR="00050F6B">
        <w:rPr>
          <w:rFonts w:ascii="Times New Roman" w:hAnsi="Times New Roman" w:cs="Times New Roman"/>
          <w:bCs/>
        </w:rPr>
        <w:t xml:space="preserve"> in order that supply is boosted in the short term to meet housing needs more small </w:t>
      </w:r>
      <w:r w:rsidR="00993889">
        <w:rPr>
          <w:rFonts w:ascii="Times New Roman" w:hAnsi="Times New Roman" w:cs="Times New Roman"/>
          <w:bCs/>
        </w:rPr>
        <w:t xml:space="preserve">and medium </w:t>
      </w:r>
      <w:r w:rsidR="00050F6B">
        <w:rPr>
          <w:rFonts w:ascii="Times New Roman" w:hAnsi="Times New Roman" w:cs="Times New Roman"/>
          <w:bCs/>
        </w:rPr>
        <w:t xml:space="preserve">sites are required. </w:t>
      </w:r>
      <w:r w:rsidR="00993889">
        <w:rPr>
          <w:rFonts w:ascii="Times New Roman" w:hAnsi="Times New Roman" w:cs="Times New Roman"/>
          <w:bCs/>
        </w:rPr>
        <w:t>C</w:t>
      </w:r>
      <w:r w:rsidR="00CC4614" w:rsidRPr="00615FA7">
        <w:rPr>
          <w:rFonts w:ascii="Times New Roman" w:hAnsi="Times New Roman" w:cs="Times New Roman"/>
          <w:bCs/>
        </w:rPr>
        <w:t>ompared to</w:t>
      </w:r>
      <w:r w:rsidR="00993889">
        <w:rPr>
          <w:rFonts w:ascii="Times New Roman" w:hAnsi="Times New Roman" w:cs="Times New Roman"/>
          <w:bCs/>
        </w:rPr>
        <w:t xml:space="preserve"> much larger developments sites</w:t>
      </w:r>
      <w:r w:rsidR="00CC4614" w:rsidRPr="00615FA7">
        <w:rPr>
          <w:rFonts w:ascii="Times New Roman" w:hAnsi="Times New Roman" w:cs="Times New Roman"/>
          <w:bCs/>
        </w:rPr>
        <w:t xml:space="preserve"> of between 55 and 100</w:t>
      </w:r>
      <w:r w:rsidR="003A09A8">
        <w:rPr>
          <w:rFonts w:ascii="Times New Roman" w:hAnsi="Times New Roman" w:cs="Times New Roman"/>
          <w:bCs/>
        </w:rPr>
        <w:t xml:space="preserve"> </w:t>
      </w:r>
      <w:r w:rsidR="00F32C22">
        <w:rPr>
          <w:rFonts w:ascii="Times New Roman" w:hAnsi="Times New Roman" w:cs="Times New Roman"/>
          <w:bCs/>
        </w:rPr>
        <w:t>deliver</w:t>
      </w:r>
      <w:r w:rsidR="003A09A8">
        <w:rPr>
          <w:rFonts w:ascii="Times New Roman" w:hAnsi="Times New Roman" w:cs="Times New Roman"/>
          <w:bCs/>
        </w:rPr>
        <w:t xml:space="preserve"> homes</w:t>
      </w:r>
      <w:r w:rsidR="00F32C22">
        <w:rPr>
          <w:rFonts w:ascii="Times New Roman" w:hAnsi="Times New Roman" w:cs="Times New Roman"/>
          <w:bCs/>
        </w:rPr>
        <w:t xml:space="preserve"> sooner from validation with the first</w:t>
      </w:r>
      <w:r w:rsidR="00CC4614" w:rsidRPr="00615FA7">
        <w:rPr>
          <w:rFonts w:ascii="Times New Roman" w:hAnsi="Times New Roman" w:cs="Times New Roman"/>
          <w:bCs/>
        </w:rPr>
        <w:t xml:space="preserve"> </w:t>
      </w:r>
      <w:r w:rsidR="00FD5CC3" w:rsidRPr="00615FA7">
        <w:rPr>
          <w:rFonts w:ascii="Times New Roman" w:hAnsi="Times New Roman" w:cs="Times New Roman"/>
          <w:bCs/>
        </w:rPr>
        <w:t>units</w:t>
      </w:r>
      <w:r w:rsidR="00CC4614" w:rsidRPr="00615FA7">
        <w:rPr>
          <w:rFonts w:ascii="Times New Roman" w:hAnsi="Times New Roman" w:cs="Times New Roman"/>
          <w:bCs/>
        </w:rPr>
        <w:t xml:space="preserve"> </w:t>
      </w:r>
      <w:r w:rsidR="003A09A8" w:rsidRPr="00615FA7">
        <w:rPr>
          <w:rFonts w:ascii="Times New Roman" w:hAnsi="Times New Roman" w:cs="Times New Roman"/>
          <w:bCs/>
        </w:rPr>
        <w:t>com</w:t>
      </w:r>
      <w:r w:rsidR="00F32C22">
        <w:rPr>
          <w:rFonts w:ascii="Times New Roman" w:hAnsi="Times New Roman" w:cs="Times New Roman"/>
          <w:bCs/>
        </w:rPr>
        <w:t>ing</w:t>
      </w:r>
      <w:r w:rsidR="00FD5CC3" w:rsidRPr="00615FA7">
        <w:rPr>
          <w:rFonts w:ascii="Times New Roman" w:hAnsi="Times New Roman" w:cs="Times New Roman"/>
          <w:bCs/>
        </w:rPr>
        <w:t xml:space="preserve"> forward </w:t>
      </w:r>
      <w:r w:rsidR="005F3C36" w:rsidRPr="00615FA7">
        <w:rPr>
          <w:rFonts w:ascii="Times New Roman" w:hAnsi="Times New Roman" w:cs="Times New Roman"/>
          <w:bCs/>
        </w:rPr>
        <w:t xml:space="preserve">in around 3.5 years with </w:t>
      </w:r>
      <w:r w:rsidR="00A17338" w:rsidRPr="00615FA7">
        <w:rPr>
          <w:rFonts w:ascii="Times New Roman" w:hAnsi="Times New Roman" w:cs="Times New Roman"/>
          <w:bCs/>
        </w:rPr>
        <w:t xml:space="preserve">many of the </w:t>
      </w:r>
      <w:r w:rsidR="005F3C36" w:rsidRPr="00615FA7">
        <w:rPr>
          <w:rFonts w:ascii="Times New Roman" w:hAnsi="Times New Roman" w:cs="Times New Roman"/>
          <w:bCs/>
        </w:rPr>
        <w:t xml:space="preserve">homes </w:t>
      </w:r>
      <w:r w:rsidR="00A17338" w:rsidRPr="00615FA7">
        <w:rPr>
          <w:rFonts w:ascii="Times New Roman" w:hAnsi="Times New Roman" w:cs="Times New Roman"/>
          <w:bCs/>
        </w:rPr>
        <w:t xml:space="preserve">on these small sites </w:t>
      </w:r>
      <w:r w:rsidR="008B565B" w:rsidRPr="00615FA7">
        <w:rPr>
          <w:rFonts w:ascii="Times New Roman" w:hAnsi="Times New Roman" w:cs="Times New Roman"/>
          <w:bCs/>
        </w:rPr>
        <w:t>likely to be</w:t>
      </w:r>
      <w:r w:rsidR="005F3C36" w:rsidRPr="00615FA7">
        <w:rPr>
          <w:rFonts w:ascii="Times New Roman" w:hAnsi="Times New Roman" w:cs="Times New Roman"/>
          <w:bCs/>
        </w:rPr>
        <w:t xml:space="preserve"> built within 5 years.</w:t>
      </w:r>
    </w:p>
    <w:p w14:paraId="3B0F8F0C" w14:textId="77777777" w:rsidR="002F17D3" w:rsidRDefault="008B7478" w:rsidP="002F17D3">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2F17D3">
        <w:rPr>
          <w:rFonts w:ascii="Times New Roman" w:hAnsi="Times New Roman" w:cs="Times New Roman"/>
          <w:bCs/>
        </w:rPr>
        <w:t>Therefore,</w:t>
      </w:r>
      <w:r w:rsidR="00640222" w:rsidRPr="002F17D3">
        <w:rPr>
          <w:rFonts w:ascii="Times New Roman" w:hAnsi="Times New Roman" w:cs="Times New Roman"/>
          <w:bCs/>
        </w:rPr>
        <w:t xml:space="preserve"> the most effective way to plan for </w:t>
      </w:r>
      <w:r w:rsidRPr="002F17D3">
        <w:rPr>
          <w:rFonts w:ascii="Times New Roman" w:hAnsi="Times New Roman" w:cs="Times New Roman"/>
          <w:bCs/>
        </w:rPr>
        <w:t xml:space="preserve">a consistent supply of homes </w:t>
      </w:r>
      <w:r w:rsidR="003D5B18" w:rsidRPr="002F17D3">
        <w:rPr>
          <w:rFonts w:ascii="Times New Roman" w:hAnsi="Times New Roman" w:cs="Times New Roman"/>
          <w:bCs/>
        </w:rPr>
        <w:t>is to</w:t>
      </w:r>
      <w:r w:rsidR="00640222" w:rsidRPr="002F17D3">
        <w:rPr>
          <w:rFonts w:ascii="Times New Roman" w:hAnsi="Times New Roman" w:cs="Times New Roman"/>
          <w:bCs/>
        </w:rPr>
        <w:t xml:space="preserve"> </w:t>
      </w:r>
      <w:r w:rsidR="00A118FD" w:rsidRPr="002F17D3">
        <w:rPr>
          <w:rFonts w:ascii="Times New Roman" w:hAnsi="Times New Roman" w:cs="Times New Roman"/>
          <w:bCs/>
        </w:rPr>
        <w:t xml:space="preserve">identify larger strategic sites to meet longer term needs with the allocation of a wide range of small and medium sized sites that meet needs in the </w:t>
      </w:r>
      <w:r w:rsidR="00C9429C" w:rsidRPr="002F17D3">
        <w:rPr>
          <w:rFonts w:ascii="Times New Roman" w:hAnsi="Times New Roman" w:cs="Times New Roman"/>
          <w:bCs/>
        </w:rPr>
        <w:t>first half of the plan period.</w:t>
      </w:r>
      <w:r w:rsidR="002F17D3" w:rsidRPr="002F17D3">
        <w:rPr>
          <w:rFonts w:ascii="Times New Roman" w:hAnsi="Times New Roman" w:cs="Times New Roman"/>
          <w:bCs/>
        </w:rPr>
        <w:t xml:space="preserve"> In taking such an approach the Council will also be better placed to ensure that it meets the aim of paragraph 73 of the NPPG to support SME developers and promote a good mix of sites in the local plan. In particular it will be important for the Council to ensure the spatial strategy allows the Council to meet limb a) of paragraph 73 that the at least 10% of it housing requirements are on sites of one hectare or less. </w:t>
      </w:r>
    </w:p>
    <w:p w14:paraId="6323711E" w14:textId="142D5813" w:rsidR="002F17D3" w:rsidRDefault="002F17D3" w:rsidP="002F17D3">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2F17D3">
        <w:rPr>
          <w:rFonts w:ascii="Times New Roman" w:hAnsi="Times New Roman" w:cs="Times New Roman"/>
          <w:bCs/>
        </w:rPr>
        <w:t>In meeting the requirement</w:t>
      </w:r>
      <w:r w:rsidR="00FC5918">
        <w:rPr>
          <w:rFonts w:ascii="Times New Roman" w:hAnsi="Times New Roman" w:cs="Times New Roman"/>
          <w:bCs/>
        </w:rPr>
        <w:t xml:space="preserve"> in paragraph 73</w:t>
      </w:r>
      <w:r w:rsidRPr="002F17D3">
        <w:rPr>
          <w:rFonts w:ascii="Times New Roman" w:hAnsi="Times New Roman" w:cs="Times New Roman"/>
          <w:bCs/>
        </w:rPr>
        <w:t xml:space="preserve"> of the NPPF </w:t>
      </w:r>
      <w:r w:rsidR="00FC5918">
        <w:rPr>
          <w:rFonts w:ascii="Times New Roman" w:hAnsi="Times New Roman" w:cs="Times New Roman"/>
          <w:bCs/>
        </w:rPr>
        <w:t>the C</w:t>
      </w:r>
      <w:r w:rsidR="00F553F9">
        <w:rPr>
          <w:rFonts w:ascii="Times New Roman" w:hAnsi="Times New Roman" w:cs="Times New Roman"/>
          <w:bCs/>
        </w:rPr>
        <w:t>ouncil</w:t>
      </w:r>
      <w:r w:rsidRPr="002F17D3">
        <w:rPr>
          <w:rFonts w:ascii="Times New Roman" w:hAnsi="Times New Roman" w:cs="Times New Roman"/>
          <w:bCs/>
        </w:rPr>
        <w:t xml:space="preserve"> must </w:t>
      </w:r>
      <w:r w:rsidR="00F553F9">
        <w:rPr>
          <w:rFonts w:ascii="Times New Roman" w:hAnsi="Times New Roman" w:cs="Times New Roman"/>
          <w:bCs/>
        </w:rPr>
        <w:t>ensure it is achieved from</w:t>
      </w:r>
      <w:r w:rsidRPr="002F17D3">
        <w:rPr>
          <w:rFonts w:ascii="Times New Roman" w:hAnsi="Times New Roman" w:cs="Times New Roman"/>
          <w:bCs/>
        </w:rPr>
        <w:t xml:space="preserve"> identified sites</w:t>
      </w:r>
      <w:r w:rsidR="00F553F9">
        <w:rPr>
          <w:rFonts w:ascii="Times New Roman" w:hAnsi="Times New Roman" w:cs="Times New Roman"/>
          <w:bCs/>
        </w:rPr>
        <w:t xml:space="preserve"> –</w:t>
      </w:r>
      <w:r w:rsidRPr="002F17D3">
        <w:rPr>
          <w:rFonts w:ascii="Times New Roman" w:hAnsi="Times New Roman" w:cs="Times New Roman"/>
          <w:bCs/>
        </w:rPr>
        <w:t xml:space="preserve"> either</w:t>
      </w:r>
      <w:r w:rsidR="00F553F9">
        <w:rPr>
          <w:rFonts w:ascii="Times New Roman" w:hAnsi="Times New Roman" w:cs="Times New Roman"/>
          <w:bCs/>
        </w:rPr>
        <w:t xml:space="preserve"> as an allocation in</w:t>
      </w:r>
      <w:r w:rsidRPr="002F17D3">
        <w:rPr>
          <w:rFonts w:ascii="Times New Roman" w:hAnsi="Times New Roman" w:cs="Times New Roman"/>
          <w:bCs/>
        </w:rPr>
        <w:t xml:space="preserve"> the local plan or </w:t>
      </w:r>
      <w:r w:rsidR="00F553F9">
        <w:rPr>
          <w:rFonts w:ascii="Times New Roman" w:hAnsi="Times New Roman" w:cs="Times New Roman"/>
          <w:bCs/>
        </w:rPr>
        <w:t xml:space="preserve">as a site in </w:t>
      </w:r>
      <w:r w:rsidRPr="002F17D3">
        <w:rPr>
          <w:rFonts w:ascii="Times New Roman" w:hAnsi="Times New Roman" w:cs="Times New Roman"/>
          <w:bCs/>
        </w:rPr>
        <w:t>the Council’s Brownfield Register. The Council must not rely on assumed levels of windfall delivery on small sites to meet this requirement. Such an approach would be inconsistent with the NPPF which defines windfall sites</w:t>
      </w:r>
      <w:r w:rsidR="00BF0A0F">
        <w:rPr>
          <w:rFonts w:ascii="Times New Roman" w:hAnsi="Times New Roman" w:cs="Times New Roman"/>
          <w:bCs/>
        </w:rPr>
        <w:t xml:space="preserve"> in its Glossary</w:t>
      </w:r>
      <w:r w:rsidRPr="002F17D3">
        <w:rPr>
          <w:rFonts w:ascii="Times New Roman" w:hAnsi="Times New Roman" w:cs="Times New Roman"/>
          <w:bCs/>
        </w:rPr>
        <w:t xml:space="preserve"> as “</w:t>
      </w:r>
      <w:r w:rsidRPr="00BF0A0F">
        <w:rPr>
          <w:rFonts w:ascii="Times New Roman" w:hAnsi="Times New Roman" w:cs="Times New Roman"/>
          <w:bCs/>
          <w:i/>
          <w:iCs/>
        </w:rPr>
        <w:t>Sites not specifically identified in the development plan</w:t>
      </w:r>
      <w:r w:rsidRPr="002F17D3">
        <w:rPr>
          <w:rFonts w:ascii="Times New Roman" w:hAnsi="Times New Roman" w:cs="Times New Roman"/>
          <w:bCs/>
        </w:rPr>
        <w:t xml:space="preserve">”. It is important to recognise that the allocation of small sites is a priority and stems from the need to support small house builders by ensuring that they benefit from having their sites identified for development either through the local plan or brownfield register. The effect of an allocation is to take some of the risk out of that development and provide greater certainty that those sites come forward. This in turn will allow the SME sector to grow, deliver homes that will increase the diversity of the new homes that are available as well as bring those homes forward earlier in the plan period. </w:t>
      </w:r>
    </w:p>
    <w:p w14:paraId="41B4C35B" w14:textId="78AB0F0D" w:rsidR="002F17D3" w:rsidRDefault="002F17D3" w:rsidP="002F17D3">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2F17D3">
        <w:rPr>
          <w:rFonts w:ascii="Times New Roman" w:hAnsi="Times New Roman" w:cs="Times New Roman"/>
          <w:bCs/>
        </w:rPr>
        <w:t xml:space="preserve">The Council should also recognise that allocating small sites and supporting SME house builders not only ensures a stronger supply in the short term but also improves the diversity of choice within local housing markets, support local and regional supply chains and are often pivotal in bring forward innovation and supporting jobs growth locally, with 1 in 5 of the SME work force comprising of apprentices. A failure to allocate small sites will contribute to the continued decline in small and medium sized house builders. Recent research by the HBF </w:t>
      </w:r>
      <w:r w:rsidRPr="002F17D3">
        <w:rPr>
          <w:rFonts w:ascii="Times New Roman" w:hAnsi="Times New Roman" w:cs="Times New Roman"/>
          <w:bCs/>
        </w:rPr>
        <w:lastRenderedPageBreak/>
        <w:t xml:space="preserve">has found that there are 85% fewer small house builders today than there were 20 years ago and that of a survey of SME house builders 93% said that planning was a major barrier to SME growth. Whilst this decline is due to a range of factors, more allocations of small sites would ease the burden on many SME developers and provide more certainty that their scheme will be permitted, allowing them to secure the necessary finance that is often unavailable to SMEs until permission is granted. </w:t>
      </w:r>
    </w:p>
    <w:p w14:paraId="6C4CE1F1" w14:textId="251214CD" w:rsidR="00A160EC" w:rsidRPr="002F17D3" w:rsidRDefault="00AE32F6" w:rsidP="002F17D3">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2F17D3">
        <w:rPr>
          <w:rFonts w:ascii="Times New Roman" w:hAnsi="Times New Roman" w:cs="Times New Roman"/>
          <w:bCs/>
        </w:rPr>
        <w:t xml:space="preserve">Alongside the range of </w:t>
      </w:r>
      <w:r w:rsidR="00481928" w:rsidRPr="002F17D3">
        <w:rPr>
          <w:rFonts w:ascii="Times New Roman" w:hAnsi="Times New Roman" w:cs="Times New Roman"/>
          <w:bCs/>
        </w:rPr>
        <w:t>homes,</w:t>
      </w:r>
      <w:r w:rsidRPr="002F17D3">
        <w:rPr>
          <w:rFonts w:ascii="Times New Roman" w:hAnsi="Times New Roman" w:cs="Times New Roman"/>
          <w:bCs/>
        </w:rPr>
        <w:t xml:space="preserve"> t</w:t>
      </w:r>
      <w:r w:rsidR="00BA34D9" w:rsidRPr="002F17D3">
        <w:rPr>
          <w:rFonts w:ascii="Times New Roman" w:hAnsi="Times New Roman" w:cs="Times New Roman"/>
          <w:bCs/>
        </w:rPr>
        <w:t xml:space="preserve">he </w:t>
      </w:r>
      <w:r w:rsidR="00024882" w:rsidRPr="002F17D3">
        <w:rPr>
          <w:rFonts w:ascii="Times New Roman" w:hAnsi="Times New Roman" w:cs="Times New Roman"/>
          <w:bCs/>
        </w:rPr>
        <w:t>Council</w:t>
      </w:r>
      <w:r w:rsidR="00BA34D9" w:rsidRPr="002F17D3">
        <w:rPr>
          <w:rFonts w:ascii="Times New Roman" w:hAnsi="Times New Roman" w:cs="Times New Roman"/>
          <w:bCs/>
        </w:rPr>
        <w:t xml:space="preserve"> should </w:t>
      </w:r>
      <w:r w:rsidR="00024882" w:rsidRPr="002F17D3">
        <w:rPr>
          <w:rFonts w:ascii="Times New Roman" w:hAnsi="Times New Roman" w:cs="Times New Roman"/>
          <w:bCs/>
        </w:rPr>
        <w:t>also</w:t>
      </w:r>
      <w:r w:rsidR="00BA34D9" w:rsidRPr="002F17D3">
        <w:rPr>
          <w:rFonts w:ascii="Times New Roman" w:hAnsi="Times New Roman" w:cs="Times New Roman"/>
          <w:bCs/>
        </w:rPr>
        <w:t xml:space="preserve"> look to distribute sites across the settlements and avoid </w:t>
      </w:r>
      <w:r w:rsidR="00212542" w:rsidRPr="002F17D3">
        <w:rPr>
          <w:rFonts w:ascii="Times New Roman" w:hAnsi="Times New Roman" w:cs="Times New Roman"/>
          <w:bCs/>
        </w:rPr>
        <w:t>an over concentration of development in one location. There is a risk that where a number</w:t>
      </w:r>
      <w:r w:rsidR="00024882" w:rsidRPr="002F17D3">
        <w:rPr>
          <w:rFonts w:ascii="Times New Roman" w:hAnsi="Times New Roman" w:cs="Times New Roman"/>
          <w:bCs/>
        </w:rPr>
        <w:t xml:space="preserve"> </w:t>
      </w:r>
      <w:r w:rsidR="00212542" w:rsidRPr="002F17D3">
        <w:rPr>
          <w:rFonts w:ascii="Times New Roman" w:hAnsi="Times New Roman" w:cs="Times New Roman"/>
          <w:bCs/>
        </w:rPr>
        <w:t xml:space="preserve">of large sites are </w:t>
      </w:r>
      <w:r w:rsidR="00024882" w:rsidRPr="002F17D3">
        <w:rPr>
          <w:rFonts w:ascii="Times New Roman" w:hAnsi="Times New Roman" w:cs="Times New Roman"/>
          <w:bCs/>
        </w:rPr>
        <w:t>located</w:t>
      </w:r>
      <w:r w:rsidR="00212542" w:rsidRPr="002F17D3">
        <w:rPr>
          <w:rFonts w:ascii="Times New Roman" w:hAnsi="Times New Roman" w:cs="Times New Roman"/>
          <w:bCs/>
        </w:rPr>
        <w:t xml:space="preserve"> in proximity to the other that the</w:t>
      </w:r>
      <w:r w:rsidR="00024882" w:rsidRPr="002F17D3">
        <w:rPr>
          <w:rFonts w:ascii="Times New Roman" w:hAnsi="Times New Roman" w:cs="Times New Roman"/>
          <w:bCs/>
        </w:rPr>
        <w:t xml:space="preserve"> local</w:t>
      </w:r>
      <w:r w:rsidR="00212542" w:rsidRPr="002F17D3">
        <w:rPr>
          <w:rFonts w:ascii="Times New Roman" w:hAnsi="Times New Roman" w:cs="Times New Roman"/>
          <w:bCs/>
        </w:rPr>
        <w:t xml:space="preserve"> </w:t>
      </w:r>
      <w:r w:rsidR="00024882" w:rsidRPr="002F17D3">
        <w:rPr>
          <w:rFonts w:ascii="Times New Roman" w:hAnsi="Times New Roman" w:cs="Times New Roman"/>
          <w:bCs/>
        </w:rPr>
        <w:t>market</w:t>
      </w:r>
      <w:r w:rsidR="00212542" w:rsidRPr="002F17D3">
        <w:rPr>
          <w:rFonts w:ascii="Times New Roman" w:hAnsi="Times New Roman" w:cs="Times New Roman"/>
          <w:bCs/>
        </w:rPr>
        <w:t xml:space="preserve"> is </w:t>
      </w:r>
      <w:r w:rsidR="00024882" w:rsidRPr="002F17D3">
        <w:rPr>
          <w:rFonts w:ascii="Times New Roman" w:hAnsi="Times New Roman" w:cs="Times New Roman"/>
          <w:bCs/>
        </w:rPr>
        <w:t>saturated,</w:t>
      </w:r>
      <w:r w:rsidR="00212542" w:rsidRPr="002F17D3">
        <w:rPr>
          <w:rFonts w:ascii="Times New Roman" w:hAnsi="Times New Roman" w:cs="Times New Roman"/>
          <w:bCs/>
        </w:rPr>
        <w:t xml:space="preserve"> </w:t>
      </w:r>
      <w:r w:rsidR="00024882" w:rsidRPr="002F17D3">
        <w:rPr>
          <w:rFonts w:ascii="Times New Roman" w:hAnsi="Times New Roman" w:cs="Times New Roman"/>
          <w:bCs/>
        </w:rPr>
        <w:t xml:space="preserve">reducing the number of homes that may be delivered at any one time. </w:t>
      </w:r>
      <w:r w:rsidR="005613DB" w:rsidRPr="002F17D3">
        <w:rPr>
          <w:rFonts w:ascii="Times New Roman" w:hAnsi="Times New Roman" w:cs="Times New Roman"/>
          <w:bCs/>
        </w:rPr>
        <w:t>I</w:t>
      </w:r>
      <w:r w:rsidR="006C5311" w:rsidRPr="002F17D3">
        <w:rPr>
          <w:rFonts w:ascii="Times New Roman" w:hAnsi="Times New Roman" w:cs="Times New Roman"/>
          <w:bCs/>
        </w:rPr>
        <w:t xml:space="preserve">n </w:t>
      </w:r>
      <w:r w:rsidR="005613DB" w:rsidRPr="002F17D3">
        <w:rPr>
          <w:rFonts w:ascii="Times New Roman" w:hAnsi="Times New Roman" w:cs="Times New Roman"/>
          <w:bCs/>
        </w:rPr>
        <w:t>considering locations for growth the Council s</w:t>
      </w:r>
      <w:r w:rsidR="00266346" w:rsidRPr="002F17D3">
        <w:rPr>
          <w:rFonts w:ascii="Times New Roman" w:hAnsi="Times New Roman" w:cs="Times New Roman"/>
          <w:bCs/>
        </w:rPr>
        <w:t xml:space="preserve">hould </w:t>
      </w:r>
      <w:r w:rsidR="00481928" w:rsidRPr="002F17D3">
        <w:rPr>
          <w:rFonts w:ascii="Times New Roman" w:hAnsi="Times New Roman" w:cs="Times New Roman"/>
          <w:bCs/>
        </w:rPr>
        <w:t xml:space="preserve">therefore </w:t>
      </w:r>
      <w:r w:rsidR="00266346" w:rsidRPr="002F17D3">
        <w:rPr>
          <w:rFonts w:ascii="Times New Roman" w:hAnsi="Times New Roman" w:cs="Times New Roman"/>
          <w:bCs/>
        </w:rPr>
        <w:t xml:space="preserve">look at all settlements and consider </w:t>
      </w:r>
      <w:r w:rsidR="00361D15" w:rsidRPr="002F17D3">
        <w:rPr>
          <w:rFonts w:ascii="Times New Roman" w:hAnsi="Times New Roman" w:cs="Times New Roman"/>
          <w:bCs/>
        </w:rPr>
        <w:t>whether</w:t>
      </w:r>
      <w:r w:rsidR="00266346" w:rsidRPr="002F17D3">
        <w:rPr>
          <w:rFonts w:ascii="Times New Roman" w:hAnsi="Times New Roman" w:cs="Times New Roman"/>
          <w:bCs/>
        </w:rPr>
        <w:t xml:space="preserve"> </w:t>
      </w:r>
      <w:r w:rsidR="00361D15" w:rsidRPr="002F17D3">
        <w:rPr>
          <w:rFonts w:ascii="Times New Roman" w:hAnsi="Times New Roman" w:cs="Times New Roman"/>
          <w:bCs/>
        </w:rPr>
        <w:t>there</w:t>
      </w:r>
      <w:r w:rsidR="00266346" w:rsidRPr="002F17D3">
        <w:rPr>
          <w:rFonts w:ascii="Times New Roman" w:hAnsi="Times New Roman" w:cs="Times New Roman"/>
          <w:bCs/>
        </w:rPr>
        <w:t xml:space="preserve"> are </w:t>
      </w:r>
      <w:r w:rsidR="00361D15" w:rsidRPr="002F17D3">
        <w:rPr>
          <w:rFonts w:ascii="Times New Roman" w:hAnsi="Times New Roman" w:cs="Times New Roman"/>
          <w:bCs/>
        </w:rPr>
        <w:t>opportunities</w:t>
      </w:r>
      <w:r w:rsidR="00266346" w:rsidRPr="002F17D3">
        <w:rPr>
          <w:rFonts w:ascii="Times New Roman" w:hAnsi="Times New Roman" w:cs="Times New Roman"/>
          <w:bCs/>
        </w:rPr>
        <w:t xml:space="preserve"> to grow smaller settlements and improve the </w:t>
      </w:r>
      <w:r w:rsidR="00361D15" w:rsidRPr="002F17D3">
        <w:rPr>
          <w:rFonts w:ascii="Times New Roman" w:hAnsi="Times New Roman" w:cs="Times New Roman"/>
          <w:bCs/>
        </w:rPr>
        <w:t>infrastructure</w:t>
      </w:r>
      <w:r w:rsidR="00266346" w:rsidRPr="002F17D3">
        <w:rPr>
          <w:rFonts w:ascii="Times New Roman" w:hAnsi="Times New Roman" w:cs="Times New Roman"/>
          <w:bCs/>
        </w:rPr>
        <w:t xml:space="preserve"> provision in those locations. There may also be </w:t>
      </w:r>
      <w:r w:rsidR="00361D15" w:rsidRPr="002F17D3">
        <w:rPr>
          <w:rFonts w:ascii="Times New Roman" w:hAnsi="Times New Roman" w:cs="Times New Roman"/>
          <w:bCs/>
        </w:rPr>
        <w:t>opportunities</w:t>
      </w:r>
      <w:r w:rsidR="00266346" w:rsidRPr="002F17D3">
        <w:rPr>
          <w:rFonts w:ascii="Times New Roman" w:hAnsi="Times New Roman" w:cs="Times New Roman"/>
          <w:bCs/>
        </w:rPr>
        <w:t xml:space="preserve"> for </w:t>
      </w:r>
      <w:r w:rsidR="00361D15" w:rsidRPr="002F17D3">
        <w:rPr>
          <w:rFonts w:ascii="Times New Roman" w:hAnsi="Times New Roman" w:cs="Times New Roman"/>
          <w:bCs/>
        </w:rPr>
        <w:t xml:space="preserve">clusters of </w:t>
      </w:r>
      <w:r w:rsidR="00266346" w:rsidRPr="002F17D3">
        <w:rPr>
          <w:rFonts w:ascii="Times New Roman" w:hAnsi="Times New Roman" w:cs="Times New Roman"/>
          <w:bCs/>
        </w:rPr>
        <w:t xml:space="preserve">settlements to </w:t>
      </w:r>
      <w:r w:rsidR="00361D15" w:rsidRPr="002F17D3">
        <w:rPr>
          <w:rFonts w:ascii="Times New Roman" w:hAnsi="Times New Roman" w:cs="Times New Roman"/>
          <w:bCs/>
        </w:rPr>
        <w:t>support growth by providing a range of services across those settlements</w:t>
      </w:r>
      <w:r w:rsidR="008A67F5" w:rsidRPr="002F17D3">
        <w:rPr>
          <w:rFonts w:ascii="Times New Roman" w:hAnsi="Times New Roman" w:cs="Times New Roman"/>
          <w:bCs/>
        </w:rPr>
        <w:t xml:space="preserve"> as opposed to requiring just one settlement to meet all the needs of a new development. </w:t>
      </w:r>
      <w:r w:rsidR="00361D15" w:rsidRPr="002F17D3">
        <w:rPr>
          <w:rFonts w:ascii="Times New Roman" w:hAnsi="Times New Roman" w:cs="Times New Roman"/>
          <w:bCs/>
        </w:rPr>
        <w:t xml:space="preserve"> </w:t>
      </w:r>
    </w:p>
    <w:p w14:paraId="2FDE6281" w14:textId="6CE92B4B" w:rsidR="002718EE" w:rsidRPr="002C658C" w:rsidRDefault="007C11C2" w:rsidP="002C658C">
      <w:pPr>
        <w:spacing w:after="240" w:line="360" w:lineRule="auto"/>
        <w:rPr>
          <w:rFonts w:ascii="Arial" w:hAnsi="Arial" w:cs="Arial"/>
          <w:b/>
        </w:rPr>
      </w:pPr>
      <w:r w:rsidRPr="002C658C">
        <w:rPr>
          <w:rFonts w:ascii="Arial" w:hAnsi="Arial" w:cs="Arial"/>
          <w:b/>
        </w:rPr>
        <w:t>Protecting and enhancing the environment</w:t>
      </w:r>
    </w:p>
    <w:p w14:paraId="0B239C6E" w14:textId="6CC37899" w:rsidR="00EF3A13" w:rsidRDefault="003C3B4F" w:rsidP="00124F2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 xml:space="preserve">In seeking to avoid the harm to </w:t>
      </w:r>
      <w:r w:rsidR="00352D62">
        <w:rPr>
          <w:rFonts w:ascii="Times New Roman" w:hAnsi="Times New Roman" w:cs="Times New Roman"/>
          <w:bCs/>
          <w:lang w:val="en-GB"/>
        </w:rPr>
        <w:t>environmentally sensitive parts to the Borough the Council will</w:t>
      </w:r>
      <w:r w:rsidR="0099260A">
        <w:rPr>
          <w:rFonts w:ascii="Times New Roman" w:hAnsi="Times New Roman" w:cs="Times New Roman"/>
          <w:bCs/>
          <w:lang w:val="en-GB"/>
        </w:rPr>
        <w:t xml:space="preserve"> need to direct development away from the most </w:t>
      </w:r>
      <w:r w:rsidR="006D397A">
        <w:rPr>
          <w:rFonts w:ascii="Times New Roman" w:hAnsi="Times New Roman" w:cs="Times New Roman"/>
          <w:bCs/>
          <w:lang w:val="en-GB"/>
        </w:rPr>
        <w:t>environmentally</w:t>
      </w:r>
      <w:r w:rsidR="0099260A">
        <w:rPr>
          <w:rFonts w:ascii="Times New Roman" w:hAnsi="Times New Roman" w:cs="Times New Roman"/>
          <w:bCs/>
          <w:lang w:val="en-GB"/>
        </w:rPr>
        <w:t xml:space="preserve"> sensitive areas. </w:t>
      </w:r>
      <w:r w:rsidR="006D397A">
        <w:rPr>
          <w:rFonts w:ascii="Times New Roman" w:hAnsi="Times New Roman" w:cs="Times New Roman"/>
          <w:bCs/>
          <w:lang w:val="en-GB"/>
        </w:rPr>
        <w:t>However,</w:t>
      </w:r>
      <w:r w:rsidR="0099260A">
        <w:rPr>
          <w:rFonts w:ascii="Times New Roman" w:hAnsi="Times New Roman" w:cs="Times New Roman"/>
          <w:bCs/>
          <w:lang w:val="en-GB"/>
        </w:rPr>
        <w:t xml:space="preserve"> it is notable that within th</w:t>
      </w:r>
      <w:r w:rsidR="00D13EFA">
        <w:rPr>
          <w:rFonts w:ascii="Times New Roman" w:hAnsi="Times New Roman" w:cs="Times New Roman"/>
          <w:bCs/>
          <w:lang w:val="en-GB"/>
        </w:rPr>
        <w:t xml:space="preserve">is chapter the </w:t>
      </w:r>
      <w:r w:rsidR="006D397A">
        <w:rPr>
          <w:rFonts w:ascii="Times New Roman" w:hAnsi="Times New Roman" w:cs="Times New Roman"/>
          <w:bCs/>
          <w:lang w:val="en-GB"/>
        </w:rPr>
        <w:t>Council</w:t>
      </w:r>
      <w:r w:rsidR="00D13EFA">
        <w:rPr>
          <w:rFonts w:ascii="Times New Roman" w:hAnsi="Times New Roman" w:cs="Times New Roman"/>
          <w:bCs/>
          <w:lang w:val="en-GB"/>
        </w:rPr>
        <w:t xml:space="preserve"> has included </w:t>
      </w:r>
      <w:r w:rsidR="00183A07">
        <w:rPr>
          <w:rFonts w:ascii="Times New Roman" w:hAnsi="Times New Roman" w:cs="Times New Roman"/>
          <w:bCs/>
          <w:lang w:val="en-GB"/>
        </w:rPr>
        <w:t xml:space="preserve">a number of designations such as </w:t>
      </w:r>
      <w:r w:rsidR="00D13EFA">
        <w:rPr>
          <w:rFonts w:ascii="Times New Roman" w:hAnsi="Times New Roman" w:cs="Times New Roman"/>
          <w:bCs/>
          <w:lang w:val="en-GB"/>
        </w:rPr>
        <w:t>Green Belt</w:t>
      </w:r>
      <w:r w:rsidR="002F43AB">
        <w:rPr>
          <w:rFonts w:ascii="Times New Roman" w:hAnsi="Times New Roman" w:cs="Times New Roman"/>
          <w:bCs/>
          <w:lang w:val="en-GB"/>
        </w:rPr>
        <w:t>, Local Green Space</w:t>
      </w:r>
      <w:r w:rsidR="009016AE">
        <w:rPr>
          <w:rFonts w:ascii="Times New Roman" w:hAnsi="Times New Roman" w:cs="Times New Roman"/>
          <w:bCs/>
          <w:lang w:val="en-GB"/>
        </w:rPr>
        <w:t xml:space="preserve">, </w:t>
      </w:r>
      <w:r w:rsidR="00D13EFA">
        <w:rPr>
          <w:rFonts w:ascii="Times New Roman" w:hAnsi="Times New Roman" w:cs="Times New Roman"/>
          <w:bCs/>
          <w:lang w:val="en-GB"/>
        </w:rPr>
        <w:t>Strategic Gaps</w:t>
      </w:r>
      <w:r w:rsidR="009016AE">
        <w:rPr>
          <w:rFonts w:ascii="Times New Roman" w:hAnsi="Times New Roman" w:cs="Times New Roman"/>
          <w:bCs/>
          <w:lang w:val="en-GB"/>
        </w:rPr>
        <w:t xml:space="preserve"> and Areas of </w:t>
      </w:r>
      <w:r w:rsidR="00275692">
        <w:rPr>
          <w:rFonts w:ascii="Times New Roman" w:hAnsi="Times New Roman" w:cs="Times New Roman"/>
          <w:bCs/>
          <w:lang w:val="en-GB"/>
        </w:rPr>
        <w:t>Strategic Visual Importance</w:t>
      </w:r>
      <w:r w:rsidR="00D13EFA">
        <w:rPr>
          <w:rFonts w:ascii="Times New Roman" w:hAnsi="Times New Roman" w:cs="Times New Roman"/>
          <w:bCs/>
          <w:lang w:val="en-GB"/>
        </w:rPr>
        <w:t xml:space="preserve"> </w:t>
      </w:r>
      <w:r w:rsidR="00153D03">
        <w:rPr>
          <w:rFonts w:ascii="Times New Roman" w:hAnsi="Times New Roman" w:cs="Times New Roman"/>
          <w:bCs/>
          <w:lang w:val="en-GB"/>
        </w:rPr>
        <w:t xml:space="preserve">which are policy designations </w:t>
      </w:r>
      <w:r w:rsidR="00333794">
        <w:rPr>
          <w:rFonts w:ascii="Times New Roman" w:hAnsi="Times New Roman" w:cs="Times New Roman"/>
          <w:bCs/>
          <w:lang w:val="en-GB"/>
        </w:rPr>
        <w:t xml:space="preserve">whose boundaries can be amended through the local </w:t>
      </w:r>
      <w:r w:rsidR="00383ACA">
        <w:rPr>
          <w:rFonts w:ascii="Times New Roman" w:hAnsi="Times New Roman" w:cs="Times New Roman"/>
          <w:bCs/>
          <w:lang w:val="en-GB"/>
        </w:rPr>
        <w:t>plan,</w:t>
      </w:r>
      <w:r w:rsidR="002F43AB">
        <w:rPr>
          <w:rFonts w:ascii="Times New Roman" w:hAnsi="Times New Roman" w:cs="Times New Roman"/>
          <w:bCs/>
          <w:lang w:val="en-GB"/>
        </w:rPr>
        <w:t xml:space="preserve"> and which are not </w:t>
      </w:r>
      <w:r w:rsidR="008B7436">
        <w:rPr>
          <w:rFonts w:ascii="Times New Roman" w:hAnsi="Times New Roman" w:cs="Times New Roman"/>
          <w:bCs/>
          <w:lang w:val="en-GB"/>
        </w:rPr>
        <w:t xml:space="preserve">strictly speaking </w:t>
      </w:r>
      <w:r w:rsidR="002F43AB">
        <w:rPr>
          <w:rFonts w:ascii="Times New Roman" w:hAnsi="Times New Roman" w:cs="Times New Roman"/>
          <w:bCs/>
          <w:lang w:val="en-GB"/>
        </w:rPr>
        <w:t xml:space="preserve">environmental </w:t>
      </w:r>
      <w:r w:rsidR="00C43BC8">
        <w:rPr>
          <w:rFonts w:ascii="Times New Roman" w:hAnsi="Times New Roman" w:cs="Times New Roman"/>
          <w:bCs/>
          <w:lang w:val="en-GB"/>
        </w:rPr>
        <w:t>designations</w:t>
      </w:r>
      <w:r w:rsidR="00AA6EFF">
        <w:rPr>
          <w:rFonts w:ascii="Times New Roman" w:hAnsi="Times New Roman" w:cs="Times New Roman"/>
          <w:bCs/>
          <w:lang w:val="en-GB"/>
        </w:rPr>
        <w:t xml:space="preserve"> </w:t>
      </w:r>
      <w:r w:rsidR="00BB53BB">
        <w:rPr>
          <w:rFonts w:ascii="Times New Roman" w:hAnsi="Times New Roman" w:cs="Times New Roman"/>
          <w:bCs/>
          <w:lang w:val="en-GB"/>
        </w:rPr>
        <w:t>as suggested in this chapter</w:t>
      </w:r>
      <w:r w:rsidR="003520A9">
        <w:rPr>
          <w:rFonts w:ascii="Times New Roman" w:hAnsi="Times New Roman" w:cs="Times New Roman"/>
          <w:bCs/>
          <w:lang w:val="en-GB"/>
        </w:rPr>
        <w:t>.</w:t>
      </w:r>
      <w:r w:rsidR="00C43BC8">
        <w:rPr>
          <w:rFonts w:ascii="Times New Roman" w:hAnsi="Times New Roman" w:cs="Times New Roman"/>
          <w:bCs/>
          <w:lang w:val="en-GB"/>
        </w:rPr>
        <w:t xml:space="preserve"> As such if development needs cannot be met </w:t>
      </w:r>
      <w:r w:rsidR="00C66956">
        <w:rPr>
          <w:rFonts w:ascii="Times New Roman" w:hAnsi="Times New Roman" w:cs="Times New Roman"/>
          <w:bCs/>
          <w:lang w:val="en-GB"/>
        </w:rPr>
        <w:t xml:space="preserve">in other parts of the Borough </w:t>
      </w:r>
      <w:r w:rsidR="003F5F1B">
        <w:rPr>
          <w:rFonts w:ascii="Times New Roman" w:hAnsi="Times New Roman" w:cs="Times New Roman"/>
          <w:bCs/>
          <w:lang w:val="en-GB"/>
        </w:rPr>
        <w:t xml:space="preserve">the Council must </w:t>
      </w:r>
      <w:r w:rsidR="00853AE8">
        <w:rPr>
          <w:rFonts w:ascii="Times New Roman" w:hAnsi="Times New Roman" w:cs="Times New Roman"/>
          <w:bCs/>
          <w:lang w:val="en-GB"/>
        </w:rPr>
        <w:t>undertake</w:t>
      </w:r>
      <w:r w:rsidR="003F5F1B">
        <w:rPr>
          <w:rFonts w:ascii="Times New Roman" w:hAnsi="Times New Roman" w:cs="Times New Roman"/>
          <w:bCs/>
          <w:lang w:val="en-GB"/>
        </w:rPr>
        <w:t xml:space="preserve"> the necessary work to </w:t>
      </w:r>
      <w:r w:rsidR="00AA335E">
        <w:rPr>
          <w:rFonts w:ascii="Times New Roman" w:hAnsi="Times New Roman" w:cs="Times New Roman"/>
          <w:bCs/>
          <w:lang w:val="en-GB"/>
        </w:rPr>
        <w:t xml:space="preserve">review </w:t>
      </w:r>
      <w:r w:rsidR="00383ACA">
        <w:rPr>
          <w:rFonts w:ascii="Times New Roman" w:hAnsi="Times New Roman" w:cs="Times New Roman"/>
          <w:bCs/>
          <w:lang w:val="en-GB"/>
        </w:rPr>
        <w:t xml:space="preserve">Green Belt, LGS or the strategic gap to identify where boundaries </w:t>
      </w:r>
      <w:r w:rsidR="00471640">
        <w:rPr>
          <w:rFonts w:ascii="Times New Roman" w:hAnsi="Times New Roman" w:cs="Times New Roman"/>
          <w:bCs/>
          <w:lang w:val="en-GB"/>
        </w:rPr>
        <w:t>could be amended</w:t>
      </w:r>
      <w:r w:rsidR="00853AE8">
        <w:rPr>
          <w:rFonts w:ascii="Times New Roman" w:hAnsi="Times New Roman" w:cs="Times New Roman"/>
          <w:bCs/>
          <w:lang w:val="en-GB"/>
        </w:rPr>
        <w:t xml:space="preserve"> to ensure development needs are met in full. </w:t>
      </w:r>
      <w:r w:rsidR="00471640">
        <w:rPr>
          <w:rFonts w:ascii="Times New Roman" w:hAnsi="Times New Roman" w:cs="Times New Roman"/>
          <w:bCs/>
          <w:lang w:val="en-GB"/>
        </w:rPr>
        <w:t>More detail</w:t>
      </w:r>
      <w:r w:rsidR="006C13D5">
        <w:rPr>
          <w:rFonts w:ascii="Times New Roman" w:hAnsi="Times New Roman" w:cs="Times New Roman"/>
          <w:bCs/>
          <w:lang w:val="en-GB"/>
        </w:rPr>
        <w:t>ed</w:t>
      </w:r>
      <w:r w:rsidR="00471640">
        <w:rPr>
          <w:rFonts w:ascii="Times New Roman" w:hAnsi="Times New Roman" w:cs="Times New Roman"/>
          <w:bCs/>
          <w:lang w:val="en-GB"/>
        </w:rPr>
        <w:t xml:space="preserve"> comments on th</w:t>
      </w:r>
      <w:r w:rsidR="006C13D5">
        <w:rPr>
          <w:rFonts w:ascii="Times New Roman" w:hAnsi="Times New Roman" w:cs="Times New Roman"/>
          <w:bCs/>
          <w:lang w:val="en-GB"/>
        </w:rPr>
        <w:t>ese</w:t>
      </w:r>
      <w:r w:rsidR="00471640">
        <w:rPr>
          <w:rFonts w:ascii="Times New Roman" w:hAnsi="Times New Roman" w:cs="Times New Roman"/>
          <w:bCs/>
          <w:lang w:val="en-GB"/>
        </w:rPr>
        <w:t xml:space="preserve"> are set out in our response to </w:t>
      </w:r>
      <w:r w:rsidR="008540E9">
        <w:rPr>
          <w:rFonts w:ascii="Times New Roman" w:hAnsi="Times New Roman" w:cs="Times New Roman"/>
          <w:bCs/>
          <w:lang w:val="en-GB"/>
        </w:rPr>
        <w:t>the following chapter ‘Delivering Decent Homes for All’.</w:t>
      </w:r>
    </w:p>
    <w:p w14:paraId="795CECA9" w14:textId="71CCF08A" w:rsidR="00FC5BB3" w:rsidRPr="00256BC3" w:rsidRDefault="00256BC3" w:rsidP="00FC5BB3">
      <w:pPr>
        <w:widowControl/>
        <w:suppressAutoHyphens w:val="0"/>
        <w:autoSpaceDE/>
        <w:spacing w:after="240" w:line="360" w:lineRule="auto"/>
        <w:jc w:val="both"/>
        <w:rPr>
          <w:rFonts w:ascii="Times New Roman" w:hAnsi="Times New Roman" w:cs="Times New Roman"/>
          <w:bCs/>
          <w:i/>
          <w:iCs/>
          <w:u w:val="single"/>
          <w:lang w:val="en-GB"/>
        </w:rPr>
      </w:pPr>
      <w:r w:rsidRPr="00256BC3">
        <w:rPr>
          <w:rFonts w:ascii="Times New Roman" w:hAnsi="Times New Roman" w:cs="Times New Roman"/>
          <w:bCs/>
          <w:i/>
          <w:iCs/>
          <w:u w:val="single"/>
          <w:lang w:val="en-GB"/>
        </w:rPr>
        <w:t>Biodiversity</w:t>
      </w:r>
      <w:r w:rsidR="00554523" w:rsidRPr="00256BC3">
        <w:rPr>
          <w:rFonts w:ascii="Times New Roman" w:hAnsi="Times New Roman" w:cs="Times New Roman"/>
          <w:bCs/>
          <w:i/>
          <w:iCs/>
          <w:u w:val="single"/>
          <w:lang w:val="en-GB"/>
        </w:rPr>
        <w:t xml:space="preserve"> </w:t>
      </w:r>
      <w:r w:rsidRPr="00256BC3">
        <w:rPr>
          <w:rFonts w:ascii="Times New Roman" w:hAnsi="Times New Roman" w:cs="Times New Roman"/>
          <w:bCs/>
          <w:i/>
          <w:iCs/>
          <w:u w:val="single"/>
          <w:lang w:val="en-GB"/>
        </w:rPr>
        <w:t>Net Gains</w:t>
      </w:r>
    </w:p>
    <w:p w14:paraId="163A632E" w14:textId="0B8ADC84" w:rsidR="00633C7A" w:rsidRPr="00633C7A" w:rsidRDefault="00421CA3" w:rsidP="00633C7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633C7A">
        <w:rPr>
          <w:rFonts w:ascii="Times New Roman" w:hAnsi="Times New Roman" w:cs="Times New Roman"/>
          <w:bCs/>
        </w:rPr>
        <w:t xml:space="preserve">The Council should seek to apply the 10% BNG as set out by legislation. Going beyond this is unnecessary and places a significant additional burden on new development. </w:t>
      </w:r>
      <w:r w:rsidR="00633C7A" w:rsidRPr="00633C7A">
        <w:rPr>
          <w:rFonts w:ascii="Times New Roman" w:hAnsi="Times New Roman" w:cs="Times New Roman"/>
          <w:bCs/>
        </w:rPr>
        <w:t xml:space="preserve">Guidance </w:t>
      </w:r>
      <w:r w:rsidR="00633C7A">
        <w:rPr>
          <w:rFonts w:ascii="Times New Roman" w:hAnsi="Times New Roman" w:cs="Times New Roman"/>
          <w:bCs/>
        </w:rPr>
        <w:t xml:space="preserve">is clear </w:t>
      </w:r>
      <w:r w:rsidR="00E4079F">
        <w:rPr>
          <w:rFonts w:ascii="Times New Roman" w:hAnsi="Times New Roman" w:cs="Times New Roman"/>
          <w:bCs/>
        </w:rPr>
        <w:t xml:space="preserve">in </w:t>
      </w:r>
      <w:r w:rsidR="00E4079F" w:rsidRPr="00633C7A">
        <w:rPr>
          <w:rFonts w:ascii="Times New Roman" w:hAnsi="Times New Roman" w:cs="Times New Roman"/>
          <w:bCs/>
        </w:rPr>
        <w:t xml:space="preserve">paragraph 74-006-20240214 of PPG </w:t>
      </w:r>
      <w:r w:rsidR="00E4079F">
        <w:rPr>
          <w:rFonts w:ascii="Times New Roman" w:hAnsi="Times New Roman" w:cs="Times New Roman"/>
          <w:bCs/>
        </w:rPr>
        <w:t>that plan makers should not seek to go beyond without justification</w:t>
      </w:r>
      <w:r w:rsidR="00633C7A" w:rsidRPr="00633C7A">
        <w:rPr>
          <w:rFonts w:ascii="Times New Roman" w:hAnsi="Times New Roman" w:cs="Times New Roman"/>
          <w:bCs/>
        </w:rPr>
        <w:t>:</w:t>
      </w:r>
    </w:p>
    <w:p w14:paraId="58FB98A0" w14:textId="71758944" w:rsidR="00633C7A" w:rsidRDefault="00633C7A" w:rsidP="00633C7A">
      <w:pPr>
        <w:widowControl/>
        <w:suppressAutoHyphens w:val="0"/>
        <w:autoSpaceDE/>
        <w:spacing w:after="240" w:line="360" w:lineRule="auto"/>
        <w:ind w:left="1134" w:right="571"/>
        <w:jc w:val="both"/>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i/>
          <w:iCs/>
        </w:rPr>
        <w:t>plan-makers should not seek a higher percentage than the statutory objective of 10% biodiversity net gain, either on an area-wide basis or for specific allocations for development unless justified. To justify such policies, they will need to be evidenced including as to local need for a higher percentage, local opportunities for a higher percentage and any impacts on viability for development</w:t>
      </w:r>
      <w:r>
        <w:rPr>
          <w:rFonts w:ascii="Times New Roman" w:hAnsi="Times New Roman" w:cs="Times New Roman"/>
          <w:bCs/>
        </w:rPr>
        <w:t>”</w:t>
      </w:r>
    </w:p>
    <w:p w14:paraId="471B25D0" w14:textId="778341E3" w:rsidR="00633C7A" w:rsidRDefault="00633C7A" w:rsidP="00633C7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As such the starting point is that</w:t>
      </w:r>
      <w:r w:rsidR="00A940C3">
        <w:rPr>
          <w:rFonts w:ascii="Times New Roman" w:hAnsi="Times New Roman" w:cs="Times New Roman"/>
          <w:bCs/>
        </w:rPr>
        <w:t xml:space="preserve"> a</w:t>
      </w:r>
      <w:r>
        <w:rPr>
          <w:rFonts w:ascii="Times New Roman" w:hAnsi="Times New Roman" w:cs="Times New Roman"/>
          <w:bCs/>
        </w:rPr>
        <w:t xml:space="preserve"> local plan should not seek a higher requirement</w:t>
      </w:r>
      <w:r w:rsidR="00A940C3">
        <w:rPr>
          <w:rFonts w:ascii="Times New Roman" w:hAnsi="Times New Roman" w:cs="Times New Roman"/>
          <w:bCs/>
        </w:rPr>
        <w:t xml:space="preserve"> for BNG than that set out in </w:t>
      </w:r>
      <w:r w:rsidR="0030774C">
        <w:rPr>
          <w:rFonts w:ascii="Times New Roman" w:hAnsi="Times New Roman" w:cs="Times New Roman"/>
          <w:bCs/>
        </w:rPr>
        <w:t>legislation</w:t>
      </w:r>
      <w:r>
        <w:rPr>
          <w:rFonts w:ascii="Times New Roman" w:hAnsi="Times New Roman" w:cs="Times New Roman"/>
          <w:bCs/>
        </w:rPr>
        <w:t xml:space="preserve">. This is different to a permissive policy allowing local plans to seek a higher level of BNG where </w:t>
      </w:r>
      <w:r>
        <w:rPr>
          <w:rFonts w:ascii="Times New Roman" w:hAnsi="Times New Roman" w:cs="Times New Roman"/>
          <w:bCs/>
        </w:rPr>
        <w:lastRenderedPageBreak/>
        <w:t xml:space="preserve">justified, and the HBF would argue that it should be considered a high bar with regard to the evidence required to justify </w:t>
      </w:r>
      <w:r w:rsidR="00E82C45">
        <w:rPr>
          <w:rFonts w:ascii="Times New Roman" w:hAnsi="Times New Roman" w:cs="Times New Roman"/>
          <w:bCs/>
        </w:rPr>
        <w:t>going beyond 10%</w:t>
      </w:r>
      <w:r>
        <w:rPr>
          <w:rFonts w:ascii="Times New Roman" w:hAnsi="Times New Roman" w:cs="Times New Roman"/>
          <w:bCs/>
        </w:rPr>
        <w:t>. There must be very robust evidence that the area is significantly worse than the country as whole with regard to the negative impacts on biodiversity from development</w:t>
      </w:r>
      <w:r w:rsidR="00E4079F">
        <w:rPr>
          <w:rFonts w:ascii="Times New Roman" w:hAnsi="Times New Roman" w:cs="Times New Roman"/>
          <w:bCs/>
        </w:rPr>
        <w:t xml:space="preserve"> and that viability of development will not be compromised. </w:t>
      </w:r>
    </w:p>
    <w:p w14:paraId="609D4B38" w14:textId="50384773" w:rsidR="007053CB" w:rsidRDefault="00E4079F" w:rsidP="007053CB">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With regard </w:t>
      </w:r>
      <w:r w:rsidR="001B059B">
        <w:rPr>
          <w:rFonts w:ascii="Times New Roman" w:hAnsi="Times New Roman" w:cs="Times New Roman"/>
          <w:bCs/>
        </w:rPr>
        <w:t>to</w:t>
      </w:r>
      <w:r>
        <w:rPr>
          <w:rFonts w:ascii="Times New Roman" w:hAnsi="Times New Roman" w:cs="Times New Roman"/>
          <w:bCs/>
        </w:rPr>
        <w:t xml:space="preserve"> </w:t>
      </w:r>
      <w:r w:rsidR="001B059B">
        <w:rPr>
          <w:rFonts w:ascii="Times New Roman" w:hAnsi="Times New Roman" w:cs="Times New Roman"/>
          <w:bCs/>
        </w:rPr>
        <w:t>viability</w:t>
      </w:r>
      <w:r>
        <w:rPr>
          <w:rFonts w:ascii="Times New Roman" w:hAnsi="Times New Roman" w:cs="Times New Roman"/>
          <w:bCs/>
        </w:rPr>
        <w:t xml:space="preserve"> </w:t>
      </w:r>
      <w:r w:rsidR="001B059B">
        <w:rPr>
          <w:rFonts w:ascii="Times New Roman" w:hAnsi="Times New Roman" w:cs="Times New Roman"/>
          <w:bCs/>
        </w:rPr>
        <w:t>the Council must recognise that t</w:t>
      </w:r>
      <w:r w:rsidR="00D16F1D" w:rsidRPr="00E4079F">
        <w:rPr>
          <w:rFonts w:ascii="Times New Roman" w:hAnsi="Times New Roman" w:cs="Times New Roman"/>
          <w:bCs/>
        </w:rPr>
        <w:t xml:space="preserve">his can be difficult as until the ecological assessment is undertaken of that site it is not known how any biodiversity </w:t>
      </w:r>
      <w:r w:rsidR="00D16F1D" w:rsidRPr="00E4079F">
        <w:rPr>
          <w:rFonts w:ascii="Times New Roman" w:hAnsi="Times New Roman" w:cs="Times New Roman"/>
          <w:bCs/>
          <w:lang w:val="en-GB"/>
        </w:rPr>
        <w:t>units</w:t>
      </w:r>
      <w:r w:rsidR="00D16F1D" w:rsidRPr="00E4079F">
        <w:rPr>
          <w:rFonts w:ascii="Times New Roman" w:hAnsi="Times New Roman" w:cs="Times New Roman"/>
          <w:bCs/>
        </w:rPr>
        <w:t xml:space="preserve"> will be required to ensure the necessary net gain, the type of units that need to be delivered and how many of these units can be delivered on site. For example, the latest BNG Report from Biodiversity Units UK shows that the price of offsite units in the south of England ranges from £25,000 for neutral grass land, £70,000 per unit for open mosaic habitat and as £170,000 for some watercourses. For this reason, HBF suggests that there needs to be some consideration</w:t>
      </w:r>
      <w:r w:rsidR="00385EA7">
        <w:rPr>
          <w:rFonts w:ascii="Times New Roman" w:hAnsi="Times New Roman" w:cs="Times New Roman"/>
          <w:bCs/>
        </w:rPr>
        <w:t xml:space="preserve">, even </w:t>
      </w:r>
      <w:r w:rsidR="006D7DB0">
        <w:rPr>
          <w:rFonts w:ascii="Times New Roman" w:hAnsi="Times New Roman" w:cs="Times New Roman"/>
          <w:bCs/>
        </w:rPr>
        <w:t>if</w:t>
      </w:r>
      <w:r w:rsidR="00385EA7">
        <w:rPr>
          <w:rFonts w:ascii="Times New Roman" w:hAnsi="Times New Roman" w:cs="Times New Roman"/>
          <w:bCs/>
        </w:rPr>
        <w:t xml:space="preserve"> the statutory </w:t>
      </w:r>
      <w:r w:rsidR="006D7DB0">
        <w:rPr>
          <w:rFonts w:ascii="Times New Roman" w:hAnsi="Times New Roman" w:cs="Times New Roman"/>
          <w:bCs/>
        </w:rPr>
        <w:t>minimum</w:t>
      </w:r>
      <w:r w:rsidR="00385EA7">
        <w:rPr>
          <w:rFonts w:ascii="Times New Roman" w:hAnsi="Times New Roman" w:cs="Times New Roman"/>
          <w:bCs/>
        </w:rPr>
        <w:t xml:space="preserve"> is being applied</w:t>
      </w:r>
      <w:r w:rsidR="006D7DB0">
        <w:rPr>
          <w:rFonts w:ascii="Times New Roman" w:hAnsi="Times New Roman" w:cs="Times New Roman"/>
          <w:bCs/>
        </w:rPr>
        <w:t>,</w:t>
      </w:r>
      <w:r w:rsidR="00D16F1D" w:rsidRPr="00E4079F">
        <w:rPr>
          <w:rFonts w:ascii="Times New Roman" w:hAnsi="Times New Roman" w:cs="Times New Roman"/>
          <w:bCs/>
        </w:rPr>
        <w:t xml:space="preserve"> as to the type of habitats on allocated sites for the impact of BNG on viability to be effectively considered at the plan making stage. </w:t>
      </w:r>
    </w:p>
    <w:p w14:paraId="1AAF9D7D" w14:textId="77777777" w:rsidR="00771141" w:rsidRPr="00771141" w:rsidRDefault="00474BC9" w:rsidP="0077114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i/>
          <w:iCs/>
        </w:rPr>
      </w:pPr>
      <w:r w:rsidRPr="007053CB">
        <w:rPr>
          <w:rFonts w:ascii="Times New Roman" w:hAnsi="Times New Roman" w:cs="Times New Roman"/>
          <w:bCs/>
        </w:rPr>
        <w:t>HBF would also</w:t>
      </w:r>
      <w:r w:rsidR="00033FF4" w:rsidRPr="007053CB">
        <w:rPr>
          <w:rFonts w:ascii="Times New Roman" w:hAnsi="Times New Roman" w:cs="Times New Roman"/>
          <w:bCs/>
        </w:rPr>
        <w:t xml:space="preserve"> suggest that the </w:t>
      </w:r>
      <w:r w:rsidR="007053CB" w:rsidRPr="007053CB">
        <w:rPr>
          <w:rFonts w:ascii="Times New Roman" w:hAnsi="Times New Roman" w:cs="Times New Roman"/>
          <w:bCs/>
        </w:rPr>
        <w:t>Council</w:t>
      </w:r>
      <w:r w:rsidR="00033FF4" w:rsidRPr="007053CB">
        <w:rPr>
          <w:rFonts w:ascii="Times New Roman" w:hAnsi="Times New Roman" w:cs="Times New Roman"/>
          <w:bCs/>
        </w:rPr>
        <w:t xml:space="preserve"> given consideration as to </w:t>
      </w:r>
      <w:r w:rsidR="007053CB" w:rsidRPr="007053CB">
        <w:rPr>
          <w:rFonts w:ascii="Times New Roman" w:hAnsi="Times New Roman" w:cs="Times New Roman"/>
          <w:bCs/>
        </w:rPr>
        <w:t>whether</w:t>
      </w:r>
      <w:r w:rsidR="00033FF4" w:rsidRPr="007053CB">
        <w:rPr>
          <w:rFonts w:ascii="Times New Roman" w:hAnsi="Times New Roman" w:cs="Times New Roman"/>
          <w:bCs/>
        </w:rPr>
        <w:t xml:space="preserve"> a </w:t>
      </w:r>
      <w:r w:rsidR="007053CB" w:rsidRPr="007053CB">
        <w:rPr>
          <w:rFonts w:ascii="Times New Roman" w:hAnsi="Times New Roman" w:cs="Times New Roman"/>
          <w:bCs/>
        </w:rPr>
        <w:t>policy</w:t>
      </w:r>
      <w:r w:rsidR="00033FF4" w:rsidRPr="007053CB">
        <w:rPr>
          <w:rFonts w:ascii="Times New Roman" w:hAnsi="Times New Roman" w:cs="Times New Roman"/>
          <w:bCs/>
        </w:rPr>
        <w:t xml:space="preserve"> on BNG is </w:t>
      </w:r>
      <w:r w:rsidR="007053CB" w:rsidRPr="007053CB">
        <w:rPr>
          <w:rFonts w:ascii="Times New Roman" w:hAnsi="Times New Roman" w:cs="Times New Roman"/>
          <w:bCs/>
        </w:rPr>
        <w:t>needed</w:t>
      </w:r>
      <w:r w:rsidR="00033FF4" w:rsidRPr="007053CB">
        <w:rPr>
          <w:rFonts w:ascii="Times New Roman" w:hAnsi="Times New Roman" w:cs="Times New Roman"/>
          <w:bCs/>
        </w:rPr>
        <w:t xml:space="preserve"> </w:t>
      </w:r>
      <w:r w:rsidR="007053CB" w:rsidRPr="007053CB">
        <w:rPr>
          <w:rFonts w:ascii="Times New Roman" w:hAnsi="Times New Roman" w:cs="Times New Roman"/>
          <w:bCs/>
        </w:rPr>
        <w:t>given</w:t>
      </w:r>
      <w:r w:rsidR="00033FF4" w:rsidRPr="007053CB">
        <w:rPr>
          <w:rFonts w:ascii="Times New Roman" w:hAnsi="Times New Roman" w:cs="Times New Roman"/>
          <w:bCs/>
        </w:rPr>
        <w:t xml:space="preserve"> that </w:t>
      </w:r>
      <w:r w:rsidR="007053CB">
        <w:rPr>
          <w:rFonts w:ascii="Times New Roman" w:hAnsi="Times New Roman" w:cs="Times New Roman"/>
          <w:bCs/>
        </w:rPr>
        <w:t>the process for considering and delivering BNG is set out</w:t>
      </w:r>
      <w:r w:rsidR="00033FF4" w:rsidRPr="007053CB">
        <w:rPr>
          <w:rFonts w:ascii="Times New Roman" w:hAnsi="Times New Roman" w:cs="Times New Roman"/>
          <w:bCs/>
        </w:rPr>
        <w:t xml:space="preserve"> in legislation and re</w:t>
      </w:r>
      <w:r w:rsidR="007053CB" w:rsidRPr="007053CB">
        <w:rPr>
          <w:rFonts w:ascii="Times New Roman" w:hAnsi="Times New Roman" w:cs="Times New Roman"/>
          <w:bCs/>
        </w:rPr>
        <w:t xml:space="preserve">gulation. </w:t>
      </w:r>
      <w:r w:rsidRPr="007053CB">
        <w:rPr>
          <w:rFonts w:ascii="Times New Roman" w:hAnsi="Times New Roman" w:cs="Times New Roman"/>
          <w:bCs/>
        </w:rPr>
        <w:t xml:space="preserve">The HBF notes </w:t>
      </w:r>
      <w:r w:rsidR="007053CB">
        <w:rPr>
          <w:rFonts w:ascii="Times New Roman" w:hAnsi="Times New Roman" w:cs="Times New Roman"/>
          <w:bCs/>
        </w:rPr>
        <w:t>that one th</w:t>
      </w:r>
      <w:r w:rsidRPr="007053CB">
        <w:rPr>
          <w:rFonts w:ascii="Times New Roman" w:hAnsi="Times New Roman" w:cs="Times New Roman"/>
          <w:bCs/>
        </w:rPr>
        <w:t>e introduction of mandatory Biodiversity Net Gain (BNG) relevant updates</w:t>
      </w:r>
      <w:r w:rsidR="007053CB">
        <w:rPr>
          <w:rFonts w:ascii="Times New Roman" w:hAnsi="Times New Roman" w:cs="Times New Roman"/>
          <w:bCs/>
        </w:rPr>
        <w:t xml:space="preserve"> where made t</w:t>
      </w:r>
      <w:r w:rsidR="00BA01D7">
        <w:rPr>
          <w:rFonts w:ascii="Times New Roman" w:hAnsi="Times New Roman" w:cs="Times New Roman"/>
          <w:bCs/>
        </w:rPr>
        <w:t>o</w:t>
      </w:r>
      <w:r w:rsidRPr="007053CB">
        <w:rPr>
          <w:rFonts w:ascii="Times New Roman" w:hAnsi="Times New Roman" w:cs="Times New Roman"/>
          <w:bCs/>
        </w:rPr>
        <w:t xml:space="preserve"> the PPG</w:t>
      </w:r>
      <w:r w:rsidR="00BA01D7">
        <w:rPr>
          <w:rFonts w:ascii="Times New Roman" w:hAnsi="Times New Roman" w:cs="Times New Roman"/>
          <w:bCs/>
        </w:rPr>
        <w:t>, and in particular stated that</w:t>
      </w:r>
      <w:r w:rsidRPr="007053CB">
        <w:rPr>
          <w:rFonts w:ascii="Times New Roman" w:hAnsi="Times New Roman" w:cs="Times New Roman"/>
          <w:bCs/>
        </w:rPr>
        <w:t>:</w:t>
      </w:r>
      <w:r w:rsidR="00BA01D7">
        <w:rPr>
          <w:rFonts w:ascii="Times New Roman" w:hAnsi="Times New Roman" w:cs="Times New Roman"/>
          <w:bCs/>
        </w:rPr>
        <w:t xml:space="preserve"> </w:t>
      </w:r>
    </w:p>
    <w:p w14:paraId="7E2F1753" w14:textId="2EAC1508" w:rsidR="00771141" w:rsidRDefault="00474BC9" w:rsidP="00E82C45">
      <w:pPr>
        <w:pStyle w:val="ListParagraph"/>
        <w:widowControl/>
        <w:suppressAutoHyphens w:val="0"/>
        <w:autoSpaceDE/>
        <w:spacing w:after="240" w:line="360" w:lineRule="auto"/>
        <w:ind w:left="993" w:right="571"/>
        <w:jc w:val="both"/>
        <w:rPr>
          <w:rFonts w:ascii="Times New Roman" w:hAnsi="Times New Roman" w:cs="Times New Roman"/>
          <w:bCs/>
          <w:i/>
          <w:iCs/>
        </w:rPr>
      </w:pPr>
      <w:r w:rsidRPr="00BA01D7">
        <w:rPr>
          <w:rFonts w:ascii="Times New Roman" w:hAnsi="Times New Roman" w:cs="Times New Roman"/>
          <w:bCs/>
        </w:rPr>
        <w:t>“</w:t>
      </w:r>
      <w:r w:rsidRPr="00771141">
        <w:rPr>
          <w:rFonts w:ascii="Times New Roman" w:hAnsi="Times New Roman" w:cs="Times New Roman"/>
          <w:bCs/>
          <w:i/>
          <w:iCs/>
        </w:rPr>
        <w:t>Plan-makers should be aware of the statutory framework for biodiversity net gain, but they do not need to include policies which duplicate the detailed provisions of this statutory framework. It will also be inappropriate for plans or supplementary planning documents to include policies or guidance which are incompatible with this framework, for instance by applying biodiversity net gain to exempt categories of development or encouraging the use of a different biodiversity metric or biodiversity gain hierarchy.</w:t>
      </w:r>
    </w:p>
    <w:p w14:paraId="7CCC586E" w14:textId="5A01E008" w:rsidR="00474BC9" w:rsidRPr="002B6911" w:rsidRDefault="00474BC9" w:rsidP="00E82C45">
      <w:pPr>
        <w:pStyle w:val="ListParagraph"/>
        <w:widowControl/>
        <w:suppressAutoHyphens w:val="0"/>
        <w:autoSpaceDE/>
        <w:spacing w:after="240" w:line="360" w:lineRule="auto"/>
        <w:ind w:left="993" w:right="571"/>
        <w:jc w:val="both"/>
        <w:rPr>
          <w:rFonts w:ascii="Times New Roman" w:hAnsi="Times New Roman" w:cs="Times New Roman"/>
          <w:bCs/>
          <w:i/>
          <w:iCs/>
        </w:rPr>
      </w:pPr>
      <w:r w:rsidRPr="00771141">
        <w:rPr>
          <w:rFonts w:ascii="Times New Roman" w:hAnsi="Times New Roman" w:cs="Times New Roman"/>
          <w:bCs/>
          <w:i/>
          <w:iCs/>
        </w:rPr>
        <w:t>Plan-makers can complement the statutory framework for biodiversity net gain by, for instance, including policies which support appropriate local offsite biodiversity sites, including whether specific allocated sites for development should include biodiversity enhancements to support other developments meet their net gain objectives in line with Local Nature Recovery Strategies.</w:t>
      </w:r>
      <w:r w:rsidR="00244F2E">
        <w:rPr>
          <w:rFonts w:ascii="Times New Roman" w:hAnsi="Times New Roman" w:cs="Times New Roman"/>
          <w:bCs/>
        </w:rPr>
        <w:t>”</w:t>
      </w:r>
      <w:r w:rsidRPr="002B6911">
        <w:rPr>
          <w:rFonts w:ascii="Times New Roman" w:hAnsi="Times New Roman" w:cs="Times New Roman"/>
          <w:bCs/>
        </w:rPr>
        <w:t xml:space="preserve"> (Reference ID: 74-006-20240214).</w:t>
      </w:r>
    </w:p>
    <w:p w14:paraId="4EBC0046" w14:textId="07A58CD4" w:rsidR="00A77F57" w:rsidRPr="00494C05" w:rsidRDefault="00474BC9" w:rsidP="002C658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EC7F52">
        <w:rPr>
          <w:rFonts w:ascii="Times New Roman" w:hAnsi="Times New Roman" w:cs="Times New Roman"/>
          <w:bCs/>
        </w:rPr>
        <w:t xml:space="preserve">The HBF would therefore recommend that </w:t>
      </w:r>
      <w:r w:rsidR="00494C05">
        <w:rPr>
          <w:rFonts w:ascii="Times New Roman" w:hAnsi="Times New Roman" w:cs="Times New Roman"/>
          <w:bCs/>
        </w:rPr>
        <w:t xml:space="preserve">when preparing the next iteration of the local pan that </w:t>
      </w:r>
      <w:r w:rsidR="002B6911">
        <w:rPr>
          <w:rFonts w:ascii="Times New Roman" w:hAnsi="Times New Roman" w:cs="Times New Roman"/>
          <w:bCs/>
        </w:rPr>
        <w:t>a policy setting out requemrnt relating to the delivery of biodiversity net gain is not needed.</w:t>
      </w:r>
      <w:r w:rsidRPr="00EC7F52">
        <w:rPr>
          <w:rFonts w:ascii="Times New Roman" w:hAnsi="Times New Roman" w:cs="Times New Roman"/>
          <w:bCs/>
        </w:rPr>
        <w:t xml:space="preserve"> </w:t>
      </w:r>
    </w:p>
    <w:p w14:paraId="16C67907" w14:textId="1D8D3F24" w:rsidR="00D91C9C" w:rsidRPr="002C658C" w:rsidRDefault="00D91C9C" w:rsidP="002C658C">
      <w:pPr>
        <w:spacing w:after="240" w:line="360" w:lineRule="auto"/>
        <w:rPr>
          <w:rFonts w:ascii="Arial" w:hAnsi="Arial" w:cs="Arial"/>
          <w:b/>
        </w:rPr>
      </w:pPr>
      <w:r w:rsidRPr="002C658C">
        <w:rPr>
          <w:rFonts w:ascii="Arial" w:hAnsi="Arial" w:cs="Arial"/>
          <w:b/>
        </w:rPr>
        <w:t>Delivering decent homes for all</w:t>
      </w:r>
    </w:p>
    <w:p w14:paraId="76C2699A" w14:textId="77777777" w:rsidR="00E82C45" w:rsidRDefault="00E0784A" w:rsidP="00E82C45">
      <w:pPr>
        <w:widowControl/>
        <w:suppressAutoHyphens w:val="0"/>
        <w:autoSpaceDE/>
        <w:spacing w:after="240" w:line="360" w:lineRule="auto"/>
        <w:jc w:val="both"/>
        <w:rPr>
          <w:rFonts w:ascii="Times New Roman" w:hAnsi="Times New Roman" w:cs="Times New Roman"/>
          <w:b/>
          <w:i/>
          <w:iCs/>
          <w:lang w:val="en-GB"/>
        </w:rPr>
      </w:pPr>
      <w:r>
        <w:rPr>
          <w:rFonts w:ascii="Times New Roman" w:hAnsi="Times New Roman" w:cs="Times New Roman"/>
          <w:b/>
          <w:i/>
          <w:iCs/>
          <w:lang w:val="en-GB"/>
        </w:rPr>
        <w:t>Meeting housing needs</w:t>
      </w:r>
    </w:p>
    <w:p w14:paraId="11D4C3C5" w14:textId="1A4F7EDB" w:rsidR="00275692" w:rsidRDefault="00302B6F" w:rsidP="00E82C4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lastRenderedPageBreak/>
        <w:t xml:space="preserve">The Council are required to identify land to </w:t>
      </w:r>
      <w:r w:rsidR="00D815E3">
        <w:rPr>
          <w:rFonts w:ascii="Times New Roman" w:hAnsi="Times New Roman" w:cs="Times New Roman"/>
          <w:bCs/>
          <w:lang w:val="en-GB"/>
        </w:rPr>
        <w:t>deliver</w:t>
      </w:r>
      <w:r>
        <w:rPr>
          <w:rFonts w:ascii="Times New Roman" w:hAnsi="Times New Roman" w:cs="Times New Roman"/>
          <w:bCs/>
          <w:lang w:val="en-GB"/>
        </w:rPr>
        <w:t xml:space="preserve"> </w:t>
      </w:r>
      <w:r w:rsidR="0043388E">
        <w:rPr>
          <w:rFonts w:ascii="Times New Roman" w:hAnsi="Times New Roman" w:cs="Times New Roman"/>
          <w:bCs/>
          <w:lang w:val="en-GB"/>
        </w:rPr>
        <w:t xml:space="preserve">1,458 new homes per annum over the period of this local plan. </w:t>
      </w:r>
      <w:r w:rsidR="000131C9">
        <w:rPr>
          <w:rFonts w:ascii="Times New Roman" w:hAnsi="Times New Roman" w:cs="Times New Roman"/>
          <w:bCs/>
          <w:lang w:val="en-GB"/>
        </w:rPr>
        <w:t xml:space="preserve">Paragraph 5.5 outlines that Waverley is significantly affected by major physical and environmental designations that are identified in footnote 7 of the NPPF.  </w:t>
      </w:r>
      <w:r w:rsidR="000119E1">
        <w:rPr>
          <w:rFonts w:ascii="Times New Roman" w:hAnsi="Times New Roman" w:cs="Times New Roman"/>
          <w:bCs/>
          <w:lang w:val="en-GB"/>
        </w:rPr>
        <w:t>T</w:t>
      </w:r>
      <w:r w:rsidR="0043388E">
        <w:rPr>
          <w:rFonts w:ascii="Times New Roman" w:hAnsi="Times New Roman" w:cs="Times New Roman"/>
          <w:bCs/>
          <w:lang w:val="en-GB"/>
        </w:rPr>
        <w:t>his is a significant increase and</w:t>
      </w:r>
      <w:r w:rsidR="000119E1">
        <w:rPr>
          <w:rFonts w:ascii="Times New Roman" w:hAnsi="Times New Roman" w:cs="Times New Roman"/>
          <w:bCs/>
          <w:lang w:val="en-GB"/>
        </w:rPr>
        <w:t xml:space="preserve"> while </w:t>
      </w:r>
      <w:r w:rsidR="00B61E04">
        <w:rPr>
          <w:rFonts w:ascii="Times New Roman" w:hAnsi="Times New Roman" w:cs="Times New Roman"/>
          <w:bCs/>
          <w:lang w:val="en-GB"/>
        </w:rPr>
        <w:t>the</w:t>
      </w:r>
      <w:r w:rsidR="00B32264">
        <w:rPr>
          <w:rFonts w:ascii="Times New Roman" w:hAnsi="Times New Roman" w:cs="Times New Roman"/>
          <w:bCs/>
          <w:lang w:val="en-GB"/>
        </w:rPr>
        <w:t xml:space="preserve"> </w:t>
      </w:r>
      <w:r w:rsidR="00B61E04">
        <w:rPr>
          <w:rFonts w:ascii="Times New Roman" w:hAnsi="Times New Roman" w:cs="Times New Roman"/>
          <w:bCs/>
          <w:lang w:val="en-GB"/>
        </w:rPr>
        <w:t>Council</w:t>
      </w:r>
      <w:r w:rsidR="000119E1">
        <w:rPr>
          <w:rFonts w:ascii="Times New Roman" w:hAnsi="Times New Roman" w:cs="Times New Roman"/>
          <w:bCs/>
          <w:lang w:val="en-GB"/>
        </w:rPr>
        <w:t xml:space="preserve"> is still </w:t>
      </w:r>
      <w:r w:rsidR="00B32264">
        <w:rPr>
          <w:rFonts w:ascii="Times New Roman" w:hAnsi="Times New Roman" w:cs="Times New Roman"/>
          <w:bCs/>
          <w:lang w:val="en-GB"/>
        </w:rPr>
        <w:t xml:space="preserve">to be </w:t>
      </w:r>
      <w:r w:rsidR="00B61E04">
        <w:rPr>
          <w:rFonts w:ascii="Times New Roman" w:hAnsi="Times New Roman" w:cs="Times New Roman"/>
          <w:bCs/>
          <w:lang w:val="en-GB"/>
        </w:rPr>
        <w:t>complete</w:t>
      </w:r>
      <w:r w:rsidR="00B32264">
        <w:rPr>
          <w:rFonts w:ascii="Times New Roman" w:hAnsi="Times New Roman" w:cs="Times New Roman"/>
          <w:bCs/>
          <w:lang w:val="en-GB"/>
        </w:rPr>
        <w:t>d</w:t>
      </w:r>
      <w:r w:rsidR="000119E1">
        <w:rPr>
          <w:rFonts w:ascii="Times New Roman" w:hAnsi="Times New Roman" w:cs="Times New Roman"/>
          <w:bCs/>
          <w:lang w:val="en-GB"/>
        </w:rPr>
        <w:t xml:space="preserve"> and </w:t>
      </w:r>
      <w:r w:rsidR="00B61E04">
        <w:rPr>
          <w:rFonts w:ascii="Times New Roman" w:hAnsi="Times New Roman" w:cs="Times New Roman"/>
          <w:bCs/>
          <w:lang w:val="en-GB"/>
        </w:rPr>
        <w:t>publish</w:t>
      </w:r>
      <w:r w:rsidR="000119E1">
        <w:rPr>
          <w:rFonts w:ascii="Times New Roman" w:hAnsi="Times New Roman" w:cs="Times New Roman"/>
          <w:bCs/>
          <w:lang w:val="en-GB"/>
        </w:rPr>
        <w:t xml:space="preserve"> a </w:t>
      </w:r>
      <w:r w:rsidR="00B61E04">
        <w:rPr>
          <w:rFonts w:ascii="Times New Roman" w:hAnsi="Times New Roman" w:cs="Times New Roman"/>
          <w:bCs/>
          <w:lang w:val="en-GB"/>
        </w:rPr>
        <w:t>housing</w:t>
      </w:r>
      <w:r w:rsidR="000119E1">
        <w:rPr>
          <w:rFonts w:ascii="Times New Roman" w:hAnsi="Times New Roman" w:cs="Times New Roman"/>
          <w:bCs/>
          <w:lang w:val="en-GB"/>
        </w:rPr>
        <w:t xml:space="preserve"> </w:t>
      </w:r>
      <w:r w:rsidR="000119E1" w:rsidRPr="00E82C45">
        <w:rPr>
          <w:rFonts w:ascii="Times New Roman" w:hAnsi="Times New Roman" w:cs="Times New Roman"/>
          <w:bCs/>
        </w:rPr>
        <w:t>land</w:t>
      </w:r>
      <w:r w:rsidR="000119E1">
        <w:rPr>
          <w:rFonts w:ascii="Times New Roman" w:hAnsi="Times New Roman" w:cs="Times New Roman"/>
          <w:bCs/>
          <w:lang w:val="en-GB"/>
        </w:rPr>
        <w:t xml:space="preserve"> </w:t>
      </w:r>
      <w:r w:rsidR="00B61E04">
        <w:rPr>
          <w:rFonts w:ascii="Times New Roman" w:hAnsi="Times New Roman" w:cs="Times New Roman"/>
          <w:bCs/>
          <w:lang w:val="en-GB"/>
        </w:rPr>
        <w:t>availability assessment</w:t>
      </w:r>
      <w:r w:rsidR="0043388E">
        <w:rPr>
          <w:rFonts w:ascii="Times New Roman" w:hAnsi="Times New Roman" w:cs="Times New Roman"/>
          <w:bCs/>
          <w:lang w:val="en-GB"/>
        </w:rPr>
        <w:t xml:space="preserve"> </w:t>
      </w:r>
      <w:r w:rsidR="003933EE">
        <w:rPr>
          <w:rFonts w:ascii="Times New Roman" w:hAnsi="Times New Roman" w:cs="Times New Roman"/>
          <w:bCs/>
          <w:lang w:val="en-GB"/>
        </w:rPr>
        <w:t xml:space="preserve">it is suggested in the </w:t>
      </w:r>
      <w:r w:rsidR="00BF0E59">
        <w:rPr>
          <w:rFonts w:ascii="Times New Roman" w:hAnsi="Times New Roman" w:cs="Times New Roman"/>
          <w:bCs/>
          <w:lang w:val="en-GB"/>
        </w:rPr>
        <w:t xml:space="preserve">chapter 3 of the </w:t>
      </w:r>
      <w:r w:rsidR="00D77D82">
        <w:rPr>
          <w:rFonts w:ascii="Times New Roman" w:hAnsi="Times New Roman" w:cs="Times New Roman"/>
          <w:bCs/>
          <w:lang w:val="en-GB"/>
        </w:rPr>
        <w:t>consultation</w:t>
      </w:r>
      <w:r w:rsidR="00BF0E59">
        <w:rPr>
          <w:rFonts w:ascii="Times New Roman" w:hAnsi="Times New Roman" w:cs="Times New Roman"/>
          <w:bCs/>
          <w:lang w:val="en-GB"/>
        </w:rPr>
        <w:t xml:space="preserve"> document that development on green field sites will be required</w:t>
      </w:r>
      <w:r w:rsidR="00D77D82">
        <w:rPr>
          <w:rFonts w:ascii="Times New Roman" w:hAnsi="Times New Roman" w:cs="Times New Roman"/>
          <w:bCs/>
          <w:lang w:val="en-GB"/>
        </w:rPr>
        <w:t xml:space="preserve"> and </w:t>
      </w:r>
      <w:r w:rsidR="002E6390">
        <w:rPr>
          <w:rFonts w:ascii="Times New Roman" w:hAnsi="Times New Roman" w:cs="Times New Roman"/>
          <w:bCs/>
          <w:lang w:val="en-GB"/>
        </w:rPr>
        <w:t>given</w:t>
      </w:r>
      <w:r w:rsidR="00B321DF">
        <w:rPr>
          <w:rFonts w:ascii="Times New Roman" w:hAnsi="Times New Roman" w:cs="Times New Roman"/>
          <w:bCs/>
          <w:lang w:val="en-GB"/>
        </w:rPr>
        <w:t xml:space="preserve"> </w:t>
      </w:r>
      <w:r w:rsidR="00D77D82">
        <w:rPr>
          <w:rFonts w:ascii="Times New Roman" w:hAnsi="Times New Roman" w:cs="Times New Roman"/>
          <w:bCs/>
          <w:lang w:val="en-GB"/>
        </w:rPr>
        <w:t xml:space="preserve">the constraints </w:t>
      </w:r>
      <w:r w:rsidR="00B321DF">
        <w:rPr>
          <w:rFonts w:ascii="Times New Roman" w:hAnsi="Times New Roman" w:cs="Times New Roman"/>
          <w:bCs/>
          <w:lang w:val="en-GB"/>
        </w:rPr>
        <w:t>faced by the Council</w:t>
      </w:r>
      <w:r w:rsidR="00B61E04">
        <w:rPr>
          <w:rFonts w:ascii="Times New Roman" w:hAnsi="Times New Roman" w:cs="Times New Roman"/>
          <w:bCs/>
          <w:lang w:val="en-GB"/>
        </w:rPr>
        <w:t xml:space="preserve"> </w:t>
      </w:r>
      <w:r w:rsidR="00B321DF">
        <w:rPr>
          <w:rFonts w:ascii="Times New Roman" w:hAnsi="Times New Roman" w:cs="Times New Roman"/>
          <w:bCs/>
          <w:lang w:val="en-GB"/>
        </w:rPr>
        <w:t>there will be a need to review policy designations s</w:t>
      </w:r>
      <w:r w:rsidR="002E6390">
        <w:rPr>
          <w:rFonts w:ascii="Times New Roman" w:hAnsi="Times New Roman" w:cs="Times New Roman"/>
          <w:bCs/>
          <w:lang w:val="en-GB"/>
        </w:rPr>
        <w:t>uch as Green Belt, Strategic Gaps and Areas of Strategic Visual Importance.</w:t>
      </w:r>
      <w:r w:rsidR="00094FDC">
        <w:rPr>
          <w:rFonts w:ascii="Times New Roman" w:hAnsi="Times New Roman" w:cs="Times New Roman"/>
          <w:bCs/>
          <w:lang w:val="en-GB"/>
        </w:rPr>
        <w:t xml:space="preserve"> (ASVI).</w:t>
      </w:r>
    </w:p>
    <w:p w14:paraId="0419D902" w14:textId="6A6DD016" w:rsidR="008540E9" w:rsidRPr="00FC5BB3" w:rsidRDefault="008540E9" w:rsidP="008540E9">
      <w:pPr>
        <w:widowControl/>
        <w:suppressAutoHyphens w:val="0"/>
        <w:autoSpaceDE/>
        <w:spacing w:after="240" w:line="360" w:lineRule="auto"/>
        <w:jc w:val="both"/>
        <w:rPr>
          <w:rFonts w:ascii="Times New Roman" w:hAnsi="Times New Roman" w:cs="Times New Roman"/>
          <w:bCs/>
          <w:i/>
          <w:iCs/>
          <w:u w:val="single"/>
          <w:lang w:val="en-GB"/>
        </w:rPr>
      </w:pPr>
      <w:r w:rsidRPr="00FC5BB3">
        <w:rPr>
          <w:rFonts w:ascii="Times New Roman" w:hAnsi="Times New Roman" w:cs="Times New Roman"/>
          <w:bCs/>
          <w:i/>
          <w:iCs/>
          <w:u w:val="single"/>
          <w:lang w:val="en-GB"/>
        </w:rPr>
        <w:t>Green Belt</w:t>
      </w:r>
    </w:p>
    <w:p w14:paraId="0C13B0AF" w14:textId="10CB44BC" w:rsidR="00275692" w:rsidRDefault="008540E9" w:rsidP="00094FD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When considering amendments the Green</w:t>
      </w:r>
      <w:r w:rsidR="000E7918">
        <w:rPr>
          <w:rFonts w:ascii="Times New Roman" w:hAnsi="Times New Roman" w:cs="Times New Roman"/>
          <w:bCs/>
          <w:lang w:val="en-GB"/>
        </w:rPr>
        <w:t xml:space="preserve"> B</w:t>
      </w:r>
      <w:r>
        <w:rPr>
          <w:rFonts w:ascii="Times New Roman" w:hAnsi="Times New Roman" w:cs="Times New Roman"/>
          <w:bCs/>
          <w:lang w:val="en-GB"/>
        </w:rPr>
        <w:t xml:space="preserve">elt boundary the Council will need to take account of paragraph 147 of the NPPF before considering whether there are exceptional circumstances to amend Green Belt boundaries. If these tests are passed, then paragraph 146 is unequivocal in stating that an inability to meet housing needs in full is considered to be an exceptional circumstances support the amendment of Green Belt boundaries. In the first instance paragraph 148 of the Framework </w:t>
      </w:r>
      <w:r w:rsidR="00535FD6">
        <w:rPr>
          <w:rFonts w:ascii="Times New Roman" w:hAnsi="Times New Roman" w:cs="Times New Roman"/>
          <w:bCs/>
          <w:lang w:val="en-GB"/>
        </w:rPr>
        <w:t>states</w:t>
      </w:r>
      <w:r>
        <w:rPr>
          <w:rFonts w:ascii="Times New Roman" w:hAnsi="Times New Roman" w:cs="Times New Roman"/>
          <w:bCs/>
          <w:lang w:val="en-GB"/>
        </w:rPr>
        <w:t xml:space="preserve"> that previously developed land in the Green Belt should be given priority followed by grey belt which is not previously developed before considering other locations in the Green Belt. </w:t>
      </w:r>
      <w:r w:rsidR="002A0BB1">
        <w:rPr>
          <w:rFonts w:ascii="Times New Roman" w:hAnsi="Times New Roman" w:cs="Times New Roman"/>
          <w:bCs/>
          <w:lang w:val="en-GB"/>
        </w:rPr>
        <w:t xml:space="preserve">If land is to be </w:t>
      </w:r>
      <w:r w:rsidR="002B7C70">
        <w:rPr>
          <w:rFonts w:ascii="Times New Roman" w:hAnsi="Times New Roman" w:cs="Times New Roman"/>
          <w:bCs/>
          <w:lang w:val="en-GB"/>
        </w:rPr>
        <w:t>removed</w:t>
      </w:r>
      <w:r w:rsidR="002A0BB1">
        <w:rPr>
          <w:rFonts w:ascii="Times New Roman" w:hAnsi="Times New Roman" w:cs="Times New Roman"/>
          <w:bCs/>
          <w:lang w:val="en-GB"/>
        </w:rPr>
        <w:t xml:space="preserve"> from</w:t>
      </w:r>
      <w:r w:rsidR="002B7C70">
        <w:rPr>
          <w:rFonts w:ascii="Times New Roman" w:hAnsi="Times New Roman" w:cs="Times New Roman"/>
          <w:bCs/>
          <w:lang w:val="en-GB"/>
        </w:rPr>
        <w:t xml:space="preserve"> </w:t>
      </w:r>
      <w:r w:rsidR="002A0BB1">
        <w:rPr>
          <w:rFonts w:ascii="Times New Roman" w:hAnsi="Times New Roman" w:cs="Times New Roman"/>
          <w:bCs/>
          <w:lang w:val="en-GB"/>
        </w:rPr>
        <w:t xml:space="preserve">the Green </w:t>
      </w:r>
      <w:r w:rsidR="001173A5">
        <w:rPr>
          <w:rFonts w:ascii="Times New Roman" w:hAnsi="Times New Roman" w:cs="Times New Roman"/>
          <w:bCs/>
          <w:lang w:val="en-GB"/>
        </w:rPr>
        <w:t>Belt,</w:t>
      </w:r>
      <w:r w:rsidR="002A0BB1">
        <w:rPr>
          <w:rFonts w:ascii="Times New Roman" w:hAnsi="Times New Roman" w:cs="Times New Roman"/>
          <w:bCs/>
          <w:lang w:val="en-GB"/>
        </w:rPr>
        <w:t xml:space="preserve"> then the </w:t>
      </w:r>
      <w:r w:rsidR="00C433FD">
        <w:rPr>
          <w:rFonts w:ascii="Times New Roman" w:hAnsi="Times New Roman" w:cs="Times New Roman"/>
          <w:bCs/>
          <w:lang w:val="en-GB"/>
        </w:rPr>
        <w:t xml:space="preserve">HBF </w:t>
      </w:r>
      <w:r w:rsidR="00D7713C">
        <w:rPr>
          <w:rFonts w:ascii="Times New Roman" w:hAnsi="Times New Roman" w:cs="Times New Roman"/>
          <w:bCs/>
          <w:lang w:val="en-GB"/>
        </w:rPr>
        <w:t>would</w:t>
      </w:r>
      <w:r w:rsidR="00C433FD">
        <w:rPr>
          <w:rFonts w:ascii="Times New Roman" w:hAnsi="Times New Roman" w:cs="Times New Roman"/>
          <w:bCs/>
          <w:lang w:val="en-GB"/>
        </w:rPr>
        <w:t xml:space="preserve"> encourage the Council to consider the release of </w:t>
      </w:r>
      <w:r w:rsidR="00CD521C">
        <w:rPr>
          <w:rFonts w:ascii="Times New Roman" w:hAnsi="Times New Roman" w:cs="Times New Roman"/>
          <w:bCs/>
          <w:lang w:val="en-GB"/>
        </w:rPr>
        <w:t xml:space="preserve">a range of sites from the Green belt not only strategic scale development. As outlined earlier the </w:t>
      </w:r>
      <w:r w:rsidR="00D7713C">
        <w:rPr>
          <w:rFonts w:ascii="Times New Roman" w:hAnsi="Times New Roman" w:cs="Times New Roman"/>
          <w:bCs/>
          <w:lang w:val="en-GB"/>
        </w:rPr>
        <w:t>allocation</w:t>
      </w:r>
      <w:r w:rsidR="00CD521C">
        <w:rPr>
          <w:rFonts w:ascii="Times New Roman" w:hAnsi="Times New Roman" w:cs="Times New Roman"/>
          <w:bCs/>
          <w:lang w:val="en-GB"/>
        </w:rPr>
        <w:t xml:space="preserve"> of smaller sit</w:t>
      </w:r>
      <w:r w:rsidR="00D7713C">
        <w:rPr>
          <w:rFonts w:ascii="Times New Roman" w:hAnsi="Times New Roman" w:cs="Times New Roman"/>
          <w:bCs/>
          <w:lang w:val="en-GB"/>
        </w:rPr>
        <w:t>e</w:t>
      </w:r>
      <w:r w:rsidR="00CD521C">
        <w:rPr>
          <w:rFonts w:ascii="Times New Roman" w:hAnsi="Times New Roman" w:cs="Times New Roman"/>
          <w:bCs/>
          <w:lang w:val="en-GB"/>
        </w:rPr>
        <w:t xml:space="preserve">s </w:t>
      </w:r>
      <w:r w:rsidR="00D7713C">
        <w:rPr>
          <w:rFonts w:ascii="Times New Roman" w:hAnsi="Times New Roman" w:cs="Times New Roman"/>
          <w:bCs/>
          <w:lang w:val="en-GB"/>
        </w:rPr>
        <w:t>could if allocated</w:t>
      </w:r>
      <w:r w:rsidR="00CD521C">
        <w:rPr>
          <w:rFonts w:ascii="Times New Roman" w:hAnsi="Times New Roman" w:cs="Times New Roman"/>
          <w:bCs/>
          <w:lang w:val="en-GB"/>
        </w:rPr>
        <w:t xml:space="preserve"> </w:t>
      </w:r>
      <w:r w:rsidR="00D7713C">
        <w:rPr>
          <w:rFonts w:ascii="Times New Roman" w:hAnsi="Times New Roman" w:cs="Times New Roman"/>
          <w:bCs/>
          <w:lang w:val="en-GB"/>
        </w:rPr>
        <w:t>contribute</w:t>
      </w:r>
      <w:r w:rsidR="00CD521C">
        <w:rPr>
          <w:rFonts w:ascii="Times New Roman" w:hAnsi="Times New Roman" w:cs="Times New Roman"/>
          <w:bCs/>
          <w:lang w:val="en-GB"/>
        </w:rPr>
        <w:t xml:space="preserve"> </w:t>
      </w:r>
      <w:r w:rsidR="00D7713C">
        <w:rPr>
          <w:rFonts w:ascii="Times New Roman" w:hAnsi="Times New Roman" w:cs="Times New Roman"/>
          <w:bCs/>
          <w:lang w:val="en-GB"/>
        </w:rPr>
        <w:t xml:space="preserve">significantly </w:t>
      </w:r>
      <w:r w:rsidR="00CD521C">
        <w:rPr>
          <w:rFonts w:ascii="Times New Roman" w:hAnsi="Times New Roman" w:cs="Times New Roman"/>
          <w:bCs/>
          <w:lang w:val="en-GB"/>
        </w:rPr>
        <w:t xml:space="preserve">to the supply of new homes in </w:t>
      </w:r>
      <w:r w:rsidR="00D7713C">
        <w:rPr>
          <w:rFonts w:ascii="Times New Roman" w:hAnsi="Times New Roman" w:cs="Times New Roman"/>
          <w:bCs/>
          <w:lang w:val="en-GB"/>
        </w:rPr>
        <w:t xml:space="preserve">early years of this plan. In particular small green field sites where there are fewer </w:t>
      </w:r>
      <w:r w:rsidR="001173A5">
        <w:rPr>
          <w:rFonts w:ascii="Times New Roman" w:hAnsi="Times New Roman" w:cs="Times New Roman"/>
          <w:bCs/>
          <w:lang w:val="en-GB"/>
        </w:rPr>
        <w:t xml:space="preserve">constraints to the delivery of new homes will be able to delver sooner and provide even more certainty in the council’s housing supply in </w:t>
      </w:r>
      <w:r w:rsidR="00592876">
        <w:rPr>
          <w:rFonts w:ascii="Times New Roman" w:hAnsi="Times New Roman" w:cs="Times New Roman"/>
          <w:bCs/>
          <w:lang w:val="en-GB"/>
        </w:rPr>
        <w:t>t</w:t>
      </w:r>
      <w:r w:rsidR="001173A5">
        <w:rPr>
          <w:rFonts w:ascii="Times New Roman" w:hAnsi="Times New Roman" w:cs="Times New Roman"/>
          <w:bCs/>
          <w:lang w:val="en-GB"/>
        </w:rPr>
        <w:t>he early years of this local plan.</w:t>
      </w:r>
      <w:r w:rsidR="00090C0C">
        <w:rPr>
          <w:rFonts w:ascii="Times New Roman" w:hAnsi="Times New Roman" w:cs="Times New Roman"/>
          <w:bCs/>
          <w:lang w:val="en-GB"/>
        </w:rPr>
        <w:t xml:space="preserve"> To support the </w:t>
      </w:r>
      <w:r w:rsidR="00E46BBE">
        <w:rPr>
          <w:rFonts w:ascii="Times New Roman" w:hAnsi="Times New Roman" w:cs="Times New Roman"/>
          <w:bCs/>
          <w:lang w:val="en-GB"/>
        </w:rPr>
        <w:t>identification</w:t>
      </w:r>
      <w:r w:rsidR="00ED5F1B">
        <w:rPr>
          <w:rFonts w:ascii="Times New Roman" w:hAnsi="Times New Roman" w:cs="Times New Roman"/>
          <w:bCs/>
          <w:lang w:val="en-GB"/>
        </w:rPr>
        <w:t xml:space="preserve"> </w:t>
      </w:r>
      <w:r w:rsidR="00090C0C">
        <w:rPr>
          <w:rFonts w:ascii="Times New Roman" w:hAnsi="Times New Roman" w:cs="Times New Roman"/>
          <w:bCs/>
          <w:lang w:val="en-GB"/>
        </w:rPr>
        <w:t xml:space="preserve">of smaller sites the Council will need to </w:t>
      </w:r>
      <w:r w:rsidR="00ED5F1B">
        <w:rPr>
          <w:rFonts w:ascii="Times New Roman" w:hAnsi="Times New Roman" w:cs="Times New Roman"/>
          <w:bCs/>
          <w:lang w:val="en-GB"/>
        </w:rPr>
        <w:t xml:space="preserve">ensure that the Green Belt assessment is sufficiently fine grained to </w:t>
      </w:r>
      <w:r w:rsidR="00E46BBE">
        <w:rPr>
          <w:rFonts w:ascii="Times New Roman" w:hAnsi="Times New Roman" w:cs="Times New Roman"/>
          <w:bCs/>
          <w:lang w:val="en-GB"/>
        </w:rPr>
        <w:t>identify</w:t>
      </w:r>
      <w:r w:rsidR="00ED5F1B">
        <w:rPr>
          <w:rFonts w:ascii="Times New Roman" w:hAnsi="Times New Roman" w:cs="Times New Roman"/>
          <w:bCs/>
          <w:lang w:val="en-GB"/>
        </w:rPr>
        <w:t xml:space="preserve"> </w:t>
      </w:r>
      <w:r w:rsidR="008631B8">
        <w:rPr>
          <w:rFonts w:ascii="Times New Roman" w:hAnsi="Times New Roman" w:cs="Times New Roman"/>
          <w:bCs/>
          <w:lang w:val="en-GB"/>
        </w:rPr>
        <w:t xml:space="preserve">small parcels of Green Belt that </w:t>
      </w:r>
      <w:r w:rsidR="005D73D1">
        <w:rPr>
          <w:rFonts w:ascii="Times New Roman" w:hAnsi="Times New Roman" w:cs="Times New Roman"/>
          <w:bCs/>
          <w:lang w:val="en-GB"/>
        </w:rPr>
        <w:t xml:space="preserve">does not strongly meet the purposes of either purposes a), b) or d) and as such </w:t>
      </w:r>
      <w:r w:rsidR="006C797C">
        <w:rPr>
          <w:rFonts w:ascii="Times New Roman" w:hAnsi="Times New Roman" w:cs="Times New Roman"/>
          <w:bCs/>
          <w:lang w:val="en-GB"/>
        </w:rPr>
        <w:t>could</w:t>
      </w:r>
      <w:r w:rsidR="008631B8">
        <w:rPr>
          <w:rFonts w:ascii="Times New Roman" w:hAnsi="Times New Roman" w:cs="Times New Roman"/>
          <w:bCs/>
          <w:lang w:val="en-GB"/>
        </w:rPr>
        <w:t xml:space="preserve"> be </w:t>
      </w:r>
      <w:r w:rsidR="006C797C">
        <w:rPr>
          <w:rFonts w:ascii="Times New Roman" w:hAnsi="Times New Roman" w:cs="Times New Roman"/>
          <w:bCs/>
          <w:lang w:val="en-GB"/>
        </w:rPr>
        <w:t>defined</w:t>
      </w:r>
      <w:r w:rsidR="008631B8">
        <w:rPr>
          <w:rFonts w:ascii="Times New Roman" w:hAnsi="Times New Roman" w:cs="Times New Roman"/>
          <w:bCs/>
          <w:lang w:val="en-GB"/>
        </w:rPr>
        <w:t xml:space="preserve"> as </w:t>
      </w:r>
      <w:r w:rsidR="00E46BBE">
        <w:rPr>
          <w:rFonts w:ascii="Times New Roman" w:hAnsi="Times New Roman" w:cs="Times New Roman"/>
          <w:bCs/>
          <w:lang w:val="en-GB"/>
        </w:rPr>
        <w:t>g</w:t>
      </w:r>
      <w:r w:rsidR="008631B8">
        <w:rPr>
          <w:rFonts w:ascii="Times New Roman" w:hAnsi="Times New Roman" w:cs="Times New Roman"/>
          <w:bCs/>
          <w:lang w:val="en-GB"/>
        </w:rPr>
        <w:t xml:space="preserve">rey </w:t>
      </w:r>
      <w:r w:rsidR="00E46BBE">
        <w:rPr>
          <w:rFonts w:ascii="Times New Roman" w:hAnsi="Times New Roman" w:cs="Times New Roman"/>
          <w:bCs/>
          <w:lang w:val="en-GB"/>
        </w:rPr>
        <w:t>b</w:t>
      </w:r>
      <w:r w:rsidR="008631B8">
        <w:rPr>
          <w:rFonts w:ascii="Times New Roman" w:hAnsi="Times New Roman" w:cs="Times New Roman"/>
          <w:bCs/>
          <w:lang w:val="en-GB"/>
        </w:rPr>
        <w:t>elt</w:t>
      </w:r>
      <w:r w:rsidR="00E46BBE">
        <w:rPr>
          <w:rFonts w:ascii="Times New Roman" w:hAnsi="Times New Roman" w:cs="Times New Roman"/>
          <w:bCs/>
          <w:lang w:val="en-GB"/>
        </w:rPr>
        <w:t xml:space="preserve"> </w:t>
      </w:r>
      <w:r w:rsidR="005D73D1">
        <w:rPr>
          <w:rFonts w:ascii="Times New Roman" w:hAnsi="Times New Roman" w:cs="Times New Roman"/>
          <w:bCs/>
          <w:lang w:val="en-GB"/>
        </w:rPr>
        <w:t>of</w:t>
      </w:r>
      <w:r w:rsidR="00DE6EF6">
        <w:rPr>
          <w:rFonts w:ascii="Times New Roman" w:hAnsi="Times New Roman" w:cs="Times New Roman"/>
          <w:bCs/>
          <w:lang w:val="en-GB"/>
        </w:rPr>
        <w:t xml:space="preserve"> </w:t>
      </w:r>
      <w:r w:rsidR="005D73D1">
        <w:rPr>
          <w:rFonts w:ascii="Times New Roman" w:hAnsi="Times New Roman" w:cs="Times New Roman"/>
          <w:bCs/>
          <w:lang w:val="en-GB"/>
        </w:rPr>
        <w:t>paragraph</w:t>
      </w:r>
      <w:r w:rsidR="00DE6EF6">
        <w:rPr>
          <w:rFonts w:ascii="Times New Roman" w:hAnsi="Times New Roman" w:cs="Times New Roman"/>
          <w:bCs/>
          <w:lang w:val="en-GB"/>
        </w:rPr>
        <w:t xml:space="preserve"> </w:t>
      </w:r>
      <w:r w:rsidR="005D73D1">
        <w:rPr>
          <w:rFonts w:ascii="Times New Roman" w:hAnsi="Times New Roman" w:cs="Times New Roman"/>
          <w:bCs/>
          <w:lang w:val="en-GB"/>
        </w:rPr>
        <w:t>143 of the NPPF.</w:t>
      </w:r>
      <w:r w:rsidR="006C797C">
        <w:rPr>
          <w:rFonts w:ascii="Times New Roman" w:hAnsi="Times New Roman" w:cs="Times New Roman"/>
          <w:bCs/>
          <w:lang w:val="en-GB"/>
        </w:rPr>
        <w:t xml:space="preserve"> </w:t>
      </w:r>
      <w:r w:rsidR="00ED5F1B">
        <w:rPr>
          <w:rFonts w:ascii="Times New Roman" w:hAnsi="Times New Roman" w:cs="Times New Roman"/>
          <w:bCs/>
          <w:lang w:val="en-GB"/>
        </w:rPr>
        <w:t xml:space="preserve"> </w:t>
      </w:r>
    </w:p>
    <w:p w14:paraId="51AA99E9" w14:textId="507DFB04" w:rsidR="00275692" w:rsidRPr="00F71A1B" w:rsidRDefault="00275692" w:rsidP="00275692">
      <w:pPr>
        <w:widowControl/>
        <w:suppressAutoHyphens w:val="0"/>
        <w:autoSpaceDE/>
        <w:spacing w:after="240" w:line="360" w:lineRule="auto"/>
        <w:jc w:val="both"/>
        <w:rPr>
          <w:rFonts w:ascii="Times New Roman" w:hAnsi="Times New Roman" w:cs="Times New Roman"/>
          <w:bCs/>
          <w:i/>
          <w:iCs/>
          <w:u w:val="single"/>
          <w:lang w:val="en-GB"/>
        </w:rPr>
      </w:pPr>
      <w:r w:rsidRPr="00F71A1B">
        <w:rPr>
          <w:rFonts w:ascii="Times New Roman" w:hAnsi="Times New Roman" w:cs="Times New Roman"/>
          <w:bCs/>
          <w:i/>
          <w:iCs/>
          <w:u w:val="single"/>
          <w:lang w:val="en-GB"/>
        </w:rPr>
        <w:t>Strategic Gaps and Areas of Strategic Visual Importance</w:t>
      </w:r>
    </w:p>
    <w:p w14:paraId="5A6FD580" w14:textId="535772F4" w:rsidR="00D91C9C" w:rsidRDefault="00275692" w:rsidP="00EC4A0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Turning to the Farnham/ Aldershot Strategic Gap and the ASVI it would appear</w:t>
      </w:r>
      <w:r w:rsidR="009350A3">
        <w:rPr>
          <w:rFonts w:ascii="Times New Roman" w:hAnsi="Times New Roman" w:cs="Times New Roman"/>
          <w:bCs/>
          <w:lang w:val="en-GB"/>
        </w:rPr>
        <w:t xml:space="preserve"> from paragraphs </w:t>
      </w:r>
      <w:r w:rsidR="004D68D6">
        <w:rPr>
          <w:rFonts w:ascii="Times New Roman" w:hAnsi="Times New Roman" w:cs="Times New Roman"/>
          <w:bCs/>
          <w:lang w:val="en-GB"/>
        </w:rPr>
        <w:t>4.16 and 4.21</w:t>
      </w:r>
      <w:r>
        <w:rPr>
          <w:rFonts w:ascii="Times New Roman" w:hAnsi="Times New Roman" w:cs="Times New Roman"/>
          <w:bCs/>
          <w:lang w:val="en-GB"/>
        </w:rPr>
        <w:t xml:space="preserve"> that both these designations have been adopted by the Council in order to prevent the coalescence of settlements and to keep land open beyond the urban area. As these are local designations, they do not fall under footnote 7 of the NPPF and should not be used as a reason for not meeting housing needs in full. In addition, there is no support outside of Green Belt </w:t>
      </w:r>
      <w:r w:rsidR="004D68D6">
        <w:rPr>
          <w:rFonts w:ascii="Times New Roman" w:hAnsi="Times New Roman" w:cs="Times New Roman"/>
          <w:bCs/>
          <w:lang w:val="en-GB"/>
        </w:rPr>
        <w:t>purpose</w:t>
      </w:r>
      <w:r>
        <w:rPr>
          <w:rFonts w:ascii="Times New Roman" w:hAnsi="Times New Roman" w:cs="Times New Roman"/>
          <w:bCs/>
          <w:lang w:val="en-GB"/>
        </w:rPr>
        <w:t xml:space="preserve"> that </w:t>
      </w:r>
      <w:r w:rsidR="00E67330">
        <w:rPr>
          <w:rFonts w:ascii="Times New Roman" w:hAnsi="Times New Roman" w:cs="Times New Roman"/>
          <w:bCs/>
          <w:lang w:val="en-GB"/>
        </w:rPr>
        <w:t xml:space="preserve">seeks to </w:t>
      </w:r>
      <w:r>
        <w:rPr>
          <w:rFonts w:ascii="Times New Roman" w:hAnsi="Times New Roman" w:cs="Times New Roman"/>
          <w:bCs/>
          <w:lang w:val="en-GB"/>
        </w:rPr>
        <w:t xml:space="preserve">prevent the coalescence of settlements. Therefore, when preparing the local plans and considering opportunities for development the Council should take a policy off approach with regard to both these </w:t>
      </w:r>
      <w:r w:rsidR="00E67330">
        <w:rPr>
          <w:rFonts w:ascii="Times New Roman" w:hAnsi="Times New Roman" w:cs="Times New Roman"/>
          <w:bCs/>
          <w:lang w:val="en-GB"/>
        </w:rPr>
        <w:t xml:space="preserve">local </w:t>
      </w:r>
      <w:r w:rsidR="00596192">
        <w:rPr>
          <w:rFonts w:ascii="Times New Roman" w:hAnsi="Times New Roman" w:cs="Times New Roman"/>
          <w:bCs/>
          <w:lang w:val="en-GB"/>
        </w:rPr>
        <w:t>designations</w:t>
      </w:r>
      <w:r>
        <w:rPr>
          <w:rFonts w:ascii="Times New Roman" w:hAnsi="Times New Roman" w:cs="Times New Roman"/>
          <w:bCs/>
          <w:lang w:val="en-GB"/>
        </w:rPr>
        <w:t xml:space="preserve"> when assessing potential sites for development. If there are sustainable sites in any of these locations the Council should seek to</w:t>
      </w:r>
      <w:r w:rsidR="00901D3E">
        <w:rPr>
          <w:rFonts w:ascii="Times New Roman" w:hAnsi="Times New Roman" w:cs="Times New Roman"/>
          <w:bCs/>
          <w:lang w:val="en-GB"/>
        </w:rPr>
        <w:t xml:space="preserve"> include such development prior to </w:t>
      </w:r>
      <w:r w:rsidR="00804A32">
        <w:rPr>
          <w:rFonts w:ascii="Times New Roman" w:hAnsi="Times New Roman" w:cs="Times New Roman"/>
          <w:bCs/>
          <w:lang w:val="en-GB"/>
        </w:rPr>
        <w:t>identifying the boundary of the strategic gap or ASVI</w:t>
      </w:r>
      <w:r w:rsidR="00596192">
        <w:rPr>
          <w:rFonts w:ascii="Times New Roman" w:hAnsi="Times New Roman" w:cs="Times New Roman"/>
          <w:bCs/>
          <w:lang w:val="en-GB"/>
        </w:rPr>
        <w:t>.</w:t>
      </w:r>
      <w:r w:rsidR="00EC4A02">
        <w:rPr>
          <w:rFonts w:ascii="Times New Roman" w:hAnsi="Times New Roman" w:cs="Times New Roman"/>
          <w:bCs/>
          <w:lang w:val="en-GB"/>
        </w:rPr>
        <w:t xml:space="preserve"> </w:t>
      </w:r>
      <w:r w:rsidR="00620A01">
        <w:rPr>
          <w:rFonts w:ascii="Times New Roman" w:hAnsi="Times New Roman" w:cs="Times New Roman"/>
          <w:bCs/>
          <w:lang w:val="en-GB"/>
        </w:rPr>
        <w:t xml:space="preserve">If the </w:t>
      </w:r>
      <w:r w:rsidR="005E3358">
        <w:rPr>
          <w:rFonts w:ascii="Times New Roman" w:hAnsi="Times New Roman" w:cs="Times New Roman"/>
          <w:bCs/>
          <w:lang w:val="en-GB"/>
        </w:rPr>
        <w:t>Council</w:t>
      </w:r>
      <w:r w:rsidR="00620A01">
        <w:rPr>
          <w:rFonts w:ascii="Times New Roman" w:hAnsi="Times New Roman" w:cs="Times New Roman"/>
          <w:bCs/>
          <w:lang w:val="en-GB"/>
        </w:rPr>
        <w:t xml:space="preserve"> chooses to first review these local </w:t>
      </w:r>
      <w:r w:rsidR="00B85935">
        <w:rPr>
          <w:rFonts w:ascii="Times New Roman" w:hAnsi="Times New Roman" w:cs="Times New Roman"/>
          <w:bCs/>
          <w:lang w:val="en-GB"/>
        </w:rPr>
        <w:t>designations,</w:t>
      </w:r>
      <w:r w:rsidR="00620A01">
        <w:rPr>
          <w:rFonts w:ascii="Times New Roman" w:hAnsi="Times New Roman" w:cs="Times New Roman"/>
          <w:bCs/>
          <w:lang w:val="en-GB"/>
        </w:rPr>
        <w:t xml:space="preserve"> </w:t>
      </w:r>
      <w:r w:rsidR="005E3358">
        <w:rPr>
          <w:rFonts w:ascii="Times New Roman" w:hAnsi="Times New Roman" w:cs="Times New Roman"/>
          <w:bCs/>
          <w:lang w:val="en-GB"/>
        </w:rPr>
        <w:t xml:space="preserve">then as for Green Belt </w:t>
      </w:r>
      <w:r w:rsidR="0023354A">
        <w:rPr>
          <w:rFonts w:ascii="Times New Roman" w:hAnsi="Times New Roman" w:cs="Times New Roman"/>
          <w:bCs/>
          <w:lang w:val="en-GB"/>
        </w:rPr>
        <w:t xml:space="preserve">a </w:t>
      </w:r>
      <w:r w:rsidR="009F6780">
        <w:rPr>
          <w:rFonts w:ascii="Times New Roman" w:hAnsi="Times New Roman" w:cs="Times New Roman"/>
          <w:bCs/>
          <w:lang w:val="en-GB"/>
        </w:rPr>
        <w:t>relatively</w:t>
      </w:r>
      <w:r w:rsidR="0023354A">
        <w:rPr>
          <w:rFonts w:ascii="Times New Roman" w:hAnsi="Times New Roman" w:cs="Times New Roman"/>
          <w:bCs/>
          <w:lang w:val="en-GB"/>
        </w:rPr>
        <w:t xml:space="preserve"> fine grained approach </w:t>
      </w:r>
      <w:r w:rsidR="00BB3AAE">
        <w:rPr>
          <w:rFonts w:ascii="Times New Roman" w:hAnsi="Times New Roman" w:cs="Times New Roman"/>
          <w:bCs/>
          <w:lang w:val="en-GB"/>
        </w:rPr>
        <w:t>should be taken that</w:t>
      </w:r>
      <w:r w:rsidR="0023354A">
        <w:rPr>
          <w:rFonts w:ascii="Times New Roman" w:hAnsi="Times New Roman" w:cs="Times New Roman"/>
          <w:bCs/>
          <w:lang w:val="en-GB"/>
        </w:rPr>
        <w:t xml:space="preserve"> assess the </w:t>
      </w:r>
      <w:r w:rsidR="009F6780">
        <w:rPr>
          <w:rFonts w:ascii="Times New Roman" w:hAnsi="Times New Roman" w:cs="Times New Roman"/>
          <w:bCs/>
          <w:lang w:val="en-GB"/>
        </w:rPr>
        <w:t>impact</w:t>
      </w:r>
      <w:r w:rsidR="0023354A">
        <w:rPr>
          <w:rFonts w:ascii="Times New Roman" w:hAnsi="Times New Roman" w:cs="Times New Roman"/>
          <w:bCs/>
          <w:lang w:val="en-GB"/>
        </w:rPr>
        <w:t xml:space="preserve"> of </w:t>
      </w:r>
      <w:r w:rsidR="009F6780">
        <w:rPr>
          <w:rFonts w:ascii="Times New Roman" w:hAnsi="Times New Roman" w:cs="Times New Roman"/>
          <w:bCs/>
          <w:lang w:val="en-GB"/>
        </w:rPr>
        <w:t>releasing</w:t>
      </w:r>
      <w:r w:rsidR="0023354A">
        <w:rPr>
          <w:rFonts w:ascii="Times New Roman" w:hAnsi="Times New Roman" w:cs="Times New Roman"/>
          <w:bCs/>
          <w:lang w:val="en-GB"/>
        </w:rPr>
        <w:t xml:space="preserve"> small</w:t>
      </w:r>
      <w:r w:rsidR="00BB3AAE">
        <w:rPr>
          <w:rFonts w:ascii="Times New Roman" w:hAnsi="Times New Roman" w:cs="Times New Roman"/>
          <w:bCs/>
          <w:lang w:val="en-GB"/>
        </w:rPr>
        <w:t>er</w:t>
      </w:r>
      <w:r w:rsidR="0023354A">
        <w:rPr>
          <w:rFonts w:ascii="Times New Roman" w:hAnsi="Times New Roman" w:cs="Times New Roman"/>
          <w:bCs/>
          <w:lang w:val="en-GB"/>
        </w:rPr>
        <w:t xml:space="preserve"> </w:t>
      </w:r>
      <w:r w:rsidR="009F6780">
        <w:rPr>
          <w:rFonts w:ascii="Times New Roman" w:hAnsi="Times New Roman" w:cs="Times New Roman"/>
          <w:bCs/>
          <w:lang w:val="en-GB"/>
        </w:rPr>
        <w:t>parcels</w:t>
      </w:r>
      <w:r w:rsidR="0023354A">
        <w:rPr>
          <w:rFonts w:ascii="Times New Roman" w:hAnsi="Times New Roman" w:cs="Times New Roman"/>
          <w:bCs/>
          <w:lang w:val="en-GB"/>
        </w:rPr>
        <w:t xml:space="preserve"> of land</w:t>
      </w:r>
      <w:r w:rsidR="00BB3AAE">
        <w:rPr>
          <w:rFonts w:ascii="Times New Roman" w:hAnsi="Times New Roman" w:cs="Times New Roman"/>
          <w:bCs/>
          <w:lang w:val="en-GB"/>
        </w:rPr>
        <w:t xml:space="preserve"> as well as larger</w:t>
      </w:r>
      <w:r w:rsidR="009E4172">
        <w:rPr>
          <w:rFonts w:ascii="Times New Roman" w:hAnsi="Times New Roman" w:cs="Times New Roman"/>
          <w:bCs/>
          <w:lang w:val="en-GB"/>
        </w:rPr>
        <w:t xml:space="preserve"> sites</w:t>
      </w:r>
      <w:r w:rsidR="007E4B28">
        <w:rPr>
          <w:rFonts w:ascii="Times New Roman" w:hAnsi="Times New Roman" w:cs="Times New Roman"/>
          <w:bCs/>
          <w:lang w:val="en-GB"/>
        </w:rPr>
        <w:t xml:space="preserve">. </w:t>
      </w:r>
      <w:r w:rsidR="009F6780">
        <w:rPr>
          <w:rFonts w:ascii="Times New Roman" w:hAnsi="Times New Roman" w:cs="Times New Roman"/>
          <w:bCs/>
          <w:lang w:val="en-GB"/>
        </w:rPr>
        <w:t>In</w:t>
      </w:r>
      <w:r w:rsidR="007E4B28" w:rsidRPr="009F6780">
        <w:rPr>
          <w:rFonts w:ascii="Times New Roman" w:hAnsi="Times New Roman" w:cs="Times New Roman"/>
          <w:bCs/>
          <w:lang w:val="en-GB"/>
        </w:rPr>
        <w:t xml:space="preserve"> </w:t>
      </w:r>
      <w:r w:rsidR="00DD6A1B" w:rsidRPr="009F6780">
        <w:rPr>
          <w:rFonts w:ascii="Times New Roman" w:hAnsi="Times New Roman" w:cs="Times New Roman"/>
          <w:bCs/>
          <w:lang w:val="en-GB"/>
        </w:rPr>
        <w:t>taking a very broad approach to such assessments,</w:t>
      </w:r>
      <w:r w:rsidR="007E4B28" w:rsidRPr="009F6780">
        <w:rPr>
          <w:rFonts w:ascii="Times New Roman" w:hAnsi="Times New Roman" w:cs="Times New Roman"/>
          <w:bCs/>
          <w:lang w:val="en-GB"/>
        </w:rPr>
        <w:t xml:space="preserve"> it </w:t>
      </w:r>
      <w:r w:rsidR="009F6780" w:rsidRPr="009F6780">
        <w:rPr>
          <w:rFonts w:ascii="Times New Roman" w:hAnsi="Times New Roman" w:cs="Times New Roman"/>
          <w:bCs/>
          <w:lang w:val="en-GB"/>
        </w:rPr>
        <w:lastRenderedPageBreak/>
        <w:t>is</w:t>
      </w:r>
      <w:r w:rsidR="007E4B28" w:rsidRPr="009F6780">
        <w:rPr>
          <w:rFonts w:ascii="Times New Roman" w:hAnsi="Times New Roman" w:cs="Times New Roman"/>
          <w:bCs/>
          <w:lang w:val="en-GB"/>
        </w:rPr>
        <w:t xml:space="preserve"> </w:t>
      </w:r>
      <w:r w:rsidR="009F6780" w:rsidRPr="009F6780">
        <w:rPr>
          <w:rFonts w:ascii="Times New Roman" w:hAnsi="Times New Roman" w:cs="Times New Roman"/>
          <w:bCs/>
          <w:lang w:val="en-GB"/>
        </w:rPr>
        <w:t>possible</w:t>
      </w:r>
      <w:r w:rsidR="007E4B28" w:rsidRPr="009F6780">
        <w:rPr>
          <w:rFonts w:ascii="Times New Roman" w:hAnsi="Times New Roman" w:cs="Times New Roman"/>
          <w:bCs/>
          <w:lang w:val="en-GB"/>
        </w:rPr>
        <w:t xml:space="preserve"> to overlook sustainable sites that may have limited impact on </w:t>
      </w:r>
      <w:r w:rsidR="009F6780" w:rsidRPr="009F6780">
        <w:rPr>
          <w:rFonts w:ascii="Times New Roman" w:hAnsi="Times New Roman" w:cs="Times New Roman"/>
          <w:bCs/>
          <w:lang w:val="en-GB"/>
        </w:rPr>
        <w:t>the gap between two settlements or the visual openness that the Council are seeking to protect.</w:t>
      </w:r>
    </w:p>
    <w:p w14:paraId="4A17751C" w14:textId="101831AB" w:rsidR="009E4172" w:rsidRPr="00C313EB" w:rsidRDefault="00207D62" w:rsidP="00207D62">
      <w:pPr>
        <w:widowControl/>
        <w:suppressAutoHyphens w:val="0"/>
        <w:autoSpaceDE/>
        <w:spacing w:after="240" w:line="360" w:lineRule="auto"/>
        <w:jc w:val="both"/>
        <w:rPr>
          <w:rFonts w:ascii="Times New Roman" w:hAnsi="Times New Roman" w:cs="Times New Roman"/>
          <w:b/>
          <w:i/>
          <w:iCs/>
          <w:lang w:val="en-GB"/>
        </w:rPr>
      </w:pPr>
      <w:r w:rsidRPr="00C313EB">
        <w:rPr>
          <w:rFonts w:ascii="Times New Roman" w:hAnsi="Times New Roman" w:cs="Times New Roman"/>
          <w:b/>
          <w:i/>
          <w:iCs/>
          <w:lang w:val="en-GB"/>
        </w:rPr>
        <w:t>Housing mix and affordable housing</w:t>
      </w:r>
    </w:p>
    <w:p w14:paraId="28B8834E" w14:textId="3BBC1403" w:rsidR="00F45C43" w:rsidRDefault="007D3F8D" w:rsidP="001E495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 xml:space="preserve">The Council have </w:t>
      </w:r>
      <w:r w:rsidR="00A3352E">
        <w:rPr>
          <w:rFonts w:ascii="Times New Roman" w:hAnsi="Times New Roman" w:cs="Times New Roman"/>
          <w:bCs/>
          <w:lang w:val="en-GB"/>
        </w:rPr>
        <w:t>not undertaken a strategic housing market asses</w:t>
      </w:r>
      <w:r w:rsidR="002678A4">
        <w:rPr>
          <w:rFonts w:ascii="Times New Roman" w:hAnsi="Times New Roman" w:cs="Times New Roman"/>
          <w:bCs/>
          <w:lang w:val="en-GB"/>
        </w:rPr>
        <w:t xml:space="preserve">sment to determine the broad mix of homes that are required both in terms of tenure and, type and size. </w:t>
      </w:r>
      <w:r w:rsidR="002E384E">
        <w:rPr>
          <w:rFonts w:ascii="Times New Roman" w:hAnsi="Times New Roman" w:cs="Times New Roman"/>
          <w:bCs/>
          <w:lang w:val="en-GB"/>
        </w:rPr>
        <w:t xml:space="preserve">As such it </w:t>
      </w:r>
      <w:r w:rsidR="00703295">
        <w:rPr>
          <w:rFonts w:ascii="Times New Roman" w:hAnsi="Times New Roman" w:cs="Times New Roman"/>
          <w:bCs/>
          <w:lang w:val="en-GB"/>
        </w:rPr>
        <w:t>i</w:t>
      </w:r>
      <w:r w:rsidR="002E384E">
        <w:rPr>
          <w:rFonts w:ascii="Times New Roman" w:hAnsi="Times New Roman" w:cs="Times New Roman"/>
          <w:bCs/>
          <w:lang w:val="en-GB"/>
        </w:rPr>
        <w:t>s not possible to make any comment other than to suggest that the p</w:t>
      </w:r>
      <w:r w:rsidR="00703295">
        <w:rPr>
          <w:rFonts w:ascii="Times New Roman" w:hAnsi="Times New Roman" w:cs="Times New Roman"/>
          <w:bCs/>
          <w:lang w:val="en-GB"/>
        </w:rPr>
        <w:t xml:space="preserve">olicy should provide some flexibility to allow development to come forward where changing circumstances have made the scheme unviable. </w:t>
      </w:r>
      <w:r w:rsidR="00A96749">
        <w:rPr>
          <w:rFonts w:ascii="Times New Roman" w:hAnsi="Times New Roman" w:cs="Times New Roman"/>
          <w:bCs/>
          <w:lang w:val="en-GB"/>
        </w:rPr>
        <w:t>With regard to the</w:t>
      </w:r>
      <w:r w:rsidR="00405B32">
        <w:rPr>
          <w:rFonts w:ascii="Times New Roman" w:hAnsi="Times New Roman" w:cs="Times New Roman"/>
          <w:bCs/>
          <w:lang w:val="en-GB"/>
        </w:rPr>
        <w:t xml:space="preserve"> mix of hosing type being provided HBF would suggest that </w:t>
      </w:r>
      <w:r w:rsidR="00E66FBF">
        <w:rPr>
          <w:rFonts w:ascii="Times New Roman" w:hAnsi="Times New Roman" w:cs="Times New Roman"/>
          <w:bCs/>
          <w:lang w:val="en-GB"/>
        </w:rPr>
        <w:t xml:space="preserve">there is flexibility to </w:t>
      </w:r>
      <w:r w:rsidR="0001370A">
        <w:rPr>
          <w:rFonts w:ascii="Times New Roman" w:hAnsi="Times New Roman" w:cs="Times New Roman"/>
          <w:bCs/>
          <w:lang w:val="en-GB"/>
        </w:rPr>
        <w:t xml:space="preserve">in the </w:t>
      </w:r>
      <w:r w:rsidR="00D47725">
        <w:rPr>
          <w:rFonts w:ascii="Times New Roman" w:hAnsi="Times New Roman" w:cs="Times New Roman"/>
          <w:bCs/>
          <w:lang w:val="en-GB"/>
        </w:rPr>
        <w:t>application of</w:t>
      </w:r>
      <w:r w:rsidR="0001370A">
        <w:rPr>
          <w:rFonts w:ascii="Times New Roman" w:hAnsi="Times New Roman" w:cs="Times New Roman"/>
          <w:bCs/>
          <w:lang w:val="en-GB"/>
        </w:rPr>
        <w:t xml:space="preserve"> this </w:t>
      </w:r>
      <w:r w:rsidR="00D47725">
        <w:rPr>
          <w:rFonts w:ascii="Times New Roman" w:hAnsi="Times New Roman" w:cs="Times New Roman"/>
          <w:bCs/>
          <w:lang w:val="en-GB"/>
        </w:rPr>
        <w:t>policy</w:t>
      </w:r>
      <w:r w:rsidR="0001370A">
        <w:rPr>
          <w:rFonts w:ascii="Times New Roman" w:hAnsi="Times New Roman" w:cs="Times New Roman"/>
          <w:bCs/>
          <w:lang w:val="en-GB"/>
        </w:rPr>
        <w:t xml:space="preserve">. </w:t>
      </w:r>
      <w:r w:rsidR="00D47725">
        <w:rPr>
          <w:rFonts w:ascii="Times New Roman" w:hAnsi="Times New Roman" w:cs="Times New Roman"/>
          <w:bCs/>
          <w:lang w:val="en-GB"/>
        </w:rPr>
        <w:t>Firstly,</w:t>
      </w:r>
      <w:r w:rsidR="0001370A">
        <w:rPr>
          <w:rFonts w:ascii="Times New Roman" w:hAnsi="Times New Roman" w:cs="Times New Roman"/>
          <w:bCs/>
          <w:lang w:val="en-GB"/>
        </w:rPr>
        <w:t xml:space="preserve"> we </w:t>
      </w:r>
      <w:r w:rsidR="00D47725">
        <w:rPr>
          <w:rFonts w:ascii="Times New Roman" w:hAnsi="Times New Roman" w:cs="Times New Roman"/>
          <w:bCs/>
          <w:lang w:val="en-GB"/>
        </w:rPr>
        <w:t>would</w:t>
      </w:r>
      <w:r w:rsidR="0001370A">
        <w:rPr>
          <w:rFonts w:ascii="Times New Roman" w:hAnsi="Times New Roman" w:cs="Times New Roman"/>
          <w:bCs/>
          <w:lang w:val="en-GB"/>
        </w:rPr>
        <w:t xml:space="preserve"> </w:t>
      </w:r>
      <w:r w:rsidR="00D47725">
        <w:rPr>
          <w:rFonts w:ascii="Times New Roman" w:hAnsi="Times New Roman" w:cs="Times New Roman"/>
          <w:bCs/>
          <w:lang w:val="en-GB"/>
        </w:rPr>
        <w:t>recommend</w:t>
      </w:r>
      <w:r w:rsidR="0001370A">
        <w:rPr>
          <w:rFonts w:ascii="Times New Roman" w:hAnsi="Times New Roman" w:cs="Times New Roman"/>
          <w:bCs/>
          <w:lang w:val="en-GB"/>
        </w:rPr>
        <w:t xml:space="preserve"> that </w:t>
      </w:r>
      <w:r w:rsidR="00D47725">
        <w:rPr>
          <w:rFonts w:ascii="Times New Roman" w:hAnsi="Times New Roman" w:cs="Times New Roman"/>
          <w:bCs/>
          <w:lang w:val="en-GB"/>
        </w:rPr>
        <w:t>smaller</w:t>
      </w:r>
      <w:r w:rsidR="0001370A">
        <w:rPr>
          <w:rFonts w:ascii="Times New Roman" w:hAnsi="Times New Roman" w:cs="Times New Roman"/>
          <w:bCs/>
          <w:lang w:val="en-GB"/>
        </w:rPr>
        <w:t xml:space="preserve"> sites of less than one hectare </w:t>
      </w:r>
      <w:r w:rsidR="00D47725">
        <w:rPr>
          <w:rFonts w:ascii="Times New Roman" w:hAnsi="Times New Roman" w:cs="Times New Roman"/>
          <w:bCs/>
          <w:lang w:val="en-GB"/>
        </w:rPr>
        <w:t>should</w:t>
      </w:r>
      <w:r w:rsidR="0001370A">
        <w:rPr>
          <w:rFonts w:ascii="Times New Roman" w:hAnsi="Times New Roman" w:cs="Times New Roman"/>
          <w:bCs/>
          <w:lang w:val="en-GB"/>
        </w:rPr>
        <w:t xml:space="preserve"> </w:t>
      </w:r>
      <w:r w:rsidR="00D47725">
        <w:rPr>
          <w:rFonts w:ascii="Times New Roman" w:hAnsi="Times New Roman" w:cs="Times New Roman"/>
          <w:bCs/>
          <w:lang w:val="en-GB"/>
        </w:rPr>
        <w:t>not have</w:t>
      </w:r>
      <w:r w:rsidR="0001370A">
        <w:rPr>
          <w:rFonts w:ascii="Times New Roman" w:hAnsi="Times New Roman" w:cs="Times New Roman"/>
          <w:bCs/>
          <w:lang w:val="en-GB"/>
        </w:rPr>
        <w:t xml:space="preserve"> the mix dictated by </w:t>
      </w:r>
      <w:r w:rsidR="00D47725">
        <w:rPr>
          <w:rFonts w:ascii="Times New Roman" w:hAnsi="Times New Roman" w:cs="Times New Roman"/>
          <w:bCs/>
          <w:lang w:val="en-GB"/>
        </w:rPr>
        <w:t>policy</w:t>
      </w:r>
      <w:r w:rsidR="0001370A">
        <w:rPr>
          <w:rFonts w:ascii="Times New Roman" w:hAnsi="Times New Roman" w:cs="Times New Roman"/>
          <w:bCs/>
          <w:lang w:val="en-GB"/>
        </w:rPr>
        <w:t xml:space="preserve">. </w:t>
      </w:r>
      <w:r w:rsidR="00D47725">
        <w:rPr>
          <w:rFonts w:ascii="Times New Roman" w:hAnsi="Times New Roman" w:cs="Times New Roman"/>
          <w:bCs/>
          <w:lang w:val="en-GB"/>
        </w:rPr>
        <w:t>Such</w:t>
      </w:r>
      <w:r w:rsidR="0001370A">
        <w:rPr>
          <w:rFonts w:ascii="Times New Roman" w:hAnsi="Times New Roman" w:cs="Times New Roman"/>
          <w:bCs/>
          <w:lang w:val="en-GB"/>
        </w:rPr>
        <w:t xml:space="preserve"> sites</w:t>
      </w:r>
      <w:r w:rsidR="00D47725">
        <w:rPr>
          <w:rFonts w:ascii="Times New Roman" w:hAnsi="Times New Roman" w:cs="Times New Roman"/>
          <w:bCs/>
          <w:lang w:val="en-GB"/>
        </w:rPr>
        <w:t>, which are more likely to be developed by smaller house builders</w:t>
      </w:r>
      <w:r w:rsidR="00684FCA">
        <w:rPr>
          <w:rFonts w:ascii="Times New Roman" w:hAnsi="Times New Roman" w:cs="Times New Roman"/>
          <w:bCs/>
          <w:lang w:val="en-GB"/>
        </w:rPr>
        <w:t>,</w:t>
      </w:r>
      <w:r w:rsidR="00D47725">
        <w:rPr>
          <w:rFonts w:ascii="Times New Roman" w:hAnsi="Times New Roman" w:cs="Times New Roman"/>
          <w:bCs/>
          <w:lang w:val="en-GB"/>
        </w:rPr>
        <w:t xml:space="preserve"> should</w:t>
      </w:r>
      <w:r w:rsidR="0001370A">
        <w:rPr>
          <w:rFonts w:ascii="Times New Roman" w:hAnsi="Times New Roman" w:cs="Times New Roman"/>
          <w:bCs/>
          <w:lang w:val="en-GB"/>
        </w:rPr>
        <w:t xml:space="preserve"> </w:t>
      </w:r>
      <w:r w:rsidR="00684FCA">
        <w:rPr>
          <w:rFonts w:ascii="Times New Roman" w:hAnsi="Times New Roman" w:cs="Times New Roman"/>
          <w:bCs/>
          <w:lang w:val="en-GB"/>
        </w:rPr>
        <w:t>not be restricted in terms of the mix as long as this is in keeping with agreed densities. This enables these sites to deliver homes that meet the more specific needs of that location rather than broader needs of the Borough</w:t>
      </w:r>
      <w:r w:rsidR="00FA1856">
        <w:rPr>
          <w:rFonts w:ascii="Times New Roman" w:hAnsi="Times New Roman" w:cs="Times New Roman"/>
          <w:bCs/>
          <w:lang w:val="en-GB"/>
        </w:rPr>
        <w:t>. Secondly, rathe</w:t>
      </w:r>
      <w:r w:rsidR="0030774C">
        <w:rPr>
          <w:rFonts w:ascii="Times New Roman" w:hAnsi="Times New Roman" w:cs="Times New Roman"/>
          <w:bCs/>
          <w:lang w:val="en-GB"/>
        </w:rPr>
        <w:t>r</w:t>
      </w:r>
      <w:r w:rsidR="00FA1856">
        <w:rPr>
          <w:rFonts w:ascii="Times New Roman" w:hAnsi="Times New Roman" w:cs="Times New Roman"/>
          <w:bCs/>
          <w:lang w:val="en-GB"/>
        </w:rPr>
        <w:t xml:space="preserve"> than set a specific mix for larger sites </w:t>
      </w:r>
      <w:r w:rsidR="00AF0E74">
        <w:rPr>
          <w:rFonts w:ascii="Times New Roman" w:hAnsi="Times New Roman" w:cs="Times New Roman"/>
          <w:bCs/>
          <w:lang w:val="en-GB"/>
        </w:rPr>
        <w:t xml:space="preserve">HBF would suggest that the </w:t>
      </w:r>
      <w:r w:rsidR="00C2083C">
        <w:rPr>
          <w:rFonts w:ascii="Times New Roman" w:hAnsi="Times New Roman" w:cs="Times New Roman"/>
          <w:bCs/>
          <w:lang w:val="en-GB"/>
        </w:rPr>
        <w:t>policy</w:t>
      </w:r>
      <w:r w:rsidR="00AF0E74">
        <w:rPr>
          <w:rFonts w:ascii="Times New Roman" w:hAnsi="Times New Roman" w:cs="Times New Roman"/>
          <w:bCs/>
          <w:lang w:val="en-GB"/>
        </w:rPr>
        <w:t xml:space="preserve"> </w:t>
      </w:r>
      <w:r w:rsidR="00C2083C">
        <w:rPr>
          <w:rFonts w:ascii="Times New Roman" w:hAnsi="Times New Roman" w:cs="Times New Roman"/>
          <w:bCs/>
          <w:lang w:val="en-GB"/>
        </w:rPr>
        <w:t>requires</w:t>
      </w:r>
      <w:r w:rsidR="00AF0E74">
        <w:rPr>
          <w:rFonts w:ascii="Times New Roman" w:hAnsi="Times New Roman" w:cs="Times New Roman"/>
          <w:bCs/>
          <w:lang w:val="en-GB"/>
        </w:rPr>
        <w:t xml:space="preserve"> </w:t>
      </w:r>
      <w:r w:rsidR="00C2083C">
        <w:rPr>
          <w:rFonts w:ascii="Times New Roman" w:hAnsi="Times New Roman" w:cs="Times New Roman"/>
          <w:bCs/>
          <w:lang w:val="en-GB"/>
        </w:rPr>
        <w:t>developers</w:t>
      </w:r>
      <w:r w:rsidR="00AF0E74">
        <w:rPr>
          <w:rFonts w:ascii="Times New Roman" w:hAnsi="Times New Roman" w:cs="Times New Roman"/>
          <w:bCs/>
          <w:lang w:val="en-GB"/>
        </w:rPr>
        <w:t xml:space="preserve"> to have regard t</w:t>
      </w:r>
      <w:r w:rsidR="00C2083C">
        <w:rPr>
          <w:rFonts w:ascii="Times New Roman" w:hAnsi="Times New Roman" w:cs="Times New Roman"/>
          <w:bCs/>
          <w:lang w:val="en-GB"/>
        </w:rPr>
        <w:t>o</w:t>
      </w:r>
      <w:r w:rsidR="00AF0E74">
        <w:rPr>
          <w:rFonts w:ascii="Times New Roman" w:hAnsi="Times New Roman" w:cs="Times New Roman"/>
          <w:bCs/>
          <w:lang w:val="en-GB"/>
        </w:rPr>
        <w:t xml:space="preserve"> the </w:t>
      </w:r>
      <w:r w:rsidR="00C2083C">
        <w:rPr>
          <w:rFonts w:ascii="Times New Roman" w:hAnsi="Times New Roman" w:cs="Times New Roman"/>
          <w:bCs/>
          <w:lang w:val="en-GB"/>
        </w:rPr>
        <w:t>mix</w:t>
      </w:r>
      <w:r w:rsidR="00AF0E74">
        <w:rPr>
          <w:rFonts w:ascii="Times New Roman" w:hAnsi="Times New Roman" w:cs="Times New Roman"/>
          <w:bCs/>
          <w:lang w:val="en-GB"/>
        </w:rPr>
        <w:t xml:space="preserve"> in the housing needs </w:t>
      </w:r>
      <w:r w:rsidR="00C2083C">
        <w:rPr>
          <w:rFonts w:ascii="Times New Roman" w:hAnsi="Times New Roman" w:cs="Times New Roman"/>
          <w:bCs/>
          <w:lang w:val="en-GB"/>
        </w:rPr>
        <w:t>assessment</w:t>
      </w:r>
      <w:r w:rsidR="00AF0E74">
        <w:rPr>
          <w:rFonts w:ascii="Times New Roman" w:hAnsi="Times New Roman" w:cs="Times New Roman"/>
          <w:bCs/>
          <w:lang w:val="en-GB"/>
        </w:rPr>
        <w:t xml:space="preserve"> and any other </w:t>
      </w:r>
      <w:r w:rsidR="00C2083C">
        <w:rPr>
          <w:rFonts w:ascii="Times New Roman" w:hAnsi="Times New Roman" w:cs="Times New Roman"/>
          <w:bCs/>
          <w:lang w:val="en-GB"/>
        </w:rPr>
        <w:t>relevant</w:t>
      </w:r>
      <w:r w:rsidR="00AF0E74">
        <w:rPr>
          <w:rFonts w:ascii="Times New Roman" w:hAnsi="Times New Roman" w:cs="Times New Roman"/>
          <w:bCs/>
          <w:lang w:val="en-GB"/>
        </w:rPr>
        <w:t xml:space="preserve"> </w:t>
      </w:r>
      <w:r w:rsidR="00C2083C">
        <w:rPr>
          <w:rFonts w:ascii="Times New Roman" w:hAnsi="Times New Roman" w:cs="Times New Roman"/>
          <w:bCs/>
          <w:lang w:val="en-GB"/>
        </w:rPr>
        <w:t xml:space="preserve">available evidence. </w:t>
      </w:r>
      <w:r w:rsidR="00684FCA">
        <w:rPr>
          <w:rFonts w:ascii="Times New Roman" w:hAnsi="Times New Roman" w:cs="Times New Roman"/>
          <w:bCs/>
          <w:lang w:val="en-GB"/>
        </w:rPr>
        <w:t xml:space="preserve"> </w:t>
      </w:r>
    </w:p>
    <w:p w14:paraId="393B1CE1" w14:textId="0ED03FF5" w:rsidR="006776E4" w:rsidRDefault="00221514" w:rsidP="006776E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 xml:space="preserve">As this </w:t>
      </w:r>
      <w:r w:rsidR="00414A1C">
        <w:rPr>
          <w:rFonts w:ascii="Times New Roman" w:hAnsi="Times New Roman" w:cs="Times New Roman"/>
          <w:bCs/>
          <w:lang w:val="en-GB"/>
        </w:rPr>
        <w:t>Local Plan</w:t>
      </w:r>
      <w:r>
        <w:rPr>
          <w:rFonts w:ascii="Times New Roman" w:hAnsi="Times New Roman" w:cs="Times New Roman"/>
          <w:bCs/>
          <w:lang w:val="en-GB"/>
        </w:rPr>
        <w:t xml:space="preserve"> </w:t>
      </w:r>
      <w:r w:rsidR="00414A1C">
        <w:rPr>
          <w:rFonts w:ascii="Times New Roman" w:hAnsi="Times New Roman" w:cs="Times New Roman"/>
          <w:bCs/>
          <w:lang w:val="en-GB"/>
        </w:rPr>
        <w:t>i</w:t>
      </w:r>
      <w:r>
        <w:rPr>
          <w:rFonts w:ascii="Times New Roman" w:hAnsi="Times New Roman" w:cs="Times New Roman"/>
          <w:bCs/>
          <w:lang w:val="en-GB"/>
        </w:rPr>
        <w:t xml:space="preserve">s </w:t>
      </w:r>
      <w:r w:rsidR="00414A1C">
        <w:rPr>
          <w:rFonts w:ascii="Times New Roman" w:hAnsi="Times New Roman" w:cs="Times New Roman"/>
          <w:bCs/>
          <w:lang w:val="en-GB"/>
        </w:rPr>
        <w:t>still</w:t>
      </w:r>
      <w:r>
        <w:rPr>
          <w:rFonts w:ascii="Times New Roman" w:hAnsi="Times New Roman" w:cs="Times New Roman"/>
          <w:bCs/>
          <w:lang w:val="en-GB"/>
        </w:rPr>
        <w:t xml:space="preserve"> in the </w:t>
      </w:r>
      <w:r w:rsidR="00414A1C">
        <w:rPr>
          <w:rFonts w:ascii="Times New Roman" w:hAnsi="Times New Roman" w:cs="Times New Roman"/>
          <w:bCs/>
          <w:lang w:val="en-GB"/>
        </w:rPr>
        <w:t>early</w:t>
      </w:r>
      <w:r>
        <w:rPr>
          <w:rFonts w:ascii="Times New Roman" w:hAnsi="Times New Roman" w:cs="Times New Roman"/>
          <w:bCs/>
          <w:lang w:val="en-GB"/>
        </w:rPr>
        <w:t xml:space="preserve"> stages of development and has no specific </w:t>
      </w:r>
      <w:r w:rsidR="00414A1C">
        <w:rPr>
          <w:rFonts w:ascii="Times New Roman" w:hAnsi="Times New Roman" w:cs="Times New Roman"/>
          <w:bCs/>
          <w:lang w:val="en-GB"/>
        </w:rPr>
        <w:t>policies</w:t>
      </w:r>
      <w:r>
        <w:rPr>
          <w:rFonts w:ascii="Times New Roman" w:hAnsi="Times New Roman" w:cs="Times New Roman"/>
          <w:bCs/>
          <w:lang w:val="en-GB"/>
        </w:rPr>
        <w:t xml:space="preserve"> a v</w:t>
      </w:r>
      <w:r w:rsidR="00414A1C">
        <w:rPr>
          <w:rFonts w:ascii="Times New Roman" w:hAnsi="Times New Roman" w:cs="Times New Roman"/>
          <w:bCs/>
          <w:lang w:val="en-GB"/>
        </w:rPr>
        <w:t>iability</w:t>
      </w:r>
      <w:r>
        <w:rPr>
          <w:rFonts w:ascii="Times New Roman" w:hAnsi="Times New Roman" w:cs="Times New Roman"/>
          <w:bCs/>
          <w:lang w:val="en-GB"/>
        </w:rPr>
        <w:t xml:space="preserve"> assessment has not been </w:t>
      </w:r>
      <w:r w:rsidR="00414A1C">
        <w:rPr>
          <w:rFonts w:ascii="Times New Roman" w:hAnsi="Times New Roman" w:cs="Times New Roman"/>
          <w:bCs/>
          <w:lang w:val="en-GB"/>
        </w:rPr>
        <w:t>undertaken</w:t>
      </w:r>
      <w:r>
        <w:rPr>
          <w:rFonts w:ascii="Times New Roman" w:hAnsi="Times New Roman" w:cs="Times New Roman"/>
          <w:bCs/>
          <w:lang w:val="en-GB"/>
        </w:rPr>
        <w:t xml:space="preserve">. However, when this </w:t>
      </w:r>
      <w:r w:rsidR="00414A1C">
        <w:rPr>
          <w:rFonts w:ascii="Times New Roman" w:hAnsi="Times New Roman" w:cs="Times New Roman"/>
          <w:bCs/>
          <w:lang w:val="en-GB"/>
        </w:rPr>
        <w:t>assessment</w:t>
      </w:r>
      <w:r>
        <w:rPr>
          <w:rFonts w:ascii="Times New Roman" w:hAnsi="Times New Roman" w:cs="Times New Roman"/>
          <w:bCs/>
          <w:lang w:val="en-GB"/>
        </w:rPr>
        <w:t xml:space="preserve"> is </w:t>
      </w:r>
      <w:r w:rsidR="006A0AFA">
        <w:rPr>
          <w:rFonts w:ascii="Times New Roman" w:hAnsi="Times New Roman" w:cs="Times New Roman"/>
          <w:bCs/>
          <w:lang w:val="en-GB"/>
        </w:rPr>
        <w:t>undertaken,</w:t>
      </w:r>
      <w:r>
        <w:rPr>
          <w:rFonts w:ascii="Times New Roman" w:hAnsi="Times New Roman" w:cs="Times New Roman"/>
          <w:bCs/>
          <w:lang w:val="en-GB"/>
        </w:rPr>
        <w:t xml:space="preserve"> the </w:t>
      </w:r>
      <w:r w:rsidR="00414A1C">
        <w:rPr>
          <w:rFonts w:ascii="Times New Roman" w:hAnsi="Times New Roman" w:cs="Times New Roman"/>
          <w:bCs/>
          <w:lang w:val="en-GB"/>
        </w:rPr>
        <w:t>Council</w:t>
      </w:r>
      <w:r>
        <w:rPr>
          <w:rFonts w:ascii="Times New Roman" w:hAnsi="Times New Roman" w:cs="Times New Roman"/>
          <w:bCs/>
          <w:lang w:val="en-GB"/>
        </w:rPr>
        <w:t xml:space="preserve"> will need t</w:t>
      </w:r>
      <w:r w:rsidR="00414A1C">
        <w:rPr>
          <w:rFonts w:ascii="Times New Roman" w:hAnsi="Times New Roman" w:cs="Times New Roman"/>
          <w:bCs/>
          <w:lang w:val="en-GB"/>
        </w:rPr>
        <w:t>o</w:t>
      </w:r>
      <w:r>
        <w:rPr>
          <w:rFonts w:ascii="Times New Roman" w:hAnsi="Times New Roman" w:cs="Times New Roman"/>
          <w:bCs/>
          <w:lang w:val="en-GB"/>
        </w:rPr>
        <w:t xml:space="preserve"> </w:t>
      </w:r>
      <w:r w:rsidR="00414A1C">
        <w:rPr>
          <w:rFonts w:ascii="Times New Roman" w:hAnsi="Times New Roman" w:cs="Times New Roman"/>
          <w:bCs/>
          <w:lang w:val="en-GB"/>
        </w:rPr>
        <w:t>ensure</w:t>
      </w:r>
      <w:r>
        <w:rPr>
          <w:rFonts w:ascii="Times New Roman" w:hAnsi="Times New Roman" w:cs="Times New Roman"/>
          <w:bCs/>
          <w:lang w:val="en-GB"/>
        </w:rPr>
        <w:t xml:space="preserve"> </w:t>
      </w:r>
      <w:r w:rsidR="00414A1C">
        <w:rPr>
          <w:rFonts w:ascii="Times New Roman" w:hAnsi="Times New Roman" w:cs="Times New Roman"/>
          <w:bCs/>
          <w:lang w:val="en-GB"/>
        </w:rPr>
        <w:t>that</w:t>
      </w:r>
      <w:r>
        <w:rPr>
          <w:rFonts w:ascii="Times New Roman" w:hAnsi="Times New Roman" w:cs="Times New Roman"/>
          <w:bCs/>
          <w:lang w:val="en-GB"/>
        </w:rPr>
        <w:t xml:space="preserve"> it </w:t>
      </w:r>
      <w:r w:rsidR="00414A1C">
        <w:rPr>
          <w:rFonts w:ascii="Times New Roman" w:hAnsi="Times New Roman" w:cs="Times New Roman"/>
          <w:bCs/>
          <w:lang w:val="en-GB"/>
        </w:rPr>
        <w:t xml:space="preserve">is robust and </w:t>
      </w:r>
      <w:r w:rsidR="00867995">
        <w:rPr>
          <w:rFonts w:ascii="Times New Roman" w:hAnsi="Times New Roman" w:cs="Times New Roman"/>
          <w:bCs/>
          <w:lang w:val="en-GB"/>
        </w:rPr>
        <w:t xml:space="preserve">provides local evidence ass to the costs of meeting the </w:t>
      </w:r>
      <w:r w:rsidR="000D412D">
        <w:rPr>
          <w:rFonts w:ascii="Times New Roman" w:hAnsi="Times New Roman" w:cs="Times New Roman"/>
          <w:bCs/>
          <w:lang w:val="en-GB"/>
        </w:rPr>
        <w:t>policy</w:t>
      </w:r>
      <w:r w:rsidR="00867995">
        <w:rPr>
          <w:rFonts w:ascii="Times New Roman" w:hAnsi="Times New Roman" w:cs="Times New Roman"/>
          <w:bCs/>
          <w:lang w:val="en-GB"/>
        </w:rPr>
        <w:t xml:space="preserve"> requirements of this local plan. As noted </w:t>
      </w:r>
      <w:r w:rsidR="000029E6">
        <w:rPr>
          <w:rFonts w:ascii="Times New Roman" w:hAnsi="Times New Roman" w:cs="Times New Roman"/>
          <w:bCs/>
          <w:lang w:val="en-GB"/>
        </w:rPr>
        <w:t>earlier</w:t>
      </w:r>
      <w:r w:rsidR="00867995">
        <w:rPr>
          <w:rFonts w:ascii="Times New Roman" w:hAnsi="Times New Roman" w:cs="Times New Roman"/>
          <w:bCs/>
          <w:lang w:val="en-GB"/>
        </w:rPr>
        <w:t xml:space="preserve"> the cost of </w:t>
      </w:r>
      <w:r w:rsidR="000029E6">
        <w:rPr>
          <w:rFonts w:ascii="Times New Roman" w:hAnsi="Times New Roman" w:cs="Times New Roman"/>
          <w:bCs/>
          <w:lang w:val="en-GB"/>
        </w:rPr>
        <w:t>delivering</w:t>
      </w:r>
      <w:r w:rsidR="00867995">
        <w:rPr>
          <w:rFonts w:ascii="Times New Roman" w:hAnsi="Times New Roman" w:cs="Times New Roman"/>
          <w:bCs/>
          <w:lang w:val="en-GB"/>
        </w:rPr>
        <w:t xml:space="preserve"> BNG </w:t>
      </w:r>
      <w:r w:rsidR="000029E6">
        <w:rPr>
          <w:rFonts w:ascii="Times New Roman" w:hAnsi="Times New Roman" w:cs="Times New Roman"/>
          <w:bCs/>
          <w:lang w:val="en-GB"/>
        </w:rPr>
        <w:t>is</w:t>
      </w:r>
      <w:r w:rsidR="00867995">
        <w:rPr>
          <w:rFonts w:ascii="Times New Roman" w:hAnsi="Times New Roman" w:cs="Times New Roman"/>
          <w:bCs/>
          <w:lang w:val="en-GB"/>
        </w:rPr>
        <w:t xml:space="preserve"> still very </w:t>
      </w:r>
      <w:r w:rsidR="000029E6">
        <w:rPr>
          <w:rFonts w:ascii="Times New Roman" w:hAnsi="Times New Roman" w:cs="Times New Roman"/>
          <w:bCs/>
          <w:lang w:val="en-GB"/>
        </w:rPr>
        <w:t>uncertain</w:t>
      </w:r>
      <w:r w:rsidR="00867995">
        <w:rPr>
          <w:rFonts w:ascii="Times New Roman" w:hAnsi="Times New Roman" w:cs="Times New Roman"/>
          <w:bCs/>
          <w:lang w:val="en-GB"/>
        </w:rPr>
        <w:t xml:space="preserve"> with very general </w:t>
      </w:r>
      <w:r w:rsidR="000D412D">
        <w:rPr>
          <w:rFonts w:ascii="Times New Roman" w:hAnsi="Times New Roman" w:cs="Times New Roman"/>
          <w:bCs/>
          <w:lang w:val="en-GB"/>
        </w:rPr>
        <w:t>cos</w:t>
      </w:r>
      <w:r w:rsidR="00E62B8B">
        <w:rPr>
          <w:rFonts w:ascii="Times New Roman" w:hAnsi="Times New Roman" w:cs="Times New Roman"/>
          <w:bCs/>
          <w:lang w:val="en-GB"/>
        </w:rPr>
        <w:t>ts from</w:t>
      </w:r>
      <w:r w:rsidR="000029E6">
        <w:rPr>
          <w:rFonts w:ascii="Times New Roman" w:hAnsi="Times New Roman" w:cs="Times New Roman"/>
          <w:bCs/>
          <w:lang w:val="en-GB"/>
        </w:rPr>
        <w:t xml:space="preserve"> national</w:t>
      </w:r>
      <w:r w:rsidR="00E62B8B">
        <w:rPr>
          <w:rFonts w:ascii="Times New Roman" w:hAnsi="Times New Roman" w:cs="Times New Roman"/>
          <w:bCs/>
          <w:lang w:val="en-GB"/>
        </w:rPr>
        <w:t xml:space="preserve"> impact assessments being used rather than locally derived costs based on </w:t>
      </w:r>
      <w:r w:rsidR="000029E6">
        <w:rPr>
          <w:rFonts w:ascii="Times New Roman" w:hAnsi="Times New Roman" w:cs="Times New Roman"/>
          <w:bCs/>
          <w:lang w:val="en-GB"/>
        </w:rPr>
        <w:t xml:space="preserve">the sites that being delivered. </w:t>
      </w:r>
      <w:r w:rsidR="002F68AF">
        <w:rPr>
          <w:rFonts w:ascii="Times New Roman" w:hAnsi="Times New Roman" w:cs="Times New Roman"/>
          <w:bCs/>
          <w:lang w:val="en-GB"/>
        </w:rPr>
        <w:t xml:space="preserve">As the Council will be aware PPG requires close </w:t>
      </w:r>
      <w:r w:rsidR="003B3DDE">
        <w:rPr>
          <w:rFonts w:ascii="Times New Roman" w:hAnsi="Times New Roman" w:cs="Times New Roman"/>
          <w:bCs/>
          <w:lang w:val="en-GB"/>
        </w:rPr>
        <w:t>engagement</w:t>
      </w:r>
      <w:r w:rsidR="002F68AF">
        <w:rPr>
          <w:rFonts w:ascii="Times New Roman" w:hAnsi="Times New Roman" w:cs="Times New Roman"/>
          <w:bCs/>
          <w:lang w:val="en-GB"/>
        </w:rPr>
        <w:t xml:space="preserve"> </w:t>
      </w:r>
      <w:r w:rsidR="003B3DDE">
        <w:rPr>
          <w:rFonts w:ascii="Times New Roman" w:hAnsi="Times New Roman" w:cs="Times New Roman"/>
          <w:bCs/>
          <w:lang w:val="en-GB"/>
        </w:rPr>
        <w:t>with</w:t>
      </w:r>
      <w:r w:rsidR="002F68AF">
        <w:rPr>
          <w:rFonts w:ascii="Times New Roman" w:hAnsi="Times New Roman" w:cs="Times New Roman"/>
          <w:bCs/>
          <w:lang w:val="en-GB"/>
        </w:rPr>
        <w:t xml:space="preserve"> </w:t>
      </w:r>
      <w:r w:rsidR="003B3DDE">
        <w:rPr>
          <w:rFonts w:ascii="Times New Roman" w:hAnsi="Times New Roman" w:cs="Times New Roman"/>
          <w:bCs/>
          <w:lang w:val="en-GB"/>
        </w:rPr>
        <w:t>the development</w:t>
      </w:r>
      <w:r w:rsidR="002F68AF">
        <w:rPr>
          <w:rFonts w:ascii="Times New Roman" w:hAnsi="Times New Roman" w:cs="Times New Roman"/>
          <w:bCs/>
          <w:lang w:val="en-GB"/>
        </w:rPr>
        <w:t xml:space="preserve"> industry when it </w:t>
      </w:r>
      <w:r w:rsidR="003B3DDE">
        <w:rPr>
          <w:rFonts w:ascii="Times New Roman" w:hAnsi="Times New Roman" w:cs="Times New Roman"/>
          <w:bCs/>
          <w:lang w:val="en-GB"/>
        </w:rPr>
        <w:t>comes</w:t>
      </w:r>
      <w:r w:rsidR="002F68AF">
        <w:rPr>
          <w:rFonts w:ascii="Times New Roman" w:hAnsi="Times New Roman" w:cs="Times New Roman"/>
          <w:bCs/>
          <w:lang w:val="en-GB"/>
        </w:rPr>
        <w:t xml:space="preserve"> to assessing </w:t>
      </w:r>
      <w:r w:rsidR="003B3DDE">
        <w:rPr>
          <w:rFonts w:ascii="Times New Roman" w:hAnsi="Times New Roman" w:cs="Times New Roman"/>
          <w:bCs/>
          <w:lang w:val="en-GB"/>
        </w:rPr>
        <w:t xml:space="preserve">viability and we would encourage the Council to not only engage with he industry on such matters but to take on board any evidence they supply where it is </w:t>
      </w:r>
      <w:r w:rsidR="00AE79BC">
        <w:rPr>
          <w:rFonts w:ascii="Times New Roman" w:hAnsi="Times New Roman" w:cs="Times New Roman"/>
          <w:bCs/>
          <w:lang w:val="en-GB"/>
        </w:rPr>
        <w:t>inconsistent</w:t>
      </w:r>
      <w:r w:rsidR="003B3DDE">
        <w:rPr>
          <w:rFonts w:ascii="Times New Roman" w:hAnsi="Times New Roman" w:cs="Times New Roman"/>
          <w:bCs/>
          <w:lang w:val="en-GB"/>
        </w:rPr>
        <w:t xml:space="preserve"> </w:t>
      </w:r>
      <w:r w:rsidR="00AE79BC">
        <w:rPr>
          <w:rFonts w:ascii="Times New Roman" w:hAnsi="Times New Roman" w:cs="Times New Roman"/>
          <w:bCs/>
          <w:lang w:val="en-GB"/>
        </w:rPr>
        <w:t>with</w:t>
      </w:r>
      <w:r w:rsidR="003B3DDE">
        <w:rPr>
          <w:rFonts w:ascii="Times New Roman" w:hAnsi="Times New Roman" w:cs="Times New Roman"/>
          <w:bCs/>
          <w:lang w:val="en-GB"/>
        </w:rPr>
        <w:t xml:space="preserve"> the more </w:t>
      </w:r>
      <w:r w:rsidR="00AE79BC">
        <w:rPr>
          <w:rFonts w:ascii="Times New Roman" w:hAnsi="Times New Roman" w:cs="Times New Roman"/>
          <w:bCs/>
          <w:lang w:val="en-GB"/>
        </w:rPr>
        <w:t>generic</w:t>
      </w:r>
      <w:r w:rsidR="003B3DDE">
        <w:rPr>
          <w:rFonts w:ascii="Times New Roman" w:hAnsi="Times New Roman" w:cs="Times New Roman"/>
          <w:bCs/>
          <w:lang w:val="en-GB"/>
        </w:rPr>
        <w:t xml:space="preserve"> </w:t>
      </w:r>
      <w:r w:rsidR="00AE79BC">
        <w:rPr>
          <w:rFonts w:ascii="Times New Roman" w:hAnsi="Times New Roman" w:cs="Times New Roman"/>
          <w:bCs/>
          <w:lang w:val="en-GB"/>
        </w:rPr>
        <w:t>evidence</w:t>
      </w:r>
      <w:r w:rsidR="003B3DDE">
        <w:rPr>
          <w:rFonts w:ascii="Times New Roman" w:hAnsi="Times New Roman" w:cs="Times New Roman"/>
          <w:bCs/>
          <w:lang w:val="en-GB"/>
        </w:rPr>
        <w:t xml:space="preserve"> provided </w:t>
      </w:r>
      <w:r w:rsidR="00AE79BC">
        <w:rPr>
          <w:rFonts w:ascii="Times New Roman" w:hAnsi="Times New Roman" w:cs="Times New Roman"/>
          <w:bCs/>
          <w:lang w:val="en-GB"/>
        </w:rPr>
        <w:t>by viability assessments</w:t>
      </w:r>
      <w:r w:rsidR="003B3DDE">
        <w:rPr>
          <w:rFonts w:ascii="Times New Roman" w:hAnsi="Times New Roman" w:cs="Times New Roman"/>
          <w:bCs/>
          <w:lang w:val="en-GB"/>
        </w:rPr>
        <w:t>.</w:t>
      </w:r>
    </w:p>
    <w:p w14:paraId="34C1A31D" w14:textId="39FC8E2E" w:rsidR="006776E4" w:rsidRPr="006D6841" w:rsidRDefault="00901C64" w:rsidP="00901C64">
      <w:pPr>
        <w:widowControl/>
        <w:suppressAutoHyphens w:val="0"/>
        <w:autoSpaceDE/>
        <w:spacing w:after="240" w:line="360" w:lineRule="auto"/>
        <w:jc w:val="both"/>
        <w:rPr>
          <w:rFonts w:ascii="Times New Roman" w:hAnsi="Times New Roman" w:cs="Times New Roman"/>
          <w:bCs/>
          <w:i/>
          <w:iCs/>
          <w:lang w:val="en-GB"/>
        </w:rPr>
      </w:pPr>
      <w:r w:rsidRPr="006D6841">
        <w:rPr>
          <w:rFonts w:ascii="Times New Roman" w:hAnsi="Times New Roman" w:cs="Times New Roman"/>
          <w:bCs/>
          <w:i/>
          <w:iCs/>
          <w:lang w:val="en-GB"/>
        </w:rPr>
        <w:t>Housing</w:t>
      </w:r>
      <w:r w:rsidR="006776E4" w:rsidRPr="006D6841">
        <w:rPr>
          <w:rFonts w:ascii="Times New Roman" w:hAnsi="Times New Roman" w:cs="Times New Roman"/>
          <w:bCs/>
          <w:i/>
          <w:iCs/>
          <w:lang w:val="en-GB"/>
        </w:rPr>
        <w:t xml:space="preserve"> </w:t>
      </w:r>
      <w:r w:rsidRPr="006D6841">
        <w:rPr>
          <w:rFonts w:ascii="Times New Roman" w:hAnsi="Times New Roman" w:cs="Times New Roman"/>
          <w:bCs/>
          <w:i/>
          <w:iCs/>
          <w:lang w:val="en-GB"/>
        </w:rPr>
        <w:t>densities</w:t>
      </w:r>
    </w:p>
    <w:p w14:paraId="3437DCF0" w14:textId="7F5B69F8" w:rsidR="006776E4" w:rsidRDefault="00901C64" w:rsidP="006776E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Any policy on housing densities should ensure that in optimising the delver of housing on site it should t</w:t>
      </w:r>
      <w:r w:rsidR="00B72140">
        <w:rPr>
          <w:rFonts w:ascii="Times New Roman" w:hAnsi="Times New Roman" w:cs="Times New Roman"/>
          <w:bCs/>
          <w:lang w:val="en-GB"/>
        </w:rPr>
        <w:t xml:space="preserve">ake account </w:t>
      </w:r>
      <w:r w:rsidR="006A7B86">
        <w:rPr>
          <w:rFonts w:ascii="Times New Roman" w:hAnsi="Times New Roman" w:cs="Times New Roman"/>
          <w:bCs/>
          <w:lang w:val="en-GB"/>
        </w:rPr>
        <w:t xml:space="preserve">not only of the character of </w:t>
      </w:r>
      <w:r w:rsidR="006D6841">
        <w:rPr>
          <w:rFonts w:ascii="Times New Roman" w:hAnsi="Times New Roman" w:cs="Times New Roman"/>
          <w:bCs/>
          <w:lang w:val="en-GB"/>
        </w:rPr>
        <w:t>the area</w:t>
      </w:r>
      <w:r w:rsidR="006A7B86">
        <w:rPr>
          <w:rFonts w:ascii="Times New Roman" w:hAnsi="Times New Roman" w:cs="Times New Roman"/>
          <w:bCs/>
          <w:lang w:val="en-GB"/>
        </w:rPr>
        <w:t xml:space="preserve"> but also the type of homes that </w:t>
      </w:r>
      <w:r w:rsidR="00FE4733">
        <w:rPr>
          <w:rFonts w:ascii="Times New Roman" w:hAnsi="Times New Roman" w:cs="Times New Roman"/>
          <w:bCs/>
          <w:lang w:val="en-GB"/>
        </w:rPr>
        <w:t xml:space="preserve">needed </w:t>
      </w:r>
      <w:r w:rsidR="006D6841">
        <w:rPr>
          <w:rFonts w:ascii="Times New Roman" w:hAnsi="Times New Roman" w:cs="Times New Roman"/>
          <w:bCs/>
          <w:lang w:val="en-GB"/>
        </w:rPr>
        <w:t>in that</w:t>
      </w:r>
      <w:r w:rsidR="00FE4733">
        <w:rPr>
          <w:rFonts w:ascii="Times New Roman" w:hAnsi="Times New Roman" w:cs="Times New Roman"/>
          <w:bCs/>
          <w:lang w:val="en-GB"/>
        </w:rPr>
        <w:t xml:space="preserve"> area, the </w:t>
      </w:r>
      <w:r w:rsidR="006D6841">
        <w:rPr>
          <w:rFonts w:ascii="Times New Roman" w:hAnsi="Times New Roman" w:cs="Times New Roman"/>
          <w:bCs/>
          <w:lang w:val="en-GB"/>
        </w:rPr>
        <w:t>suitability</w:t>
      </w:r>
      <w:r w:rsidR="00FE4733">
        <w:rPr>
          <w:rFonts w:ascii="Times New Roman" w:hAnsi="Times New Roman" w:cs="Times New Roman"/>
          <w:bCs/>
          <w:lang w:val="en-GB"/>
        </w:rPr>
        <w:t xml:space="preserve"> of the land to </w:t>
      </w:r>
      <w:r w:rsidR="006D6841">
        <w:rPr>
          <w:rFonts w:ascii="Times New Roman" w:hAnsi="Times New Roman" w:cs="Times New Roman"/>
          <w:bCs/>
          <w:lang w:val="en-GB"/>
        </w:rPr>
        <w:t>deliver</w:t>
      </w:r>
      <w:r w:rsidR="00FE4733">
        <w:rPr>
          <w:rFonts w:ascii="Times New Roman" w:hAnsi="Times New Roman" w:cs="Times New Roman"/>
          <w:bCs/>
          <w:lang w:val="en-GB"/>
        </w:rPr>
        <w:t xml:space="preserve"> the proposed densities, local market conditions</w:t>
      </w:r>
      <w:r w:rsidR="004F30F1">
        <w:rPr>
          <w:rFonts w:ascii="Times New Roman" w:hAnsi="Times New Roman" w:cs="Times New Roman"/>
          <w:bCs/>
          <w:lang w:val="en-GB"/>
        </w:rPr>
        <w:t xml:space="preserve">, the </w:t>
      </w:r>
      <w:r w:rsidR="006D6841">
        <w:rPr>
          <w:rFonts w:ascii="Times New Roman" w:hAnsi="Times New Roman" w:cs="Times New Roman"/>
          <w:bCs/>
          <w:lang w:val="en-GB"/>
        </w:rPr>
        <w:t>availability</w:t>
      </w:r>
      <w:r w:rsidR="004F30F1">
        <w:rPr>
          <w:rFonts w:ascii="Times New Roman" w:hAnsi="Times New Roman" w:cs="Times New Roman"/>
          <w:bCs/>
          <w:lang w:val="en-GB"/>
        </w:rPr>
        <w:t xml:space="preserve"> and </w:t>
      </w:r>
      <w:r w:rsidR="006D6841">
        <w:rPr>
          <w:rFonts w:ascii="Times New Roman" w:hAnsi="Times New Roman" w:cs="Times New Roman"/>
          <w:bCs/>
          <w:lang w:val="en-GB"/>
        </w:rPr>
        <w:t>capacity</w:t>
      </w:r>
      <w:r w:rsidR="004F30F1">
        <w:rPr>
          <w:rFonts w:ascii="Times New Roman" w:hAnsi="Times New Roman" w:cs="Times New Roman"/>
          <w:bCs/>
          <w:lang w:val="en-GB"/>
        </w:rPr>
        <w:t xml:space="preserve"> of </w:t>
      </w:r>
      <w:r w:rsidR="006D6841">
        <w:rPr>
          <w:rFonts w:ascii="Times New Roman" w:hAnsi="Times New Roman" w:cs="Times New Roman"/>
          <w:bCs/>
          <w:lang w:val="en-GB"/>
        </w:rPr>
        <w:t>infrastructure</w:t>
      </w:r>
      <w:r w:rsidR="004F30F1">
        <w:rPr>
          <w:rFonts w:ascii="Times New Roman" w:hAnsi="Times New Roman" w:cs="Times New Roman"/>
          <w:bCs/>
          <w:lang w:val="en-GB"/>
        </w:rPr>
        <w:t xml:space="preserve"> and the </w:t>
      </w:r>
      <w:r w:rsidR="006D6841">
        <w:rPr>
          <w:rFonts w:ascii="Times New Roman" w:hAnsi="Times New Roman" w:cs="Times New Roman"/>
          <w:bCs/>
          <w:lang w:val="en-GB"/>
        </w:rPr>
        <w:t>importance</w:t>
      </w:r>
      <w:r w:rsidR="004F30F1">
        <w:rPr>
          <w:rFonts w:ascii="Times New Roman" w:hAnsi="Times New Roman" w:cs="Times New Roman"/>
          <w:bCs/>
          <w:lang w:val="en-GB"/>
        </w:rPr>
        <w:t xml:space="preserve"> of securing </w:t>
      </w:r>
      <w:r w:rsidR="00BA4791">
        <w:rPr>
          <w:rFonts w:ascii="Times New Roman" w:hAnsi="Times New Roman" w:cs="Times New Roman"/>
          <w:bCs/>
          <w:lang w:val="en-GB"/>
        </w:rPr>
        <w:t xml:space="preserve">well designed places. This requires a wide ranging assessment in </w:t>
      </w:r>
      <w:r w:rsidR="005714B3">
        <w:rPr>
          <w:rFonts w:ascii="Times New Roman" w:hAnsi="Times New Roman" w:cs="Times New Roman"/>
          <w:bCs/>
          <w:lang w:val="en-GB"/>
        </w:rPr>
        <w:t xml:space="preserve">some circumstances and if minimum </w:t>
      </w:r>
      <w:r w:rsidR="006D6841">
        <w:rPr>
          <w:rFonts w:ascii="Times New Roman" w:hAnsi="Times New Roman" w:cs="Times New Roman"/>
          <w:bCs/>
          <w:lang w:val="en-GB"/>
        </w:rPr>
        <w:t>densities</w:t>
      </w:r>
      <w:r w:rsidR="005714B3">
        <w:rPr>
          <w:rFonts w:ascii="Times New Roman" w:hAnsi="Times New Roman" w:cs="Times New Roman"/>
          <w:bCs/>
          <w:lang w:val="en-GB"/>
        </w:rPr>
        <w:t xml:space="preserve"> are </w:t>
      </w:r>
      <w:r w:rsidR="006D6841">
        <w:rPr>
          <w:rFonts w:ascii="Times New Roman" w:hAnsi="Times New Roman" w:cs="Times New Roman"/>
          <w:bCs/>
          <w:lang w:val="en-GB"/>
        </w:rPr>
        <w:t>proposed</w:t>
      </w:r>
      <w:r w:rsidR="005714B3">
        <w:rPr>
          <w:rFonts w:ascii="Times New Roman" w:hAnsi="Times New Roman" w:cs="Times New Roman"/>
          <w:bCs/>
          <w:lang w:val="en-GB"/>
        </w:rPr>
        <w:t xml:space="preserve"> </w:t>
      </w:r>
      <w:r w:rsidR="006D6841">
        <w:rPr>
          <w:rFonts w:ascii="Times New Roman" w:hAnsi="Times New Roman" w:cs="Times New Roman"/>
          <w:bCs/>
          <w:lang w:val="en-GB"/>
        </w:rPr>
        <w:t xml:space="preserve">it will be necessary to differentiate between locations as well as ensuring there is flexibility in the policy </w:t>
      </w:r>
      <w:r w:rsidR="00EA671C">
        <w:rPr>
          <w:rFonts w:ascii="Times New Roman" w:hAnsi="Times New Roman" w:cs="Times New Roman"/>
          <w:bCs/>
          <w:lang w:val="en-GB"/>
        </w:rPr>
        <w:t>to take account of</w:t>
      </w:r>
      <w:r w:rsidR="006D6841">
        <w:rPr>
          <w:rFonts w:ascii="Times New Roman" w:hAnsi="Times New Roman" w:cs="Times New Roman"/>
          <w:bCs/>
          <w:lang w:val="en-GB"/>
        </w:rPr>
        <w:t xml:space="preserve"> site specific circumstances. </w:t>
      </w:r>
    </w:p>
    <w:p w14:paraId="415CE012" w14:textId="7085B279" w:rsidR="002059EC" w:rsidRPr="008E673E" w:rsidRDefault="002059EC" w:rsidP="002059EC">
      <w:pPr>
        <w:widowControl/>
        <w:suppressAutoHyphens w:val="0"/>
        <w:autoSpaceDE/>
        <w:spacing w:after="240" w:line="360" w:lineRule="auto"/>
        <w:jc w:val="both"/>
        <w:rPr>
          <w:rFonts w:ascii="Times New Roman" w:hAnsi="Times New Roman" w:cs="Times New Roman"/>
          <w:bCs/>
          <w:i/>
          <w:iCs/>
          <w:lang w:val="en-GB"/>
        </w:rPr>
      </w:pPr>
      <w:r w:rsidRPr="008E673E">
        <w:rPr>
          <w:rFonts w:ascii="Times New Roman" w:hAnsi="Times New Roman" w:cs="Times New Roman"/>
          <w:bCs/>
          <w:i/>
          <w:iCs/>
          <w:lang w:val="en-GB"/>
        </w:rPr>
        <w:t>Homes for older people</w:t>
      </w:r>
    </w:p>
    <w:p w14:paraId="1E4C3342" w14:textId="6739A895" w:rsidR="000E622B" w:rsidRDefault="00CA30F4" w:rsidP="00AC1A2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 xml:space="preserve">HBF is </w:t>
      </w:r>
      <w:r w:rsidR="006F580F">
        <w:rPr>
          <w:rFonts w:ascii="Times New Roman" w:hAnsi="Times New Roman" w:cs="Times New Roman"/>
          <w:bCs/>
          <w:lang w:val="en-GB"/>
        </w:rPr>
        <w:t>supportive</w:t>
      </w:r>
      <w:r>
        <w:rPr>
          <w:rFonts w:ascii="Times New Roman" w:hAnsi="Times New Roman" w:cs="Times New Roman"/>
          <w:bCs/>
          <w:lang w:val="en-GB"/>
        </w:rPr>
        <w:t xml:space="preserve"> of the Councils seeking t</w:t>
      </w:r>
      <w:r w:rsidR="00EA671C">
        <w:rPr>
          <w:rFonts w:ascii="Times New Roman" w:hAnsi="Times New Roman" w:cs="Times New Roman"/>
          <w:bCs/>
          <w:lang w:val="en-GB"/>
        </w:rPr>
        <w:t>o</w:t>
      </w:r>
      <w:r>
        <w:rPr>
          <w:rFonts w:ascii="Times New Roman" w:hAnsi="Times New Roman" w:cs="Times New Roman"/>
          <w:bCs/>
          <w:lang w:val="en-GB"/>
        </w:rPr>
        <w:t xml:space="preserve"> meet the needs of older people and would </w:t>
      </w:r>
      <w:r w:rsidR="006F580F">
        <w:rPr>
          <w:rFonts w:ascii="Times New Roman" w:hAnsi="Times New Roman" w:cs="Times New Roman"/>
          <w:bCs/>
          <w:lang w:val="en-GB"/>
        </w:rPr>
        <w:t>suggest</w:t>
      </w:r>
      <w:r>
        <w:rPr>
          <w:rFonts w:ascii="Times New Roman" w:hAnsi="Times New Roman" w:cs="Times New Roman"/>
          <w:bCs/>
          <w:lang w:val="en-GB"/>
        </w:rPr>
        <w:t xml:space="preserve"> that th</w:t>
      </w:r>
      <w:r w:rsidR="006F580F">
        <w:rPr>
          <w:rFonts w:ascii="Times New Roman" w:hAnsi="Times New Roman" w:cs="Times New Roman"/>
          <w:bCs/>
          <w:lang w:val="en-GB"/>
        </w:rPr>
        <w:t>e</w:t>
      </w:r>
      <w:r>
        <w:rPr>
          <w:rFonts w:ascii="Times New Roman" w:hAnsi="Times New Roman" w:cs="Times New Roman"/>
          <w:bCs/>
          <w:lang w:val="en-GB"/>
        </w:rPr>
        <w:t xml:space="preserve"> most effective way of </w:t>
      </w:r>
      <w:r w:rsidR="000C56EF">
        <w:rPr>
          <w:rFonts w:ascii="Times New Roman" w:hAnsi="Times New Roman" w:cs="Times New Roman"/>
          <w:bCs/>
          <w:lang w:val="en-GB"/>
        </w:rPr>
        <w:t>achieving</w:t>
      </w:r>
      <w:r>
        <w:rPr>
          <w:rFonts w:ascii="Times New Roman" w:hAnsi="Times New Roman" w:cs="Times New Roman"/>
          <w:bCs/>
          <w:lang w:val="en-GB"/>
        </w:rPr>
        <w:t xml:space="preserve"> this is through the allocation of </w:t>
      </w:r>
      <w:r w:rsidR="006F580F">
        <w:rPr>
          <w:rFonts w:ascii="Times New Roman" w:hAnsi="Times New Roman" w:cs="Times New Roman"/>
          <w:bCs/>
          <w:lang w:val="en-GB"/>
        </w:rPr>
        <w:t>sufficient</w:t>
      </w:r>
      <w:r>
        <w:rPr>
          <w:rFonts w:ascii="Times New Roman" w:hAnsi="Times New Roman" w:cs="Times New Roman"/>
          <w:bCs/>
          <w:lang w:val="en-GB"/>
        </w:rPr>
        <w:t xml:space="preserve"> sites to meet needs</w:t>
      </w:r>
      <w:r w:rsidR="00F6148C">
        <w:rPr>
          <w:rFonts w:ascii="Times New Roman" w:hAnsi="Times New Roman" w:cs="Times New Roman"/>
          <w:bCs/>
          <w:lang w:val="en-GB"/>
        </w:rPr>
        <w:t xml:space="preserve"> alongside the </w:t>
      </w:r>
      <w:r w:rsidR="006F580F">
        <w:rPr>
          <w:rFonts w:ascii="Times New Roman" w:hAnsi="Times New Roman" w:cs="Times New Roman"/>
          <w:bCs/>
          <w:lang w:val="en-GB"/>
        </w:rPr>
        <w:t>inclusion</w:t>
      </w:r>
      <w:r w:rsidR="00F6148C">
        <w:rPr>
          <w:rFonts w:ascii="Times New Roman" w:hAnsi="Times New Roman" w:cs="Times New Roman"/>
          <w:bCs/>
          <w:lang w:val="en-GB"/>
        </w:rPr>
        <w:t xml:space="preserve"> </w:t>
      </w:r>
      <w:r w:rsidR="00F6148C">
        <w:rPr>
          <w:rFonts w:ascii="Times New Roman" w:hAnsi="Times New Roman" w:cs="Times New Roman"/>
          <w:bCs/>
          <w:lang w:val="en-GB"/>
        </w:rPr>
        <w:lastRenderedPageBreak/>
        <w:t xml:space="preserve">of a </w:t>
      </w:r>
      <w:r w:rsidR="006F580F">
        <w:rPr>
          <w:rFonts w:ascii="Times New Roman" w:hAnsi="Times New Roman" w:cs="Times New Roman"/>
          <w:bCs/>
          <w:lang w:val="en-GB"/>
        </w:rPr>
        <w:t>specific</w:t>
      </w:r>
      <w:r w:rsidR="00F6148C">
        <w:rPr>
          <w:rFonts w:ascii="Times New Roman" w:hAnsi="Times New Roman" w:cs="Times New Roman"/>
          <w:bCs/>
          <w:lang w:val="en-GB"/>
        </w:rPr>
        <w:t xml:space="preserve"> ho</w:t>
      </w:r>
      <w:r w:rsidR="006F580F">
        <w:rPr>
          <w:rFonts w:ascii="Times New Roman" w:hAnsi="Times New Roman" w:cs="Times New Roman"/>
          <w:bCs/>
          <w:lang w:val="en-GB"/>
        </w:rPr>
        <w:t>u</w:t>
      </w:r>
      <w:r w:rsidR="00F6148C">
        <w:rPr>
          <w:rFonts w:ascii="Times New Roman" w:hAnsi="Times New Roman" w:cs="Times New Roman"/>
          <w:bCs/>
          <w:lang w:val="en-GB"/>
        </w:rPr>
        <w:t xml:space="preserve">sing </w:t>
      </w:r>
      <w:r w:rsidR="006F580F">
        <w:rPr>
          <w:rFonts w:ascii="Times New Roman" w:hAnsi="Times New Roman" w:cs="Times New Roman"/>
          <w:bCs/>
          <w:lang w:val="en-GB"/>
        </w:rPr>
        <w:t>requirements</w:t>
      </w:r>
      <w:r w:rsidR="00F6148C">
        <w:rPr>
          <w:rFonts w:ascii="Times New Roman" w:hAnsi="Times New Roman" w:cs="Times New Roman"/>
          <w:bCs/>
          <w:lang w:val="en-GB"/>
        </w:rPr>
        <w:t xml:space="preserve"> for older people </w:t>
      </w:r>
      <w:r w:rsidR="006F580F">
        <w:rPr>
          <w:rFonts w:ascii="Times New Roman" w:hAnsi="Times New Roman" w:cs="Times New Roman"/>
          <w:bCs/>
          <w:lang w:val="en-GB"/>
        </w:rPr>
        <w:t>within any policy on older people’s housing</w:t>
      </w:r>
      <w:r w:rsidR="00633076">
        <w:rPr>
          <w:rFonts w:ascii="Times New Roman" w:hAnsi="Times New Roman" w:cs="Times New Roman"/>
          <w:bCs/>
          <w:lang w:val="en-GB"/>
        </w:rPr>
        <w:t xml:space="preserve"> and a commitment to meet these needs in full</w:t>
      </w:r>
      <w:r w:rsidR="006F580F">
        <w:rPr>
          <w:rFonts w:ascii="Times New Roman" w:hAnsi="Times New Roman" w:cs="Times New Roman"/>
          <w:bCs/>
          <w:lang w:val="en-GB"/>
        </w:rPr>
        <w:t xml:space="preserve">. </w:t>
      </w:r>
      <w:r w:rsidR="000C56EF">
        <w:rPr>
          <w:rFonts w:ascii="Times New Roman" w:hAnsi="Times New Roman" w:cs="Times New Roman"/>
          <w:bCs/>
          <w:lang w:val="en-GB"/>
        </w:rPr>
        <w:t xml:space="preserve">By including a requirement in </w:t>
      </w:r>
      <w:r w:rsidR="00633076">
        <w:rPr>
          <w:rFonts w:ascii="Times New Roman" w:hAnsi="Times New Roman" w:cs="Times New Roman"/>
          <w:bCs/>
          <w:lang w:val="en-GB"/>
        </w:rPr>
        <w:t>policy</w:t>
      </w:r>
      <w:r w:rsidR="000C56EF">
        <w:rPr>
          <w:rFonts w:ascii="Times New Roman" w:hAnsi="Times New Roman" w:cs="Times New Roman"/>
          <w:bCs/>
          <w:lang w:val="en-GB"/>
        </w:rPr>
        <w:t xml:space="preserve"> makes it clearer to decision </w:t>
      </w:r>
      <w:r w:rsidR="00633076">
        <w:rPr>
          <w:rFonts w:ascii="Times New Roman" w:hAnsi="Times New Roman" w:cs="Times New Roman"/>
          <w:bCs/>
          <w:lang w:val="en-GB"/>
        </w:rPr>
        <w:t>makers</w:t>
      </w:r>
      <w:r w:rsidR="000C56EF">
        <w:rPr>
          <w:rFonts w:ascii="Times New Roman" w:hAnsi="Times New Roman" w:cs="Times New Roman"/>
          <w:bCs/>
          <w:lang w:val="en-GB"/>
        </w:rPr>
        <w:t xml:space="preserve"> what the need for such accommodation is and whether the</w:t>
      </w:r>
      <w:r w:rsidR="003D41C3">
        <w:rPr>
          <w:rFonts w:ascii="Times New Roman" w:hAnsi="Times New Roman" w:cs="Times New Roman"/>
          <w:bCs/>
          <w:lang w:val="en-GB"/>
        </w:rPr>
        <w:t xml:space="preserve"> Council is able to meet these needs in full. This will enable a more positive approach to decision making with regard older people’s housing. </w:t>
      </w:r>
      <w:r w:rsidR="00EF7206">
        <w:rPr>
          <w:rFonts w:ascii="Times New Roman" w:hAnsi="Times New Roman" w:cs="Times New Roman"/>
          <w:bCs/>
          <w:lang w:val="en-GB"/>
        </w:rPr>
        <w:t>I</w:t>
      </w:r>
      <w:r w:rsidR="00EA671C">
        <w:rPr>
          <w:rFonts w:ascii="Times New Roman" w:hAnsi="Times New Roman" w:cs="Times New Roman"/>
          <w:bCs/>
          <w:lang w:val="en-GB"/>
        </w:rPr>
        <w:t>n</w:t>
      </w:r>
      <w:r w:rsidR="00EF7206">
        <w:rPr>
          <w:rFonts w:ascii="Times New Roman" w:hAnsi="Times New Roman" w:cs="Times New Roman"/>
          <w:bCs/>
          <w:lang w:val="en-GB"/>
        </w:rPr>
        <w:t xml:space="preserve"> considering </w:t>
      </w:r>
      <w:r w:rsidR="00A0245A">
        <w:rPr>
          <w:rFonts w:ascii="Times New Roman" w:hAnsi="Times New Roman" w:cs="Times New Roman"/>
          <w:bCs/>
          <w:lang w:val="en-GB"/>
        </w:rPr>
        <w:t xml:space="preserve">whether </w:t>
      </w:r>
      <w:r w:rsidR="008E673E">
        <w:rPr>
          <w:rFonts w:ascii="Times New Roman" w:hAnsi="Times New Roman" w:cs="Times New Roman"/>
          <w:bCs/>
          <w:lang w:val="en-GB"/>
        </w:rPr>
        <w:t>older</w:t>
      </w:r>
      <w:r w:rsidR="00A0245A">
        <w:rPr>
          <w:rFonts w:ascii="Times New Roman" w:hAnsi="Times New Roman" w:cs="Times New Roman"/>
          <w:bCs/>
          <w:lang w:val="en-GB"/>
        </w:rPr>
        <w:t xml:space="preserve"> people’s ho</w:t>
      </w:r>
      <w:r w:rsidR="008E673E">
        <w:rPr>
          <w:rFonts w:ascii="Times New Roman" w:hAnsi="Times New Roman" w:cs="Times New Roman"/>
          <w:bCs/>
          <w:lang w:val="en-GB"/>
        </w:rPr>
        <w:t>u</w:t>
      </w:r>
      <w:r w:rsidR="00A0245A">
        <w:rPr>
          <w:rFonts w:ascii="Times New Roman" w:hAnsi="Times New Roman" w:cs="Times New Roman"/>
          <w:bCs/>
          <w:lang w:val="en-GB"/>
        </w:rPr>
        <w:t xml:space="preserve">sing </w:t>
      </w:r>
      <w:r w:rsidR="008E673E">
        <w:rPr>
          <w:rFonts w:ascii="Times New Roman" w:hAnsi="Times New Roman" w:cs="Times New Roman"/>
          <w:bCs/>
          <w:lang w:val="en-GB"/>
        </w:rPr>
        <w:t>should</w:t>
      </w:r>
      <w:r w:rsidR="00A0245A">
        <w:rPr>
          <w:rFonts w:ascii="Times New Roman" w:hAnsi="Times New Roman" w:cs="Times New Roman"/>
          <w:bCs/>
          <w:lang w:val="en-GB"/>
        </w:rPr>
        <w:t xml:space="preserve"> make a </w:t>
      </w:r>
      <w:r w:rsidR="00B834E7">
        <w:rPr>
          <w:rFonts w:ascii="Times New Roman" w:hAnsi="Times New Roman" w:cs="Times New Roman"/>
          <w:bCs/>
          <w:lang w:val="en-GB"/>
        </w:rPr>
        <w:t>contribution</w:t>
      </w:r>
      <w:r w:rsidR="00A0245A">
        <w:rPr>
          <w:rFonts w:ascii="Times New Roman" w:hAnsi="Times New Roman" w:cs="Times New Roman"/>
          <w:bCs/>
          <w:lang w:val="en-GB"/>
        </w:rPr>
        <w:t xml:space="preserve"> to </w:t>
      </w:r>
      <w:r w:rsidR="00B834E7">
        <w:rPr>
          <w:rFonts w:ascii="Times New Roman" w:hAnsi="Times New Roman" w:cs="Times New Roman"/>
          <w:bCs/>
          <w:lang w:val="en-GB"/>
        </w:rPr>
        <w:t>affordable</w:t>
      </w:r>
      <w:r w:rsidR="00A0245A">
        <w:rPr>
          <w:rFonts w:ascii="Times New Roman" w:hAnsi="Times New Roman" w:cs="Times New Roman"/>
          <w:bCs/>
          <w:lang w:val="en-GB"/>
        </w:rPr>
        <w:t xml:space="preserve"> </w:t>
      </w:r>
      <w:r w:rsidR="00B834E7">
        <w:rPr>
          <w:rFonts w:ascii="Times New Roman" w:hAnsi="Times New Roman" w:cs="Times New Roman"/>
          <w:bCs/>
          <w:lang w:val="en-GB"/>
        </w:rPr>
        <w:t>housing</w:t>
      </w:r>
      <w:r w:rsidR="00A0245A">
        <w:rPr>
          <w:rFonts w:ascii="Times New Roman" w:hAnsi="Times New Roman" w:cs="Times New Roman"/>
          <w:bCs/>
          <w:lang w:val="en-GB"/>
        </w:rPr>
        <w:t xml:space="preserve"> </w:t>
      </w:r>
      <w:r w:rsidR="00B834E7">
        <w:rPr>
          <w:rFonts w:ascii="Times New Roman" w:hAnsi="Times New Roman" w:cs="Times New Roman"/>
          <w:bCs/>
          <w:lang w:val="en-GB"/>
        </w:rPr>
        <w:t>th</w:t>
      </w:r>
      <w:r w:rsidR="00A0245A">
        <w:rPr>
          <w:rFonts w:ascii="Times New Roman" w:hAnsi="Times New Roman" w:cs="Times New Roman"/>
          <w:bCs/>
          <w:lang w:val="en-GB"/>
        </w:rPr>
        <w:t xml:space="preserve">e </w:t>
      </w:r>
      <w:r w:rsidR="00B834E7">
        <w:rPr>
          <w:rFonts w:ascii="Times New Roman" w:hAnsi="Times New Roman" w:cs="Times New Roman"/>
          <w:bCs/>
          <w:lang w:val="en-GB"/>
        </w:rPr>
        <w:t>Council</w:t>
      </w:r>
      <w:r w:rsidR="00A0245A">
        <w:rPr>
          <w:rFonts w:ascii="Times New Roman" w:hAnsi="Times New Roman" w:cs="Times New Roman"/>
          <w:bCs/>
          <w:lang w:val="en-GB"/>
        </w:rPr>
        <w:t xml:space="preserve"> will also need to e</w:t>
      </w:r>
      <w:r w:rsidR="008E673E">
        <w:rPr>
          <w:rFonts w:ascii="Times New Roman" w:hAnsi="Times New Roman" w:cs="Times New Roman"/>
          <w:bCs/>
          <w:lang w:val="en-GB"/>
        </w:rPr>
        <w:t>nsure</w:t>
      </w:r>
      <w:r w:rsidR="00A0245A">
        <w:rPr>
          <w:rFonts w:ascii="Times New Roman" w:hAnsi="Times New Roman" w:cs="Times New Roman"/>
          <w:bCs/>
          <w:lang w:val="en-GB"/>
        </w:rPr>
        <w:t xml:space="preserve"> the </w:t>
      </w:r>
      <w:r w:rsidR="008E673E">
        <w:rPr>
          <w:rFonts w:ascii="Times New Roman" w:hAnsi="Times New Roman" w:cs="Times New Roman"/>
          <w:bCs/>
          <w:lang w:val="en-GB"/>
        </w:rPr>
        <w:t>additional</w:t>
      </w:r>
      <w:r w:rsidR="00A0245A">
        <w:rPr>
          <w:rFonts w:ascii="Times New Roman" w:hAnsi="Times New Roman" w:cs="Times New Roman"/>
          <w:bCs/>
          <w:lang w:val="en-GB"/>
        </w:rPr>
        <w:t xml:space="preserve"> costs faced by such </w:t>
      </w:r>
      <w:r w:rsidR="008E673E">
        <w:rPr>
          <w:rFonts w:ascii="Times New Roman" w:hAnsi="Times New Roman" w:cs="Times New Roman"/>
          <w:bCs/>
          <w:lang w:val="en-GB"/>
        </w:rPr>
        <w:t>development is</w:t>
      </w:r>
      <w:r w:rsidR="00A0245A">
        <w:rPr>
          <w:rFonts w:ascii="Times New Roman" w:hAnsi="Times New Roman" w:cs="Times New Roman"/>
          <w:bCs/>
          <w:lang w:val="en-GB"/>
        </w:rPr>
        <w:t xml:space="preserve"> taken in to account. </w:t>
      </w:r>
    </w:p>
    <w:p w14:paraId="64CEDA16" w14:textId="37E9BE4F" w:rsidR="008E673E" w:rsidRDefault="00AF5F37" w:rsidP="00AC1A2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For example, i</w:t>
      </w:r>
      <w:r w:rsidR="008E673E" w:rsidRPr="008E673E">
        <w:rPr>
          <w:rFonts w:ascii="Times New Roman" w:hAnsi="Times New Roman" w:cs="Times New Roman"/>
          <w:bCs/>
          <w:lang w:val="en-GB"/>
        </w:rPr>
        <w:t xml:space="preserve">n respect of flatted sheltered housing typologies for example, the </w:t>
      </w:r>
      <w:r w:rsidR="00592F84" w:rsidRPr="008E673E">
        <w:rPr>
          <w:rFonts w:ascii="Times New Roman" w:hAnsi="Times New Roman" w:cs="Times New Roman"/>
          <w:bCs/>
          <w:lang w:val="en-GB"/>
        </w:rPr>
        <w:t>R</w:t>
      </w:r>
      <w:r w:rsidR="00592F84">
        <w:rPr>
          <w:rFonts w:ascii="Times New Roman" w:hAnsi="Times New Roman" w:cs="Times New Roman"/>
          <w:bCs/>
          <w:lang w:val="en-GB"/>
        </w:rPr>
        <w:t>etirement</w:t>
      </w:r>
      <w:r w:rsidR="008E673E">
        <w:rPr>
          <w:rFonts w:ascii="Times New Roman" w:hAnsi="Times New Roman" w:cs="Times New Roman"/>
          <w:bCs/>
          <w:lang w:val="en-GB"/>
        </w:rPr>
        <w:t xml:space="preserve"> </w:t>
      </w:r>
      <w:r w:rsidR="008E673E" w:rsidRPr="008E673E">
        <w:rPr>
          <w:rFonts w:ascii="Times New Roman" w:hAnsi="Times New Roman" w:cs="Times New Roman"/>
          <w:bCs/>
          <w:lang w:val="en-GB"/>
        </w:rPr>
        <w:t>H</w:t>
      </w:r>
      <w:r w:rsidR="00592F84">
        <w:rPr>
          <w:rFonts w:ascii="Times New Roman" w:hAnsi="Times New Roman" w:cs="Times New Roman"/>
          <w:bCs/>
          <w:lang w:val="en-GB"/>
        </w:rPr>
        <w:t xml:space="preserve">ousing Group </w:t>
      </w:r>
      <w:r w:rsidR="008E673E" w:rsidRPr="008E673E">
        <w:rPr>
          <w:rFonts w:ascii="Times New Roman" w:hAnsi="Times New Roman" w:cs="Times New Roman"/>
          <w:bCs/>
          <w:lang w:val="en-GB"/>
        </w:rPr>
        <w:t>briefing note</w:t>
      </w:r>
      <w:r w:rsidR="002E6B8C">
        <w:rPr>
          <w:rStyle w:val="FootnoteReference"/>
          <w:rFonts w:ascii="Times New Roman" w:hAnsi="Times New Roman" w:cs="Times New Roman"/>
          <w:bCs/>
          <w:lang w:val="en-GB"/>
        </w:rPr>
        <w:footnoteReference w:id="1"/>
      </w:r>
      <w:r w:rsidR="008E673E" w:rsidRPr="008E673E">
        <w:rPr>
          <w:rFonts w:ascii="Times New Roman" w:hAnsi="Times New Roman" w:cs="Times New Roman"/>
          <w:bCs/>
          <w:lang w:val="en-GB"/>
        </w:rPr>
        <w:t xml:space="preserve"> sets out that non chargeable floor space is 20-40% of the total area. </w:t>
      </w:r>
      <w:r w:rsidR="002E6B8C">
        <w:rPr>
          <w:rFonts w:ascii="Times New Roman" w:hAnsi="Times New Roman" w:cs="Times New Roman"/>
          <w:bCs/>
          <w:lang w:val="en-GB"/>
        </w:rPr>
        <w:t xml:space="preserve">It is important that this is accurate as </w:t>
      </w:r>
      <w:r w:rsidR="00C175BC">
        <w:rPr>
          <w:rFonts w:ascii="Times New Roman" w:hAnsi="Times New Roman" w:cs="Times New Roman"/>
          <w:bCs/>
          <w:lang w:val="en-GB"/>
        </w:rPr>
        <w:t>if</w:t>
      </w:r>
      <w:r w:rsidR="008E673E" w:rsidRPr="008E673E">
        <w:rPr>
          <w:rFonts w:ascii="Times New Roman" w:hAnsi="Times New Roman" w:cs="Times New Roman"/>
          <w:bCs/>
          <w:lang w:val="en-GB"/>
        </w:rPr>
        <w:t xml:space="preserve"> the gross to net saleable floor space is inaccurate there is a significant risk not only in underestimating build costs but also other costs such as professional fees and contingencies.</w:t>
      </w:r>
      <w:r w:rsidR="00C175BC">
        <w:rPr>
          <w:rFonts w:ascii="Times New Roman" w:hAnsi="Times New Roman" w:cs="Times New Roman"/>
          <w:bCs/>
          <w:lang w:val="en-GB"/>
        </w:rPr>
        <w:t xml:space="preserve"> </w:t>
      </w:r>
      <w:r w:rsidR="008E673E" w:rsidRPr="008E673E">
        <w:rPr>
          <w:rFonts w:ascii="Times New Roman" w:hAnsi="Times New Roman" w:cs="Times New Roman"/>
          <w:bCs/>
          <w:lang w:val="en-GB"/>
        </w:rPr>
        <w:t xml:space="preserve">The sales and marketing costs for older person’s housing are </w:t>
      </w:r>
      <w:r w:rsidR="00C175BC">
        <w:rPr>
          <w:rFonts w:ascii="Times New Roman" w:hAnsi="Times New Roman" w:cs="Times New Roman"/>
          <w:bCs/>
          <w:lang w:val="en-GB"/>
        </w:rPr>
        <w:t>also higher</w:t>
      </w:r>
      <w:r w:rsidR="009C4A59">
        <w:rPr>
          <w:rFonts w:ascii="Times New Roman" w:hAnsi="Times New Roman" w:cs="Times New Roman"/>
          <w:bCs/>
          <w:lang w:val="en-GB"/>
        </w:rPr>
        <w:t xml:space="preserve">, </w:t>
      </w:r>
      <w:r w:rsidR="008E673E" w:rsidRPr="008E673E">
        <w:rPr>
          <w:rFonts w:ascii="Times New Roman" w:hAnsi="Times New Roman" w:cs="Times New Roman"/>
          <w:bCs/>
          <w:lang w:val="en-GB"/>
        </w:rPr>
        <w:t xml:space="preserve">typically 6% of GDV. Age restricted products </w:t>
      </w:r>
      <w:r w:rsidR="009C4A59">
        <w:rPr>
          <w:rFonts w:ascii="Times New Roman" w:hAnsi="Times New Roman" w:cs="Times New Roman"/>
          <w:bCs/>
          <w:lang w:val="en-GB"/>
        </w:rPr>
        <w:t xml:space="preserve">also </w:t>
      </w:r>
      <w:r w:rsidR="008E673E" w:rsidRPr="008E673E">
        <w:rPr>
          <w:rFonts w:ascii="Times New Roman" w:hAnsi="Times New Roman" w:cs="Times New Roman"/>
          <w:bCs/>
          <w:lang w:val="en-GB"/>
        </w:rPr>
        <w:t>require more intensive marketing and sales staff involvement over several years for relatively small developments and do not compare to general needs housing in terms of</w:t>
      </w:r>
      <w:r w:rsidR="009C4A59">
        <w:rPr>
          <w:rFonts w:ascii="Times New Roman" w:hAnsi="Times New Roman" w:cs="Times New Roman"/>
          <w:bCs/>
          <w:lang w:val="en-GB"/>
        </w:rPr>
        <w:t xml:space="preserve"> </w:t>
      </w:r>
      <w:r w:rsidR="008E673E" w:rsidRPr="008E673E">
        <w:rPr>
          <w:rFonts w:ascii="Times New Roman" w:hAnsi="Times New Roman" w:cs="Times New Roman"/>
          <w:bCs/>
          <w:lang w:val="en-GB"/>
        </w:rPr>
        <w:t>these costs</w:t>
      </w:r>
      <w:r w:rsidR="009C4A59">
        <w:rPr>
          <w:rFonts w:ascii="Times New Roman" w:hAnsi="Times New Roman" w:cs="Times New Roman"/>
          <w:bCs/>
          <w:lang w:val="en-GB"/>
        </w:rPr>
        <w:t xml:space="preserve">. </w:t>
      </w:r>
      <w:r w:rsidR="008E673E" w:rsidRPr="008E673E">
        <w:rPr>
          <w:rFonts w:ascii="Times New Roman" w:hAnsi="Times New Roman" w:cs="Times New Roman"/>
          <w:bCs/>
          <w:lang w:val="en-GB"/>
        </w:rPr>
        <w:t xml:space="preserve">The average sales rate for flatted sheltered housing at present is </w:t>
      </w:r>
      <w:r w:rsidR="009C4A59">
        <w:rPr>
          <w:rFonts w:ascii="Times New Roman" w:hAnsi="Times New Roman" w:cs="Times New Roman"/>
          <w:bCs/>
          <w:lang w:val="en-GB"/>
        </w:rPr>
        <w:t>generally lower</w:t>
      </w:r>
      <w:r w:rsidR="00AC1A2F">
        <w:rPr>
          <w:rFonts w:ascii="Times New Roman" w:hAnsi="Times New Roman" w:cs="Times New Roman"/>
          <w:bCs/>
          <w:lang w:val="en-GB"/>
        </w:rPr>
        <w:t xml:space="preserve"> with recent evidence suggesting around </w:t>
      </w:r>
      <w:r w:rsidR="008E673E" w:rsidRPr="008E673E">
        <w:rPr>
          <w:rFonts w:ascii="Times New Roman" w:hAnsi="Times New Roman" w:cs="Times New Roman"/>
          <w:bCs/>
          <w:lang w:val="en-GB"/>
        </w:rPr>
        <w:t>0.6 sales per month. The rate has fallen year on year over the last 10 years from circa 1.3 sales per month in 2016 to less than 1 sale per month on average across the major providers of this typology.</w:t>
      </w:r>
    </w:p>
    <w:p w14:paraId="78330F36" w14:textId="37DCE90F" w:rsidR="001A6D70" w:rsidRPr="002C658C" w:rsidRDefault="00A504B7" w:rsidP="002C658C">
      <w:pPr>
        <w:spacing w:after="240" w:line="360" w:lineRule="auto"/>
        <w:rPr>
          <w:rFonts w:ascii="Arial" w:hAnsi="Arial" w:cs="Arial"/>
          <w:b/>
        </w:rPr>
      </w:pPr>
      <w:r w:rsidRPr="002C658C">
        <w:rPr>
          <w:rFonts w:ascii="Arial" w:hAnsi="Arial" w:cs="Arial"/>
          <w:b/>
        </w:rPr>
        <w:t xml:space="preserve">Mitigation, Adaptation and </w:t>
      </w:r>
      <w:r w:rsidR="007654AE" w:rsidRPr="002C658C">
        <w:rPr>
          <w:rFonts w:ascii="Arial" w:hAnsi="Arial" w:cs="Arial"/>
          <w:b/>
        </w:rPr>
        <w:t>Resilience to Climate Change</w:t>
      </w:r>
    </w:p>
    <w:p w14:paraId="7BB865C4" w14:textId="568922A1" w:rsidR="00783102" w:rsidRPr="00783102" w:rsidRDefault="00783102" w:rsidP="00A504B7">
      <w:pPr>
        <w:widowControl/>
        <w:suppressAutoHyphens w:val="0"/>
        <w:autoSpaceDE/>
        <w:spacing w:after="240" w:line="360" w:lineRule="auto"/>
        <w:jc w:val="both"/>
        <w:rPr>
          <w:rFonts w:ascii="Times New Roman" w:hAnsi="Times New Roman" w:cs="Times New Roman"/>
          <w:bCs/>
          <w:i/>
          <w:iCs/>
          <w:lang w:val="en-GB"/>
        </w:rPr>
      </w:pPr>
      <w:r w:rsidRPr="00783102">
        <w:rPr>
          <w:rFonts w:ascii="Times New Roman" w:hAnsi="Times New Roman" w:cs="Times New Roman"/>
          <w:bCs/>
          <w:i/>
          <w:iCs/>
          <w:lang w:val="en-GB"/>
        </w:rPr>
        <w:t>Energy efficiency standard</w:t>
      </w:r>
    </w:p>
    <w:p w14:paraId="19A9ED4B" w14:textId="77777777" w:rsidR="003B48B7" w:rsidRDefault="009C50CF" w:rsidP="00A74C6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 xml:space="preserve">HBF </w:t>
      </w:r>
      <w:r w:rsidR="00FC1C9D">
        <w:rPr>
          <w:rFonts w:ascii="Times New Roman" w:hAnsi="Times New Roman" w:cs="Times New Roman"/>
          <w:bCs/>
          <w:lang w:val="en-GB"/>
        </w:rPr>
        <w:t>recognise</w:t>
      </w:r>
      <w:r>
        <w:rPr>
          <w:rFonts w:ascii="Times New Roman" w:hAnsi="Times New Roman" w:cs="Times New Roman"/>
          <w:bCs/>
          <w:lang w:val="en-GB"/>
        </w:rPr>
        <w:t xml:space="preserve"> the ne</w:t>
      </w:r>
      <w:r w:rsidR="00FC1C9D">
        <w:rPr>
          <w:rFonts w:ascii="Times New Roman" w:hAnsi="Times New Roman" w:cs="Times New Roman"/>
          <w:bCs/>
          <w:lang w:val="en-GB"/>
        </w:rPr>
        <w:t>e</w:t>
      </w:r>
      <w:r>
        <w:rPr>
          <w:rFonts w:ascii="Times New Roman" w:hAnsi="Times New Roman" w:cs="Times New Roman"/>
          <w:bCs/>
          <w:lang w:val="en-GB"/>
        </w:rPr>
        <w:t xml:space="preserve">d for local </w:t>
      </w:r>
      <w:r w:rsidR="00FC1C9D">
        <w:rPr>
          <w:rFonts w:ascii="Times New Roman" w:hAnsi="Times New Roman" w:cs="Times New Roman"/>
          <w:bCs/>
          <w:lang w:val="en-GB"/>
        </w:rPr>
        <w:t>plans</w:t>
      </w:r>
      <w:r>
        <w:rPr>
          <w:rFonts w:ascii="Times New Roman" w:hAnsi="Times New Roman" w:cs="Times New Roman"/>
          <w:bCs/>
          <w:lang w:val="en-GB"/>
        </w:rPr>
        <w:t xml:space="preserve"> and new development to </w:t>
      </w:r>
      <w:r w:rsidR="00FC1C9D">
        <w:rPr>
          <w:rFonts w:ascii="Times New Roman" w:hAnsi="Times New Roman" w:cs="Times New Roman"/>
          <w:bCs/>
          <w:lang w:val="en-GB"/>
        </w:rPr>
        <w:t>minimise</w:t>
      </w:r>
      <w:r>
        <w:rPr>
          <w:rFonts w:ascii="Times New Roman" w:hAnsi="Times New Roman" w:cs="Times New Roman"/>
          <w:bCs/>
          <w:lang w:val="en-GB"/>
        </w:rPr>
        <w:t xml:space="preserve"> the</w:t>
      </w:r>
      <w:r w:rsidR="00FC1C9D">
        <w:rPr>
          <w:rFonts w:ascii="Times New Roman" w:hAnsi="Times New Roman" w:cs="Times New Roman"/>
          <w:bCs/>
          <w:lang w:val="en-GB"/>
        </w:rPr>
        <w:t xml:space="preserve"> impact</w:t>
      </w:r>
      <w:r>
        <w:rPr>
          <w:rFonts w:ascii="Times New Roman" w:hAnsi="Times New Roman" w:cs="Times New Roman"/>
          <w:bCs/>
          <w:lang w:val="en-GB"/>
        </w:rPr>
        <w:t xml:space="preserve"> of new development on climate change and </w:t>
      </w:r>
      <w:r w:rsidR="00FC1C9D">
        <w:rPr>
          <w:rFonts w:ascii="Times New Roman" w:hAnsi="Times New Roman" w:cs="Times New Roman"/>
          <w:bCs/>
          <w:lang w:val="en-GB"/>
        </w:rPr>
        <w:t>ensure</w:t>
      </w:r>
      <w:r>
        <w:rPr>
          <w:rFonts w:ascii="Times New Roman" w:hAnsi="Times New Roman" w:cs="Times New Roman"/>
          <w:bCs/>
          <w:lang w:val="en-GB"/>
        </w:rPr>
        <w:t xml:space="preserve"> that it is </w:t>
      </w:r>
      <w:r w:rsidR="00FC1C9D">
        <w:rPr>
          <w:rFonts w:ascii="Times New Roman" w:hAnsi="Times New Roman" w:cs="Times New Roman"/>
          <w:bCs/>
          <w:lang w:val="en-GB"/>
        </w:rPr>
        <w:t xml:space="preserve">also resilient to the effects of the change climate. </w:t>
      </w:r>
      <w:r w:rsidR="00630C2C">
        <w:rPr>
          <w:rFonts w:ascii="Times New Roman" w:hAnsi="Times New Roman" w:cs="Times New Roman"/>
          <w:bCs/>
          <w:lang w:val="en-GB"/>
        </w:rPr>
        <w:t xml:space="preserve">This will need to be reflected in the design of new building and their orientation within a development to maximise solar gain and opportunities for cooling. </w:t>
      </w:r>
      <w:r w:rsidR="006A34C5">
        <w:rPr>
          <w:rFonts w:ascii="Times New Roman" w:hAnsi="Times New Roman" w:cs="Times New Roman"/>
          <w:bCs/>
          <w:lang w:val="en-GB"/>
        </w:rPr>
        <w:t xml:space="preserve">However, with regard to the </w:t>
      </w:r>
      <w:r w:rsidR="00591CEF">
        <w:rPr>
          <w:rFonts w:ascii="Times New Roman" w:hAnsi="Times New Roman" w:cs="Times New Roman"/>
          <w:bCs/>
          <w:lang w:val="en-GB"/>
        </w:rPr>
        <w:t>Council’s</w:t>
      </w:r>
      <w:r w:rsidR="006A34C5">
        <w:rPr>
          <w:rFonts w:ascii="Times New Roman" w:hAnsi="Times New Roman" w:cs="Times New Roman"/>
          <w:bCs/>
          <w:lang w:val="en-GB"/>
        </w:rPr>
        <w:t xml:space="preserve"> </w:t>
      </w:r>
      <w:r w:rsidR="00591CEF">
        <w:rPr>
          <w:rFonts w:ascii="Times New Roman" w:hAnsi="Times New Roman" w:cs="Times New Roman"/>
          <w:bCs/>
          <w:lang w:val="en-GB"/>
        </w:rPr>
        <w:t>question</w:t>
      </w:r>
      <w:r w:rsidR="006A34C5">
        <w:rPr>
          <w:rFonts w:ascii="Times New Roman" w:hAnsi="Times New Roman" w:cs="Times New Roman"/>
          <w:bCs/>
          <w:lang w:val="en-GB"/>
        </w:rPr>
        <w:t xml:space="preserve"> as to </w:t>
      </w:r>
      <w:r w:rsidR="00591CEF">
        <w:rPr>
          <w:rFonts w:ascii="Times New Roman" w:hAnsi="Times New Roman" w:cs="Times New Roman"/>
          <w:bCs/>
          <w:lang w:val="en-GB"/>
        </w:rPr>
        <w:t>setting</w:t>
      </w:r>
      <w:r w:rsidR="006A34C5">
        <w:rPr>
          <w:rFonts w:ascii="Times New Roman" w:hAnsi="Times New Roman" w:cs="Times New Roman"/>
          <w:bCs/>
          <w:lang w:val="en-GB"/>
        </w:rPr>
        <w:t xml:space="preserve"> energy </w:t>
      </w:r>
      <w:r w:rsidR="00591CEF">
        <w:rPr>
          <w:rFonts w:ascii="Times New Roman" w:hAnsi="Times New Roman" w:cs="Times New Roman"/>
          <w:bCs/>
          <w:lang w:val="en-GB"/>
        </w:rPr>
        <w:t>efficiency</w:t>
      </w:r>
      <w:r w:rsidR="006A34C5">
        <w:rPr>
          <w:rFonts w:ascii="Times New Roman" w:hAnsi="Times New Roman" w:cs="Times New Roman"/>
          <w:bCs/>
          <w:lang w:val="en-GB"/>
        </w:rPr>
        <w:t xml:space="preserve"> standard for new bu</w:t>
      </w:r>
      <w:r w:rsidR="00591CEF">
        <w:rPr>
          <w:rFonts w:ascii="Times New Roman" w:hAnsi="Times New Roman" w:cs="Times New Roman"/>
          <w:bCs/>
          <w:lang w:val="en-GB"/>
        </w:rPr>
        <w:t>ildings</w:t>
      </w:r>
      <w:r w:rsidR="006A34C5">
        <w:rPr>
          <w:rFonts w:ascii="Times New Roman" w:hAnsi="Times New Roman" w:cs="Times New Roman"/>
          <w:bCs/>
          <w:lang w:val="en-GB"/>
        </w:rPr>
        <w:t xml:space="preserve"> the HBF would suggest that this is not necessary given that </w:t>
      </w:r>
      <w:r w:rsidR="00591CEF">
        <w:rPr>
          <w:rFonts w:ascii="Times New Roman" w:hAnsi="Times New Roman" w:cs="Times New Roman"/>
          <w:bCs/>
          <w:lang w:val="en-GB"/>
        </w:rPr>
        <w:t>by the time this plan is adopted the Future Homes Standard</w:t>
      </w:r>
      <w:r w:rsidR="007C62EF">
        <w:rPr>
          <w:rFonts w:ascii="Times New Roman" w:hAnsi="Times New Roman" w:cs="Times New Roman"/>
          <w:bCs/>
          <w:lang w:val="en-GB"/>
        </w:rPr>
        <w:t xml:space="preserve"> (FHS)</w:t>
      </w:r>
      <w:r w:rsidR="00591CEF">
        <w:rPr>
          <w:rFonts w:ascii="Times New Roman" w:hAnsi="Times New Roman" w:cs="Times New Roman"/>
          <w:bCs/>
          <w:lang w:val="en-GB"/>
        </w:rPr>
        <w:t xml:space="preserve"> will be in place that will mean new homes are zero carbon ready. </w:t>
      </w:r>
      <w:r w:rsidR="00AD5C8E">
        <w:rPr>
          <w:rFonts w:ascii="Times New Roman" w:hAnsi="Times New Roman" w:cs="Times New Roman"/>
          <w:bCs/>
          <w:lang w:val="en-GB"/>
        </w:rPr>
        <w:t>Alongside</w:t>
      </w:r>
      <w:r w:rsidR="00591CEF">
        <w:rPr>
          <w:rFonts w:ascii="Times New Roman" w:hAnsi="Times New Roman" w:cs="Times New Roman"/>
          <w:bCs/>
          <w:lang w:val="en-GB"/>
        </w:rPr>
        <w:t xml:space="preserve"> this the </w:t>
      </w:r>
      <w:r w:rsidR="004808D8">
        <w:rPr>
          <w:rFonts w:ascii="Times New Roman" w:hAnsi="Times New Roman" w:cs="Times New Roman"/>
          <w:bCs/>
          <w:lang w:val="en-GB"/>
        </w:rPr>
        <w:t xml:space="preserve">Standard </w:t>
      </w:r>
      <w:r w:rsidR="00AD5C8E">
        <w:rPr>
          <w:rFonts w:ascii="Times New Roman" w:hAnsi="Times New Roman" w:cs="Times New Roman"/>
          <w:bCs/>
          <w:lang w:val="en-GB"/>
        </w:rPr>
        <w:t>Assessment</w:t>
      </w:r>
      <w:r w:rsidR="004808D8">
        <w:rPr>
          <w:rFonts w:ascii="Times New Roman" w:hAnsi="Times New Roman" w:cs="Times New Roman"/>
          <w:bCs/>
          <w:lang w:val="en-GB"/>
        </w:rPr>
        <w:t xml:space="preserve"> Procedure (SAP) will have be</w:t>
      </w:r>
      <w:r w:rsidR="00E557F8">
        <w:rPr>
          <w:rFonts w:ascii="Times New Roman" w:hAnsi="Times New Roman" w:cs="Times New Roman"/>
          <w:bCs/>
          <w:lang w:val="en-GB"/>
        </w:rPr>
        <w:t>e</w:t>
      </w:r>
      <w:r w:rsidR="004808D8">
        <w:rPr>
          <w:rFonts w:ascii="Times New Roman" w:hAnsi="Times New Roman" w:cs="Times New Roman"/>
          <w:bCs/>
          <w:lang w:val="en-GB"/>
        </w:rPr>
        <w:t xml:space="preserve">n replaced by the Home Energy Model providing </w:t>
      </w:r>
      <w:r w:rsidR="00AD5C8E">
        <w:rPr>
          <w:rFonts w:ascii="Times New Roman" w:hAnsi="Times New Roman" w:cs="Times New Roman"/>
          <w:bCs/>
          <w:lang w:val="en-GB"/>
        </w:rPr>
        <w:t>more</w:t>
      </w:r>
      <w:r w:rsidR="004808D8">
        <w:rPr>
          <w:rFonts w:ascii="Times New Roman" w:hAnsi="Times New Roman" w:cs="Times New Roman"/>
          <w:bCs/>
          <w:lang w:val="en-GB"/>
        </w:rPr>
        <w:t xml:space="preserve"> </w:t>
      </w:r>
      <w:r w:rsidR="00AD5C8E">
        <w:rPr>
          <w:rFonts w:ascii="Times New Roman" w:hAnsi="Times New Roman" w:cs="Times New Roman"/>
          <w:bCs/>
          <w:lang w:val="en-GB"/>
        </w:rPr>
        <w:t>effective</w:t>
      </w:r>
      <w:r w:rsidR="004808D8">
        <w:rPr>
          <w:rFonts w:ascii="Times New Roman" w:hAnsi="Times New Roman" w:cs="Times New Roman"/>
          <w:bCs/>
          <w:lang w:val="en-GB"/>
        </w:rPr>
        <w:t xml:space="preserve"> </w:t>
      </w:r>
      <w:r w:rsidR="00AD5C8E">
        <w:rPr>
          <w:rFonts w:ascii="Times New Roman" w:hAnsi="Times New Roman" w:cs="Times New Roman"/>
          <w:bCs/>
          <w:lang w:val="en-GB"/>
        </w:rPr>
        <w:t>mon</w:t>
      </w:r>
      <w:r w:rsidR="00C44339">
        <w:rPr>
          <w:rFonts w:ascii="Times New Roman" w:hAnsi="Times New Roman" w:cs="Times New Roman"/>
          <w:bCs/>
          <w:lang w:val="en-GB"/>
        </w:rPr>
        <w:t>itoring</w:t>
      </w:r>
      <w:r w:rsidR="004808D8">
        <w:rPr>
          <w:rFonts w:ascii="Times New Roman" w:hAnsi="Times New Roman" w:cs="Times New Roman"/>
          <w:bCs/>
          <w:lang w:val="en-GB"/>
        </w:rPr>
        <w:t xml:space="preserve"> of </w:t>
      </w:r>
      <w:r w:rsidR="00AD5C8E">
        <w:rPr>
          <w:rFonts w:ascii="Times New Roman" w:hAnsi="Times New Roman" w:cs="Times New Roman"/>
          <w:bCs/>
          <w:lang w:val="en-GB"/>
        </w:rPr>
        <w:t>ho</w:t>
      </w:r>
      <w:r w:rsidR="00C44339">
        <w:rPr>
          <w:rFonts w:ascii="Times New Roman" w:hAnsi="Times New Roman" w:cs="Times New Roman"/>
          <w:bCs/>
          <w:lang w:val="en-GB"/>
        </w:rPr>
        <w:t>u</w:t>
      </w:r>
      <w:r w:rsidR="00AD5C8E">
        <w:rPr>
          <w:rFonts w:ascii="Times New Roman" w:hAnsi="Times New Roman" w:cs="Times New Roman"/>
          <w:bCs/>
          <w:lang w:val="en-GB"/>
        </w:rPr>
        <w:t xml:space="preserve">sing </w:t>
      </w:r>
      <w:r w:rsidR="00C44339">
        <w:rPr>
          <w:rFonts w:ascii="Times New Roman" w:hAnsi="Times New Roman" w:cs="Times New Roman"/>
          <w:bCs/>
          <w:lang w:val="en-GB"/>
        </w:rPr>
        <w:t>performance</w:t>
      </w:r>
      <w:r w:rsidR="00AD5C8E">
        <w:rPr>
          <w:rFonts w:ascii="Times New Roman" w:hAnsi="Times New Roman" w:cs="Times New Roman"/>
          <w:bCs/>
          <w:lang w:val="en-GB"/>
        </w:rPr>
        <w:t xml:space="preserve"> with regard to energy efficiency. </w:t>
      </w:r>
    </w:p>
    <w:p w14:paraId="170A252E" w14:textId="1D36A8FB" w:rsidR="003B48B7" w:rsidRPr="003B48B7" w:rsidRDefault="00B2707A" w:rsidP="003B48B7">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A74C69">
        <w:rPr>
          <w:rFonts w:ascii="Times New Roman" w:hAnsi="Times New Roman" w:cs="Times New Roman"/>
          <w:bCs/>
          <w:lang w:val="en-GB"/>
        </w:rPr>
        <w:t xml:space="preserve">The </w:t>
      </w:r>
      <w:r w:rsidR="005E38E5" w:rsidRPr="00A74C69">
        <w:rPr>
          <w:rFonts w:ascii="Times New Roman" w:hAnsi="Times New Roman" w:cs="Times New Roman"/>
          <w:bCs/>
          <w:lang w:val="en-GB"/>
        </w:rPr>
        <w:t>reliance</w:t>
      </w:r>
      <w:r w:rsidRPr="00A74C69">
        <w:rPr>
          <w:rFonts w:ascii="Times New Roman" w:hAnsi="Times New Roman" w:cs="Times New Roman"/>
          <w:bCs/>
          <w:lang w:val="en-GB"/>
        </w:rPr>
        <w:t xml:space="preserve"> on </w:t>
      </w:r>
      <w:r w:rsidR="005E38E5" w:rsidRPr="00A74C69">
        <w:rPr>
          <w:rFonts w:ascii="Times New Roman" w:hAnsi="Times New Roman" w:cs="Times New Roman"/>
          <w:bCs/>
          <w:lang w:val="en-GB"/>
        </w:rPr>
        <w:t>FHS</w:t>
      </w:r>
      <w:r w:rsidRPr="00A74C69">
        <w:rPr>
          <w:rFonts w:ascii="Times New Roman" w:hAnsi="Times New Roman" w:cs="Times New Roman"/>
          <w:bCs/>
          <w:lang w:val="en-GB"/>
        </w:rPr>
        <w:t xml:space="preserve"> </w:t>
      </w:r>
      <w:r w:rsidR="005E38E5" w:rsidRPr="00A74C69">
        <w:rPr>
          <w:rFonts w:ascii="Times New Roman" w:hAnsi="Times New Roman" w:cs="Times New Roman"/>
          <w:bCs/>
          <w:lang w:val="en-GB"/>
        </w:rPr>
        <w:t>would</w:t>
      </w:r>
      <w:r w:rsidRPr="00A74C69">
        <w:rPr>
          <w:rFonts w:ascii="Times New Roman" w:hAnsi="Times New Roman" w:cs="Times New Roman"/>
          <w:bCs/>
          <w:lang w:val="en-GB"/>
        </w:rPr>
        <w:t xml:space="preserve"> also be </w:t>
      </w:r>
      <w:r w:rsidR="005E38E5" w:rsidRPr="00A74C69">
        <w:rPr>
          <w:rFonts w:ascii="Times New Roman" w:hAnsi="Times New Roman" w:cs="Times New Roman"/>
          <w:bCs/>
          <w:lang w:val="en-GB"/>
        </w:rPr>
        <w:t>consistent</w:t>
      </w:r>
      <w:r w:rsidRPr="00A74C69">
        <w:rPr>
          <w:rFonts w:ascii="Times New Roman" w:hAnsi="Times New Roman" w:cs="Times New Roman"/>
          <w:bCs/>
          <w:lang w:val="en-GB"/>
        </w:rPr>
        <w:t xml:space="preserve"> with </w:t>
      </w:r>
      <w:r w:rsidR="005E38E5" w:rsidRPr="00A74C69">
        <w:rPr>
          <w:rFonts w:ascii="Times New Roman" w:hAnsi="Times New Roman" w:cs="Times New Roman"/>
          <w:bCs/>
          <w:lang w:val="en-GB"/>
        </w:rPr>
        <w:t>national</w:t>
      </w:r>
      <w:r w:rsidRPr="00A74C69">
        <w:rPr>
          <w:rFonts w:ascii="Times New Roman" w:hAnsi="Times New Roman" w:cs="Times New Roman"/>
          <w:bCs/>
          <w:lang w:val="en-GB"/>
        </w:rPr>
        <w:t xml:space="preserve"> </w:t>
      </w:r>
      <w:r w:rsidR="005E38E5" w:rsidRPr="00A74C69">
        <w:rPr>
          <w:rFonts w:ascii="Times New Roman" w:hAnsi="Times New Roman" w:cs="Times New Roman"/>
          <w:bCs/>
          <w:lang w:val="en-GB"/>
        </w:rPr>
        <w:t>policy</w:t>
      </w:r>
      <w:r w:rsidRPr="00A74C69">
        <w:rPr>
          <w:rFonts w:ascii="Times New Roman" w:hAnsi="Times New Roman" w:cs="Times New Roman"/>
          <w:bCs/>
          <w:lang w:val="en-GB"/>
        </w:rPr>
        <w:t xml:space="preserve"> </w:t>
      </w:r>
      <w:r w:rsidR="005E38E5" w:rsidRPr="00A74C69">
        <w:rPr>
          <w:rFonts w:ascii="Times New Roman" w:hAnsi="Times New Roman" w:cs="Times New Roman"/>
          <w:bCs/>
          <w:lang w:val="en-GB"/>
        </w:rPr>
        <w:t xml:space="preserve">as set out in the </w:t>
      </w:r>
      <w:proofErr w:type="spellStart"/>
      <w:r w:rsidR="005E38E5" w:rsidRPr="00A74C69">
        <w:rPr>
          <w:rFonts w:ascii="Times New Roman" w:hAnsi="Times New Roman" w:cs="Times New Roman"/>
          <w:bCs/>
          <w:lang w:val="en-GB"/>
        </w:rPr>
        <w:t>the</w:t>
      </w:r>
      <w:proofErr w:type="spellEnd"/>
      <w:r w:rsidR="005E38E5" w:rsidRPr="00A74C69">
        <w:rPr>
          <w:rFonts w:ascii="Times New Roman" w:hAnsi="Times New Roman" w:cs="Times New Roman"/>
          <w:bCs/>
          <w:lang w:val="en-GB"/>
        </w:rPr>
        <w:t xml:space="preserve"> Written Ministerial Statement of December 2023 (WMS, reference: UIN HLWS120), which states that the Government does not expect plan-makers to set local energy efficiency standards for buildings that go beyond current or planned building regulations.</w:t>
      </w:r>
      <w:r w:rsidR="00A74C69" w:rsidRPr="00A74C69">
        <w:rPr>
          <w:rFonts w:ascii="Times New Roman" w:hAnsi="Times New Roman" w:cs="Times New Roman"/>
          <w:bCs/>
          <w:lang w:val="en-GB"/>
        </w:rPr>
        <w:t xml:space="preserve"> This is in line with the Written Ministerial Statement of December 2023 (WMS, reference: UIN HLWS120), which states that the Government does not expect plan-makers to set local energy efficiency standards for buildings that go beyond current or planned building regulations.</w:t>
      </w:r>
      <w:r w:rsidR="003B48B7">
        <w:rPr>
          <w:rFonts w:ascii="Times New Roman" w:hAnsi="Times New Roman" w:cs="Times New Roman"/>
          <w:bCs/>
          <w:lang w:val="en-GB"/>
        </w:rPr>
        <w:t xml:space="preserve"> Then reason for this is also set out in the WMS </w:t>
      </w:r>
      <w:r w:rsidR="00DC5F98">
        <w:rPr>
          <w:rFonts w:ascii="Times New Roman" w:hAnsi="Times New Roman" w:cs="Times New Roman"/>
          <w:bCs/>
          <w:lang w:val="en-GB"/>
        </w:rPr>
        <w:t>which states</w:t>
      </w:r>
      <w:r w:rsidR="003B48B7" w:rsidRPr="003B48B7">
        <w:rPr>
          <w:rFonts w:ascii="Times New Roman" w:hAnsi="Times New Roman" w:cs="Times New Roman"/>
          <w:bCs/>
          <w:lang w:val="en-GB"/>
        </w:rPr>
        <w:t xml:space="preserve"> that “</w:t>
      </w:r>
      <w:r w:rsidR="003B48B7" w:rsidRPr="003B48B7">
        <w:rPr>
          <w:rFonts w:ascii="Times New Roman" w:hAnsi="Times New Roman" w:cs="Times New Roman"/>
          <w:bCs/>
          <w:i/>
          <w:iCs/>
          <w:lang w:val="en-GB"/>
        </w:rPr>
        <w:t xml:space="preserve">Compared to varied local standards nationally applied standards provide </w:t>
      </w:r>
      <w:r w:rsidR="003B48B7" w:rsidRPr="003B48B7">
        <w:rPr>
          <w:rFonts w:ascii="Times New Roman" w:hAnsi="Times New Roman" w:cs="Times New Roman"/>
          <w:bCs/>
          <w:i/>
          <w:iCs/>
          <w:lang w:val="en-GB"/>
        </w:rPr>
        <w:lastRenderedPageBreak/>
        <w:t>much-needed clarity and consistency for businesses, large and small, to invest and prepare to build net-zero ready homes</w:t>
      </w:r>
      <w:r w:rsidR="003B48B7" w:rsidRPr="003B48B7">
        <w:rPr>
          <w:rFonts w:ascii="Times New Roman" w:hAnsi="Times New Roman" w:cs="Times New Roman"/>
          <w:bCs/>
          <w:lang w:val="en-GB"/>
        </w:rPr>
        <w:t>” and that local standards can “</w:t>
      </w:r>
      <w:r w:rsidR="003B48B7" w:rsidRPr="00DC5F98">
        <w:rPr>
          <w:rFonts w:ascii="Times New Roman" w:hAnsi="Times New Roman" w:cs="Times New Roman"/>
          <w:bCs/>
          <w:i/>
          <w:iCs/>
          <w:lang w:val="en-GB"/>
        </w:rPr>
        <w:t>add further costs to building new homes by adding complexity and undermining economies of scale</w:t>
      </w:r>
      <w:r w:rsidR="003B48B7" w:rsidRPr="003B48B7">
        <w:rPr>
          <w:rFonts w:ascii="Times New Roman" w:hAnsi="Times New Roman" w:cs="Times New Roman"/>
          <w:bCs/>
          <w:lang w:val="en-GB"/>
        </w:rPr>
        <w:t xml:space="preserve">”. </w:t>
      </w:r>
      <w:r w:rsidR="00C927AA">
        <w:rPr>
          <w:rFonts w:ascii="Times New Roman" w:hAnsi="Times New Roman" w:cs="Times New Roman"/>
          <w:bCs/>
          <w:lang w:val="en-GB"/>
        </w:rPr>
        <w:t xml:space="preserve">As such HBF </w:t>
      </w:r>
      <w:r w:rsidR="00A147A6">
        <w:rPr>
          <w:rFonts w:ascii="Times New Roman" w:hAnsi="Times New Roman" w:cs="Times New Roman"/>
          <w:bCs/>
          <w:lang w:val="en-GB"/>
        </w:rPr>
        <w:t>recommend</w:t>
      </w:r>
      <w:r w:rsidR="00C927AA">
        <w:rPr>
          <w:rFonts w:ascii="Times New Roman" w:hAnsi="Times New Roman" w:cs="Times New Roman"/>
          <w:bCs/>
          <w:lang w:val="en-GB"/>
        </w:rPr>
        <w:t xml:space="preserve"> that the most appropriate </w:t>
      </w:r>
      <w:r w:rsidR="00A147A6">
        <w:rPr>
          <w:rFonts w:ascii="Times New Roman" w:hAnsi="Times New Roman" w:cs="Times New Roman"/>
          <w:bCs/>
          <w:lang w:val="en-GB"/>
        </w:rPr>
        <w:t>approach</w:t>
      </w:r>
      <w:r w:rsidR="00C927AA">
        <w:rPr>
          <w:rFonts w:ascii="Times New Roman" w:hAnsi="Times New Roman" w:cs="Times New Roman"/>
          <w:bCs/>
          <w:lang w:val="en-GB"/>
        </w:rPr>
        <w:t xml:space="preserve"> would be </w:t>
      </w:r>
      <w:r w:rsidR="00A147A6">
        <w:rPr>
          <w:rFonts w:ascii="Times New Roman" w:hAnsi="Times New Roman" w:cs="Times New Roman"/>
          <w:bCs/>
          <w:lang w:val="en-GB"/>
        </w:rPr>
        <w:t xml:space="preserve">to </w:t>
      </w:r>
      <w:r w:rsidR="00A147A6" w:rsidRPr="00A147A6">
        <w:rPr>
          <w:rFonts w:ascii="Times New Roman" w:hAnsi="Times New Roman" w:cs="Times New Roman"/>
          <w:bCs/>
          <w:u w:val="single"/>
          <w:lang w:val="en-GB"/>
        </w:rPr>
        <w:t>not</w:t>
      </w:r>
      <w:r w:rsidR="00A147A6">
        <w:rPr>
          <w:rFonts w:ascii="Times New Roman" w:hAnsi="Times New Roman" w:cs="Times New Roman"/>
          <w:bCs/>
          <w:lang w:val="en-GB"/>
        </w:rPr>
        <w:t xml:space="preserve"> set additional energy efficiency standard in the local plan.</w:t>
      </w:r>
    </w:p>
    <w:p w14:paraId="722B0B7C" w14:textId="0B630561" w:rsidR="005E38E5" w:rsidRPr="008635F3" w:rsidRDefault="00783102" w:rsidP="00783102">
      <w:pPr>
        <w:widowControl/>
        <w:suppressAutoHyphens w:val="0"/>
        <w:autoSpaceDE/>
        <w:spacing w:after="240" w:line="360" w:lineRule="auto"/>
        <w:jc w:val="both"/>
        <w:rPr>
          <w:rFonts w:ascii="Times New Roman" w:hAnsi="Times New Roman" w:cs="Times New Roman"/>
          <w:bCs/>
          <w:i/>
          <w:iCs/>
          <w:lang w:val="en-GB"/>
        </w:rPr>
      </w:pPr>
      <w:r w:rsidRPr="008635F3">
        <w:rPr>
          <w:rFonts w:ascii="Times New Roman" w:hAnsi="Times New Roman" w:cs="Times New Roman"/>
          <w:bCs/>
          <w:i/>
          <w:iCs/>
          <w:lang w:val="en-GB"/>
        </w:rPr>
        <w:t xml:space="preserve">Water </w:t>
      </w:r>
      <w:r w:rsidR="004131DC" w:rsidRPr="008635F3">
        <w:rPr>
          <w:rFonts w:ascii="Times New Roman" w:hAnsi="Times New Roman" w:cs="Times New Roman"/>
          <w:bCs/>
          <w:i/>
          <w:iCs/>
          <w:lang w:val="en-GB"/>
        </w:rPr>
        <w:t>efficiency</w:t>
      </w:r>
      <w:r w:rsidRPr="008635F3">
        <w:rPr>
          <w:rFonts w:ascii="Times New Roman" w:hAnsi="Times New Roman" w:cs="Times New Roman"/>
          <w:bCs/>
          <w:i/>
          <w:iCs/>
          <w:lang w:val="en-GB"/>
        </w:rPr>
        <w:t xml:space="preserve"> standards</w:t>
      </w:r>
    </w:p>
    <w:p w14:paraId="28216370" w14:textId="5DF22350" w:rsidR="008635F3" w:rsidRDefault="00783102" w:rsidP="00371FA6">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 xml:space="preserve">The </w:t>
      </w:r>
      <w:r w:rsidR="00F11CF8">
        <w:rPr>
          <w:rFonts w:ascii="Times New Roman" w:hAnsi="Times New Roman" w:cs="Times New Roman"/>
          <w:bCs/>
          <w:lang w:val="en-GB"/>
        </w:rPr>
        <w:t>Council</w:t>
      </w:r>
      <w:r>
        <w:rPr>
          <w:rFonts w:ascii="Times New Roman" w:hAnsi="Times New Roman" w:cs="Times New Roman"/>
          <w:bCs/>
          <w:lang w:val="en-GB"/>
        </w:rPr>
        <w:t xml:space="preserve"> ask whether it should </w:t>
      </w:r>
      <w:r w:rsidR="00F11CF8">
        <w:rPr>
          <w:rFonts w:ascii="Times New Roman" w:hAnsi="Times New Roman" w:cs="Times New Roman"/>
          <w:bCs/>
          <w:lang w:val="en-GB"/>
        </w:rPr>
        <w:t>encourage</w:t>
      </w:r>
      <w:r>
        <w:rPr>
          <w:rFonts w:ascii="Times New Roman" w:hAnsi="Times New Roman" w:cs="Times New Roman"/>
          <w:bCs/>
          <w:lang w:val="en-GB"/>
        </w:rPr>
        <w:t xml:space="preserve"> lower water </w:t>
      </w:r>
      <w:r w:rsidR="00F11CF8">
        <w:rPr>
          <w:rFonts w:ascii="Times New Roman" w:hAnsi="Times New Roman" w:cs="Times New Roman"/>
          <w:bCs/>
          <w:lang w:val="en-GB"/>
        </w:rPr>
        <w:t>efficiency</w:t>
      </w:r>
      <w:r>
        <w:rPr>
          <w:rFonts w:ascii="Times New Roman" w:hAnsi="Times New Roman" w:cs="Times New Roman"/>
          <w:bCs/>
          <w:lang w:val="en-GB"/>
        </w:rPr>
        <w:t xml:space="preserve"> standards. </w:t>
      </w:r>
      <w:r w:rsidR="004131DC">
        <w:rPr>
          <w:rFonts w:ascii="Times New Roman" w:hAnsi="Times New Roman" w:cs="Times New Roman"/>
          <w:bCs/>
          <w:lang w:val="en-GB"/>
        </w:rPr>
        <w:t>Again,</w:t>
      </w:r>
      <w:r w:rsidR="00551E57">
        <w:rPr>
          <w:rFonts w:ascii="Times New Roman" w:hAnsi="Times New Roman" w:cs="Times New Roman"/>
          <w:bCs/>
          <w:lang w:val="en-GB"/>
        </w:rPr>
        <w:t xml:space="preserve"> HBF would </w:t>
      </w:r>
      <w:r w:rsidR="00F11CF8">
        <w:rPr>
          <w:rFonts w:ascii="Times New Roman" w:hAnsi="Times New Roman" w:cs="Times New Roman"/>
          <w:bCs/>
          <w:lang w:val="en-GB"/>
        </w:rPr>
        <w:t>suggest</w:t>
      </w:r>
      <w:r w:rsidR="00551E57">
        <w:rPr>
          <w:rFonts w:ascii="Times New Roman" w:hAnsi="Times New Roman" w:cs="Times New Roman"/>
          <w:bCs/>
          <w:lang w:val="en-GB"/>
        </w:rPr>
        <w:t xml:space="preserve"> that this is not necessary</w:t>
      </w:r>
      <w:r w:rsidR="00F11CF8">
        <w:rPr>
          <w:rFonts w:ascii="Times New Roman" w:hAnsi="Times New Roman" w:cs="Times New Roman"/>
          <w:bCs/>
          <w:lang w:val="en-GB"/>
        </w:rPr>
        <w:t xml:space="preserve"> to set </w:t>
      </w:r>
      <w:r w:rsidR="00933943">
        <w:rPr>
          <w:rFonts w:ascii="Times New Roman" w:hAnsi="Times New Roman" w:cs="Times New Roman"/>
          <w:bCs/>
          <w:lang w:val="en-GB"/>
        </w:rPr>
        <w:t>targets</w:t>
      </w:r>
      <w:r w:rsidR="00F11CF8">
        <w:rPr>
          <w:rFonts w:ascii="Times New Roman" w:hAnsi="Times New Roman" w:cs="Times New Roman"/>
          <w:bCs/>
          <w:lang w:val="en-GB"/>
        </w:rPr>
        <w:t xml:space="preserve"> </w:t>
      </w:r>
      <w:r w:rsidR="00933943">
        <w:rPr>
          <w:rFonts w:ascii="Times New Roman" w:hAnsi="Times New Roman" w:cs="Times New Roman"/>
          <w:bCs/>
          <w:lang w:val="en-GB"/>
        </w:rPr>
        <w:t>outside</w:t>
      </w:r>
      <w:r w:rsidR="00F11CF8">
        <w:rPr>
          <w:rFonts w:ascii="Times New Roman" w:hAnsi="Times New Roman" w:cs="Times New Roman"/>
          <w:bCs/>
          <w:lang w:val="en-GB"/>
        </w:rPr>
        <w:t xml:space="preserve"> </w:t>
      </w:r>
      <w:r w:rsidR="00933943">
        <w:rPr>
          <w:rFonts w:ascii="Times New Roman" w:hAnsi="Times New Roman" w:cs="Times New Roman"/>
          <w:bCs/>
          <w:lang w:val="en-GB"/>
        </w:rPr>
        <w:t>of</w:t>
      </w:r>
      <w:r w:rsidR="00F11CF8">
        <w:rPr>
          <w:rFonts w:ascii="Times New Roman" w:hAnsi="Times New Roman" w:cs="Times New Roman"/>
          <w:bCs/>
          <w:lang w:val="en-GB"/>
        </w:rPr>
        <w:t xml:space="preserve"> </w:t>
      </w:r>
      <w:r w:rsidR="00933943">
        <w:rPr>
          <w:rFonts w:ascii="Times New Roman" w:hAnsi="Times New Roman" w:cs="Times New Roman"/>
          <w:bCs/>
          <w:lang w:val="en-GB"/>
        </w:rPr>
        <w:t>those</w:t>
      </w:r>
      <w:r w:rsidR="00F11CF8">
        <w:rPr>
          <w:rFonts w:ascii="Times New Roman" w:hAnsi="Times New Roman" w:cs="Times New Roman"/>
          <w:bCs/>
          <w:lang w:val="en-GB"/>
        </w:rPr>
        <w:t xml:space="preserve"> allowed by </w:t>
      </w:r>
      <w:r w:rsidR="00933943">
        <w:rPr>
          <w:rFonts w:ascii="Times New Roman" w:hAnsi="Times New Roman" w:cs="Times New Roman"/>
          <w:bCs/>
          <w:lang w:val="en-GB"/>
        </w:rPr>
        <w:t>building</w:t>
      </w:r>
      <w:r w:rsidR="00F11CF8">
        <w:rPr>
          <w:rFonts w:ascii="Times New Roman" w:hAnsi="Times New Roman" w:cs="Times New Roman"/>
          <w:bCs/>
          <w:lang w:val="en-GB"/>
        </w:rPr>
        <w:t xml:space="preserve"> regulations and PPG (125 lpp</w:t>
      </w:r>
      <w:r w:rsidR="00933943">
        <w:rPr>
          <w:rFonts w:ascii="Times New Roman" w:hAnsi="Times New Roman" w:cs="Times New Roman"/>
          <w:bCs/>
          <w:lang w:val="en-GB"/>
        </w:rPr>
        <w:t>d standard and 110 lppd where justified). It should also be noted</w:t>
      </w:r>
      <w:r w:rsidR="00F11CF8">
        <w:rPr>
          <w:rFonts w:ascii="Times New Roman" w:hAnsi="Times New Roman" w:cs="Times New Roman"/>
          <w:bCs/>
          <w:lang w:val="en-GB"/>
        </w:rPr>
        <w:t xml:space="preserve"> </w:t>
      </w:r>
      <w:r w:rsidR="00551E57">
        <w:rPr>
          <w:rFonts w:ascii="Times New Roman" w:hAnsi="Times New Roman" w:cs="Times New Roman"/>
          <w:bCs/>
          <w:lang w:val="en-GB"/>
        </w:rPr>
        <w:t xml:space="preserve">that the Government are reviewing these </w:t>
      </w:r>
      <w:r w:rsidR="00933943">
        <w:rPr>
          <w:rFonts w:ascii="Times New Roman" w:hAnsi="Times New Roman" w:cs="Times New Roman"/>
          <w:bCs/>
          <w:lang w:val="en-GB"/>
        </w:rPr>
        <w:t xml:space="preserve">standards with a view to lowering these and as such </w:t>
      </w:r>
      <w:r w:rsidR="00D4130F">
        <w:rPr>
          <w:rFonts w:ascii="Times New Roman" w:hAnsi="Times New Roman" w:cs="Times New Roman"/>
          <w:bCs/>
          <w:lang w:val="en-GB"/>
        </w:rPr>
        <w:t>it is unnecessary to encourage development to go beyond these standards</w:t>
      </w:r>
      <w:r w:rsidR="00045ED1">
        <w:rPr>
          <w:rFonts w:ascii="Times New Roman" w:hAnsi="Times New Roman" w:cs="Times New Roman"/>
          <w:bCs/>
          <w:lang w:val="en-GB"/>
        </w:rPr>
        <w:t xml:space="preserve">. It </w:t>
      </w:r>
      <w:r w:rsidR="00D4130F">
        <w:rPr>
          <w:rFonts w:ascii="Times New Roman" w:hAnsi="Times New Roman" w:cs="Times New Roman"/>
          <w:bCs/>
          <w:lang w:val="en-GB"/>
        </w:rPr>
        <w:t xml:space="preserve">is HBFs </w:t>
      </w:r>
      <w:r w:rsidR="00AF6AEE">
        <w:rPr>
          <w:rFonts w:ascii="Times New Roman" w:hAnsi="Times New Roman" w:cs="Times New Roman"/>
          <w:bCs/>
          <w:lang w:val="en-GB"/>
        </w:rPr>
        <w:t>position</w:t>
      </w:r>
      <w:r w:rsidR="00D4130F">
        <w:rPr>
          <w:rFonts w:ascii="Times New Roman" w:hAnsi="Times New Roman" w:cs="Times New Roman"/>
          <w:bCs/>
          <w:lang w:val="en-GB"/>
        </w:rPr>
        <w:t xml:space="preserve"> that </w:t>
      </w:r>
      <w:r w:rsidR="00AF6AEE">
        <w:rPr>
          <w:rFonts w:ascii="Times New Roman" w:hAnsi="Times New Roman" w:cs="Times New Roman"/>
          <w:bCs/>
          <w:lang w:val="en-GB"/>
        </w:rPr>
        <w:t>technical</w:t>
      </w:r>
      <w:r w:rsidR="00D4130F">
        <w:rPr>
          <w:rFonts w:ascii="Times New Roman" w:hAnsi="Times New Roman" w:cs="Times New Roman"/>
          <w:bCs/>
          <w:lang w:val="en-GB"/>
        </w:rPr>
        <w:t xml:space="preserve"> standards </w:t>
      </w:r>
      <w:r w:rsidR="00AF6AEE">
        <w:rPr>
          <w:rFonts w:ascii="Times New Roman" w:hAnsi="Times New Roman" w:cs="Times New Roman"/>
          <w:bCs/>
          <w:lang w:val="en-GB"/>
        </w:rPr>
        <w:t>should</w:t>
      </w:r>
      <w:r w:rsidR="00D4130F">
        <w:rPr>
          <w:rFonts w:ascii="Times New Roman" w:hAnsi="Times New Roman" w:cs="Times New Roman"/>
          <w:bCs/>
          <w:lang w:val="en-GB"/>
        </w:rPr>
        <w:t xml:space="preserve"> be </w:t>
      </w:r>
      <w:r w:rsidR="00AF6AEE">
        <w:rPr>
          <w:rFonts w:ascii="Times New Roman" w:hAnsi="Times New Roman" w:cs="Times New Roman"/>
          <w:bCs/>
          <w:lang w:val="en-GB"/>
        </w:rPr>
        <w:t>established</w:t>
      </w:r>
      <w:r w:rsidR="00D4130F">
        <w:rPr>
          <w:rFonts w:ascii="Times New Roman" w:hAnsi="Times New Roman" w:cs="Times New Roman"/>
          <w:bCs/>
          <w:lang w:val="en-GB"/>
        </w:rPr>
        <w:t xml:space="preserve"> in </w:t>
      </w:r>
      <w:r w:rsidR="00AF6AEE">
        <w:rPr>
          <w:rFonts w:ascii="Times New Roman" w:hAnsi="Times New Roman" w:cs="Times New Roman"/>
          <w:bCs/>
          <w:lang w:val="en-GB"/>
        </w:rPr>
        <w:t>building</w:t>
      </w:r>
      <w:r w:rsidR="00D4130F">
        <w:rPr>
          <w:rFonts w:ascii="Times New Roman" w:hAnsi="Times New Roman" w:cs="Times New Roman"/>
          <w:bCs/>
          <w:lang w:val="en-GB"/>
        </w:rPr>
        <w:t xml:space="preserve"> regulations and it </w:t>
      </w:r>
      <w:r w:rsidR="00AF6AEE">
        <w:rPr>
          <w:rFonts w:ascii="Times New Roman" w:hAnsi="Times New Roman" w:cs="Times New Roman"/>
          <w:bCs/>
          <w:lang w:val="en-GB"/>
        </w:rPr>
        <w:t>should</w:t>
      </w:r>
      <w:r w:rsidR="00D4130F">
        <w:rPr>
          <w:rFonts w:ascii="Times New Roman" w:hAnsi="Times New Roman" w:cs="Times New Roman"/>
          <w:bCs/>
          <w:lang w:val="en-GB"/>
        </w:rPr>
        <w:t xml:space="preserve"> not be for planning </w:t>
      </w:r>
      <w:r w:rsidR="00AF6AEE">
        <w:rPr>
          <w:rFonts w:ascii="Times New Roman" w:hAnsi="Times New Roman" w:cs="Times New Roman"/>
          <w:bCs/>
          <w:lang w:val="en-GB"/>
        </w:rPr>
        <w:t>policy to try and deviate from these</w:t>
      </w:r>
      <w:r w:rsidR="004131DC">
        <w:rPr>
          <w:rFonts w:ascii="Times New Roman" w:hAnsi="Times New Roman" w:cs="Times New Roman"/>
          <w:bCs/>
          <w:lang w:val="en-GB"/>
        </w:rPr>
        <w:t xml:space="preserve"> on a whim</w:t>
      </w:r>
      <w:r w:rsidR="00AF6AEE">
        <w:rPr>
          <w:rFonts w:ascii="Times New Roman" w:hAnsi="Times New Roman" w:cs="Times New Roman"/>
          <w:bCs/>
          <w:lang w:val="en-GB"/>
        </w:rPr>
        <w:t xml:space="preserve">. </w:t>
      </w:r>
    </w:p>
    <w:p w14:paraId="1601A88D" w14:textId="77777777" w:rsidR="00A84F68" w:rsidRPr="002C658C" w:rsidRDefault="00A84F68" w:rsidP="002C658C">
      <w:pPr>
        <w:spacing w:after="240" w:line="360" w:lineRule="auto"/>
        <w:rPr>
          <w:rFonts w:ascii="Arial" w:hAnsi="Arial" w:cs="Arial"/>
          <w:b/>
        </w:rPr>
      </w:pPr>
      <w:r w:rsidRPr="002C658C">
        <w:rPr>
          <w:rFonts w:ascii="Arial" w:hAnsi="Arial" w:cs="Arial"/>
          <w:b/>
        </w:rPr>
        <w:t>Monitoring</w:t>
      </w:r>
    </w:p>
    <w:p w14:paraId="486C0E64" w14:textId="08C48B0D" w:rsidR="00371FA6" w:rsidRPr="00371FA6" w:rsidRDefault="00A84F68" w:rsidP="002C658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I</w:t>
      </w:r>
      <w:r w:rsidR="00E55327">
        <w:rPr>
          <w:rFonts w:ascii="Times New Roman" w:hAnsi="Times New Roman" w:cs="Times New Roman"/>
          <w:bCs/>
          <w:lang w:val="en-GB"/>
        </w:rPr>
        <w:t>n</w:t>
      </w:r>
      <w:r>
        <w:rPr>
          <w:rFonts w:ascii="Times New Roman" w:hAnsi="Times New Roman" w:cs="Times New Roman"/>
          <w:bCs/>
          <w:lang w:val="en-GB"/>
        </w:rPr>
        <w:t xml:space="preserve"> the next iteration of the </w:t>
      </w:r>
      <w:r w:rsidR="002C658C">
        <w:rPr>
          <w:rFonts w:ascii="Times New Roman" w:hAnsi="Times New Roman" w:cs="Times New Roman"/>
          <w:bCs/>
          <w:lang w:val="en-GB"/>
        </w:rPr>
        <w:t>local</w:t>
      </w:r>
      <w:r>
        <w:rPr>
          <w:rFonts w:ascii="Times New Roman" w:hAnsi="Times New Roman" w:cs="Times New Roman"/>
          <w:bCs/>
          <w:lang w:val="en-GB"/>
        </w:rPr>
        <w:t xml:space="preserve"> plan t</w:t>
      </w:r>
      <w:r w:rsidRPr="00A84F68">
        <w:rPr>
          <w:rFonts w:ascii="Times New Roman" w:hAnsi="Times New Roman" w:cs="Times New Roman"/>
          <w:bCs/>
          <w:lang w:val="en-GB"/>
        </w:rPr>
        <w:t>he HBF recommends that the Council include an appropriate monitoring framework which sets out the monitoring indicators along with the relevant policies, the data source and where they will be reported. This should also include the targets that the plan is hoping to achieve and actions to be taken if the targets are not met. The HBF recommends that the Council provide details as to how the plan will actually be monitored, and identifies when, why and how actions will be taken to address any issues identified.</w:t>
      </w:r>
    </w:p>
    <w:p w14:paraId="7C03A1E2" w14:textId="77777777" w:rsidR="00F0430A" w:rsidRDefault="00F0430A" w:rsidP="00F0430A">
      <w:pPr>
        <w:spacing w:after="240" w:line="360" w:lineRule="auto"/>
        <w:rPr>
          <w:rFonts w:ascii="Arial" w:hAnsi="Arial" w:cs="Arial"/>
          <w:b/>
        </w:rPr>
      </w:pPr>
      <w:r>
        <w:rPr>
          <w:rFonts w:ascii="Arial" w:hAnsi="Arial" w:cs="Arial"/>
          <w:b/>
        </w:rPr>
        <w:t>Future Engagement</w:t>
      </w:r>
    </w:p>
    <w:p w14:paraId="32666532" w14:textId="77777777"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I trust that the Council will find these comments useful as it continues to progress its Local Plan. I would be happy to discuss these issues in greater detail or assist in facilitating discussions with the wider housebuilding industry.</w:t>
      </w:r>
    </w:p>
    <w:p w14:paraId="7EC4F414" w14:textId="62F73AC2" w:rsidR="00A77F57" w:rsidRPr="00A77F57" w:rsidRDefault="00F0430A" w:rsidP="00C411E9">
      <w:pPr>
        <w:pStyle w:val="ListParagraph"/>
        <w:widowControl/>
        <w:numPr>
          <w:ilvl w:val="0"/>
          <w:numId w:val="2"/>
        </w:numPr>
        <w:tabs>
          <w:tab w:val="left" w:pos="2268"/>
        </w:tabs>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 HBF would like to be kept informed of all forthcoming consultations upon the Local Plan and associated documents. Please use the contact details provided below for future correspondence.</w:t>
      </w:r>
    </w:p>
    <w:p w14:paraId="01632919" w14:textId="34ECE2C8" w:rsidR="0028345D" w:rsidRPr="004612EA" w:rsidRDefault="0028345D" w:rsidP="00C411E9">
      <w:pPr>
        <w:spacing w:line="360" w:lineRule="auto"/>
        <w:jc w:val="both"/>
        <w:rPr>
          <w:rFonts w:ascii="Times New Roman" w:hAnsi="Times New Roman" w:cs="Times New Roman"/>
        </w:rPr>
      </w:pPr>
      <w:r w:rsidRPr="004612EA">
        <w:rPr>
          <w:rFonts w:ascii="Times New Roman" w:hAnsi="Times New Roman" w:cs="Times New Roman"/>
        </w:rPr>
        <w:t>Yours sincerely,</w:t>
      </w:r>
    </w:p>
    <w:p w14:paraId="542C626C" w14:textId="03D677E5" w:rsidR="0028345D" w:rsidRPr="004612EA" w:rsidRDefault="00C411E9" w:rsidP="00C411E9">
      <w:pPr>
        <w:spacing w:line="360" w:lineRule="auto"/>
        <w:jc w:val="both"/>
        <w:rPr>
          <w:rFonts w:ascii="Times New Roman" w:hAnsi="Times New Roman" w:cs="Times New Roman"/>
        </w:rPr>
      </w:pPr>
      <w:r>
        <w:rPr>
          <w:noProof/>
        </w:rPr>
        <w:drawing>
          <wp:inline distT="0" distB="0" distL="0" distR="0" wp14:anchorId="55C24A28" wp14:editId="5B644039">
            <wp:extent cx="1823085" cy="688975"/>
            <wp:effectExtent l="0" t="0" r="5715" b="0"/>
            <wp:docPr id="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signature on a white background&#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3085" cy="688975"/>
                    </a:xfrm>
                    <a:prstGeom prst="rect">
                      <a:avLst/>
                    </a:prstGeom>
                    <a:noFill/>
                  </pic:spPr>
                </pic:pic>
              </a:graphicData>
            </a:graphic>
          </wp:inline>
        </w:drawing>
      </w:r>
    </w:p>
    <w:p w14:paraId="45C8A7DF" w14:textId="60D844CC"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Mark Behrendt</w:t>
      </w:r>
    </w:p>
    <w:p w14:paraId="3DDCE4C3" w14:textId="566E8E4B"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 xml:space="preserve">Regional </w:t>
      </w:r>
      <w:r w:rsidR="0028345D" w:rsidRPr="004612EA">
        <w:rPr>
          <w:rFonts w:ascii="Times New Roman" w:hAnsi="Times New Roman" w:cs="Times New Roman"/>
          <w:b/>
        </w:rPr>
        <w:t xml:space="preserve">Planning Manager – </w:t>
      </w:r>
      <w:r w:rsidRPr="004612EA">
        <w:rPr>
          <w:rFonts w:ascii="Times New Roman" w:hAnsi="Times New Roman" w:cs="Times New Roman"/>
          <w:b/>
        </w:rPr>
        <w:t>SE and E</w:t>
      </w:r>
    </w:p>
    <w:p w14:paraId="5E40E301" w14:textId="42DC2727"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Email: </w:t>
      </w:r>
      <w:r w:rsidR="000D7947" w:rsidRPr="004612EA">
        <w:rPr>
          <w:rFonts w:ascii="Times New Roman" w:hAnsi="Times New Roman" w:cs="Times New Roman"/>
        </w:rPr>
        <w:t>mark.behrendt@hbf.co.uk</w:t>
      </w:r>
    </w:p>
    <w:p w14:paraId="7A519937" w14:textId="3E7913DB"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Phone: </w:t>
      </w:r>
      <w:r w:rsidR="000D7947" w:rsidRPr="004612EA">
        <w:rPr>
          <w:rFonts w:ascii="Times New Roman" w:hAnsi="Times New Roman" w:cs="Times New Roman"/>
        </w:rPr>
        <w:t>07867415547</w:t>
      </w:r>
    </w:p>
    <w:p w14:paraId="0A209BA6" w14:textId="77777777" w:rsidR="00BC62DD" w:rsidRDefault="00BC62DD" w:rsidP="0043348C">
      <w:pPr>
        <w:tabs>
          <w:tab w:val="left" w:pos="426"/>
          <w:tab w:val="left" w:pos="2380"/>
        </w:tabs>
        <w:rPr>
          <w:rFonts w:ascii="Times New Roman" w:hAnsi="Times New Roman" w:cs="Times New Roman"/>
          <w:bCs/>
        </w:rPr>
        <w:sectPr w:rsidR="00BC62DD" w:rsidSect="009A7C8D">
          <w:footerReference w:type="default" r:id="rId12"/>
          <w:headerReference w:type="first" r:id="rId13"/>
          <w:footerReference w:type="first" r:id="rId14"/>
          <w:pgSz w:w="13090" w:h="18020"/>
          <w:pgMar w:top="1440" w:right="1440" w:bottom="1440" w:left="1440" w:header="0" w:footer="393" w:gutter="0"/>
          <w:pgNumType w:start="1"/>
          <w:cols w:space="720"/>
          <w:titlePg/>
          <w:docGrid w:linePitch="299"/>
        </w:sectPr>
      </w:pPr>
    </w:p>
    <w:p w14:paraId="276FDCDA" w14:textId="77777777" w:rsidR="0028345D" w:rsidRPr="0043348C" w:rsidRDefault="0028345D" w:rsidP="0043348C">
      <w:pPr>
        <w:tabs>
          <w:tab w:val="left" w:pos="426"/>
          <w:tab w:val="left" w:pos="2380"/>
        </w:tabs>
        <w:rPr>
          <w:rFonts w:ascii="Times New Roman" w:hAnsi="Times New Roman" w:cs="Times New Roman"/>
          <w:bCs/>
        </w:rPr>
      </w:pPr>
    </w:p>
    <w:p w14:paraId="271F3E21" w14:textId="77777777" w:rsidR="003205C3" w:rsidRPr="0043348C" w:rsidRDefault="003205C3">
      <w:pPr>
        <w:pStyle w:val="BodyText"/>
        <w:rPr>
          <w:rFonts w:ascii="Times New Roman" w:hAnsi="Times New Roman" w:cs="Times New Roman"/>
          <w:bCs/>
          <w:sz w:val="22"/>
          <w:szCs w:val="22"/>
        </w:rPr>
      </w:pPr>
    </w:p>
    <w:p w14:paraId="271F3E22" w14:textId="77777777" w:rsidR="003205C3" w:rsidRPr="0043348C" w:rsidRDefault="003205C3" w:rsidP="00527E57">
      <w:pPr>
        <w:tabs>
          <w:tab w:val="left" w:pos="426"/>
          <w:tab w:val="left" w:pos="2380"/>
        </w:tabs>
        <w:rPr>
          <w:rFonts w:ascii="Times New Roman" w:hAnsi="Times New Roman" w:cs="Times New Roman"/>
          <w:bCs/>
        </w:rPr>
      </w:pPr>
    </w:p>
    <w:p w14:paraId="271F3E58" w14:textId="1BF01850" w:rsidR="003205C3" w:rsidRPr="0043348C" w:rsidRDefault="003205C3" w:rsidP="00527E57">
      <w:pPr>
        <w:tabs>
          <w:tab w:val="left" w:pos="426"/>
          <w:tab w:val="left" w:pos="2380"/>
        </w:tabs>
        <w:rPr>
          <w:rFonts w:ascii="Times New Roman" w:hAnsi="Times New Roman" w:cs="Times New Roman"/>
          <w:bCs/>
        </w:rPr>
      </w:pPr>
    </w:p>
    <w:p w14:paraId="271F3E5D" w14:textId="77777777" w:rsidR="00B93060" w:rsidRPr="0043348C" w:rsidRDefault="00B93060" w:rsidP="00527E57">
      <w:pPr>
        <w:tabs>
          <w:tab w:val="left" w:pos="426"/>
          <w:tab w:val="left" w:pos="2380"/>
        </w:tabs>
        <w:rPr>
          <w:rFonts w:ascii="Times New Roman" w:hAnsi="Times New Roman" w:cs="Times New Roman"/>
          <w:bCs/>
        </w:rPr>
        <w:sectPr w:rsidR="00B93060" w:rsidRPr="0043348C" w:rsidSect="00BC62DD">
          <w:type w:val="continuous"/>
          <w:pgSz w:w="13090" w:h="18020"/>
          <w:pgMar w:top="1440" w:right="1440" w:bottom="1440" w:left="1440" w:header="0" w:footer="393" w:gutter="0"/>
          <w:pgNumType w:start="1"/>
          <w:cols w:space="720"/>
          <w:titlePg/>
          <w:docGrid w:linePitch="299"/>
        </w:sectPr>
      </w:pPr>
    </w:p>
    <w:p w14:paraId="271F3E5E" w14:textId="77777777" w:rsidR="003205C3" w:rsidRPr="00527E57" w:rsidRDefault="003205C3" w:rsidP="00527E57">
      <w:pPr>
        <w:tabs>
          <w:tab w:val="left" w:pos="426"/>
          <w:tab w:val="left" w:pos="2380"/>
        </w:tabs>
        <w:rPr>
          <w:rFonts w:ascii="Times New Roman" w:hAnsi="Times New Roman" w:cs="Times New Roman"/>
          <w:bCs/>
        </w:rPr>
      </w:pPr>
    </w:p>
    <w:p w14:paraId="2CCC6B5E" w14:textId="77777777" w:rsidR="00527E57" w:rsidRPr="00527E57" w:rsidRDefault="00527E57" w:rsidP="00527E57">
      <w:pPr>
        <w:rPr>
          <w:rFonts w:ascii="Times New Roman" w:hAnsi="Times New Roman" w:cs="Times New Roman"/>
          <w:bCs/>
        </w:rPr>
      </w:pPr>
    </w:p>
    <w:sectPr w:rsidR="00527E57" w:rsidRPr="00527E57" w:rsidSect="00EE0F3D">
      <w:type w:val="continuous"/>
      <w:pgSz w:w="13090" w:h="18020"/>
      <w:pgMar w:top="1440" w:right="1440" w:bottom="1440" w:left="1440" w:header="0" w:footer="39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2E11" w14:textId="77777777" w:rsidR="00C77C91" w:rsidRDefault="00C77C91">
      <w:r>
        <w:separator/>
      </w:r>
    </w:p>
  </w:endnote>
  <w:endnote w:type="continuationSeparator" w:id="0">
    <w:p w14:paraId="0460FCBF" w14:textId="77777777" w:rsidR="00C77C91" w:rsidRDefault="00C7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G Omega">
    <w:altName w:val="Century Gothic"/>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3E2B" w14:textId="333ED030" w:rsidR="00B93060" w:rsidRDefault="00B93060">
    <w:pPr>
      <w:spacing w:before="18"/>
    </w:pPr>
    <w:bookmarkStart w:id="0" w:name="_Hlk193356826"/>
  </w:p>
  <w:tbl>
    <w:tblPr>
      <w:tblW w:w="11326" w:type="dxa"/>
      <w:tblCellMar>
        <w:left w:w="10" w:type="dxa"/>
        <w:right w:w="10" w:type="dxa"/>
      </w:tblCellMar>
      <w:tblLook w:val="0000" w:firstRow="0" w:lastRow="0" w:firstColumn="0" w:lastColumn="0" w:noHBand="0" w:noVBand="0"/>
    </w:tblPr>
    <w:tblGrid>
      <w:gridCol w:w="5663"/>
      <w:gridCol w:w="5663"/>
    </w:tblGrid>
    <w:tr w:rsidR="005C00F7" w14:paraId="271F3E33" w14:textId="77777777">
      <w:trPr>
        <w:trHeight w:val="1016"/>
      </w:trPr>
      <w:tc>
        <w:tcPr>
          <w:tcW w:w="5663" w:type="dxa"/>
          <w:tcMar>
            <w:top w:w="0" w:type="dxa"/>
            <w:left w:w="108" w:type="dxa"/>
            <w:bottom w:w="0" w:type="dxa"/>
            <w:right w:w="108" w:type="dxa"/>
          </w:tcMar>
        </w:tcPr>
        <w:p w14:paraId="454A33AB" w14:textId="3EFE928A" w:rsidR="00B93060" w:rsidRDefault="00B93060">
          <w:pPr>
            <w:spacing w:before="18"/>
          </w:pPr>
        </w:p>
        <w:p w14:paraId="271F3E2E" w14:textId="51E62B4C" w:rsidR="00E539DA" w:rsidRDefault="00E539DA">
          <w:pPr>
            <w:spacing w:before="18"/>
          </w:pPr>
        </w:p>
      </w:tc>
      <w:tc>
        <w:tcPr>
          <w:tcW w:w="5663" w:type="dxa"/>
          <w:tcMar>
            <w:top w:w="0" w:type="dxa"/>
            <w:left w:w="108" w:type="dxa"/>
            <w:bottom w:w="0" w:type="dxa"/>
            <w:right w:w="108" w:type="dxa"/>
          </w:tcMar>
        </w:tcPr>
        <w:p w14:paraId="271F3E32" w14:textId="2C511E27" w:rsidR="00B93060" w:rsidRDefault="00B93060">
          <w:pPr>
            <w:spacing w:before="18"/>
            <w:rPr>
              <w:rFonts w:ascii="Times New Roman" w:hAnsi="Times New Roman" w:cs="Times New Roman"/>
              <w:b/>
              <w:bCs/>
              <w:color w:val="231F20"/>
              <w:spacing w:val="-2"/>
              <w:sz w:val="18"/>
            </w:rPr>
          </w:pPr>
        </w:p>
      </w:tc>
    </w:tr>
    <w:bookmarkEnd w:id="0"/>
  </w:tbl>
  <w:p w14:paraId="271F3E34" w14:textId="77777777" w:rsidR="00B93060" w:rsidRDefault="00B93060">
    <w:pPr>
      <w:spacing w:before="18"/>
      <w:rPr>
        <w:rFonts w:ascii="Times New Roman" w:hAnsi="Times New Roman" w:cs="Times New Roman"/>
        <w:color w:val="231F20"/>
        <w:spacing w:val="-2"/>
        <w:sz w:val="18"/>
      </w:rPr>
    </w:pPr>
  </w:p>
  <w:p w14:paraId="271F3E35" w14:textId="77777777" w:rsidR="00B93060" w:rsidRDefault="00B93060">
    <w:pPr>
      <w:pStyle w:val="BodyText"/>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A26" w14:textId="77777777" w:rsidR="009A7C8D" w:rsidRDefault="009A7C8D" w:rsidP="009A7C8D">
    <w:pPr>
      <w:spacing w:before="18"/>
    </w:pPr>
    <w:r>
      <w:rPr>
        <w:noProof/>
      </w:rPr>
      <mc:AlternateContent>
        <mc:Choice Requires="wps">
          <w:drawing>
            <wp:anchor distT="0" distB="0" distL="114300" distR="114300" simplePos="0" relativeHeight="251658241" behindDoc="0" locked="0" layoutInCell="1" allowOverlap="1" wp14:anchorId="2910AE42" wp14:editId="7FF9E427">
              <wp:simplePos x="0" y="0"/>
              <wp:positionH relativeFrom="margin">
                <wp:align>left</wp:align>
              </wp:positionH>
              <wp:positionV relativeFrom="paragraph">
                <wp:posOffset>110349</wp:posOffset>
              </wp:positionV>
              <wp:extent cx="6858000" cy="15243"/>
              <wp:effectExtent l="0" t="0" r="0" b="0"/>
              <wp:wrapTopAndBottom/>
              <wp:docPr id="629835544" name="Graphic 20"/>
              <wp:cNvGraphicFramePr/>
              <a:graphic xmlns:a="http://schemas.openxmlformats.org/drawingml/2006/main">
                <a:graphicData uri="http://schemas.microsoft.com/office/word/2010/wordprocessingShape">
                  <wps:wsp>
                    <wps:cNvSpPr/>
                    <wps:spPr>
                      <a:xfrm>
                        <a:off x="0" y="0"/>
                        <a:ext cx="6858000" cy="15243"/>
                      </a:xfrm>
                      <a:custGeom>
                        <a:avLst/>
                        <a:gdLst>
                          <a:gd name="f0" fmla="val w"/>
                          <a:gd name="f1" fmla="val h"/>
                          <a:gd name="f2" fmla="val 0"/>
                          <a:gd name="f3" fmla="val 6858000"/>
                          <a:gd name="f4" fmla="val 15240"/>
                          <a:gd name="f5" fmla="val 14731"/>
                          <a:gd name="f6" fmla="*/ f0 1 6858000"/>
                          <a:gd name="f7" fmla="*/ f1 1 15240"/>
                          <a:gd name="f8" fmla="+- f4 0 f2"/>
                          <a:gd name="f9" fmla="+- f3 0 f2"/>
                          <a:gd name="f10" fmla="*/ f9 1 6858000"/>
                          <a:gd name="f11" fmla="*/ f8 1 1524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6858000" h="15240">
                            <a:moveTo>
                              <a:pt x="f3" y="f2"/>
                            </a:moveTo>
                            <a:lnTo>
                              <a:pt x="f2" y="f2"/>
                            </a:lnTo>
                            <a:lnTo>
                              <a:pt x="f2" y="f5"/>
                            </a:lnTo>
                            <a:lnTo>
                              <a:pt x="f3" y="f5"/>
                            </a:lnTo>
                            <a:lnTo>
                              <a:pt x="f3" y="f2"/>
                            </a:lnTo>
                            <a:close/>
                          </a:path>
                        </a:pathLst>
                      </a:custGeom>
                      <a:solidFill>
                        <a:srgbClr val="231F20"/>
                      </a:solidFill>
                      <a:ln cap="flat">
                        <a:noFill/>
                        <a:prstDash val="solid"/>
                      </a:ln>
                    </wps:spPr>
                    <wps:bodyPr lIns="0" tIns="0" rIns="0" bIns="0"/>
                  </wps:wsp>
                </a:graphicData>
              </a:graphic>
            </wp:anchor>
          </w:drawing>
        </mc:Choice>
        <mc:Fallback>
          <w:pict>
            <v:shape w14:anchorId="4D40E9F7" id="Graphic 20" o:spid="_x0000_s1026" style="position:absolute;margin-left:0;margin-top:8.7pt;width:540pt;height:1.2pt;z-index:251658241;visibility:visible;mso-wrap-style:square;mso-wrap-distance-left:9pt;mso-wrap-distance-top:0;mso-wrap-distance-right:9pt;mso-wrap-distance-bottom:0;mso-position-horizontal:left;mso-position-horizontal-relative:margin;mso-position-vertical:absolute;mso-position-vertical-relative:text;v-text-anchor:top" coordsize="68580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" path="m6858000,l,,,14731r6858000,l6858000,xe" fillcolor="#231f20" stroked="f">
              <v:path arrowok="t" o:connecttype="custom" o:connectlocs="3429000,0;6858000,7622;3429000,15243;0,7622" o:connectangles="270,0,90,180" textboxrect="0,0,6858000,15240"/>
              <w10:wrap type="topAndBottom" anchorx="margin"/>
            </v:shape>
          </w:pict>
        </mc:Fallback>
      </mc:AlternateContent>
    </w:r>
  </w:p>
  <w:tbl>
    <w:tblPr>
      <w:tblW w:w="11326" w:type="dxa"/>
      <w:tblCellMar>
        <w:left w:w="10" w:type="dxa"/>
        <w:right w:w="10" w:type="dxa"/>
      </w:tblCellMar>
      <w:tblLook w:val="0000" w:firstRow="0" w:lastRow="0" w:firstColumn="0" w:lastColumn="0" w:noHBand="0" w:noVBand="0"/>
    </w:tblPr>
    <w:tblGrid>
      <w:gridCol w:w="5663"/>
      <w:gridCol w:w="5663"/>
    </w:tblGrid>
    <w:tr w:rsidR="009A7C8D" w14:paraId="5EB38C0D" w14:textId="77777777" w:rsidTr="00D0237E">
      <w:trPr>
        <w:trHeight w:val="1016"/>
      </w:trPr>
      <w:tc>
        <w:tcPr>
          <w:tcW w:w="5663" w:type="dxa"/>
          <w:tcMar>
            <w:top w:w="0" w:type="dxa"/>
            <w:left w:w="108" w:type="dxa"/>
            <w:bottom w:w="0" w:type="dxa"/>
            <w:right w:w="108" w:type="dxa"/>
          </w:tcMar>
        </w:tcPr>
        <w:p w14:paraId="2B04AE18" w14:textId="77777777" w:rsidR="009A7C8D" w:rsidRDefault="009A7C8D" w:rsidP="009A7C8D">
          <w:pPr>
            <w:pStyle w:val="Title"/>
            <w:ind w:left="0"/>
          </w:pPr>
          <w:r>
            <w:rPr>
              <w:rFonts w:ascii="Times New Roman" w:hAnsi="Times New Roman" w:cs="Times New Roman"/>
              <w:color w:val="231F20"/>
              <w:w w:val="85"/>
              <w:sz w:val="20"/>
              <w:szCs w:val="20"/>
            </w:rPr>
            <w:t>Home</w:t>
          </w:r>
          <w:r>
            <w:rPr>
              <w:rFonts w:ascii="Times New Roman" w:hAnsi="Times New Roman" w:cs="Times New Roman"/>
              <w:color w:val="231F20"/>
              <w:spacing w:val="6"/>
              <w:sz w:val="20"/>
              <w:szCs w:val="20"/>
            </w:rPr>
            <w:t xml:space="preserve"> </w:t>
          </w:r>
          <w:r>
            <w:rPr>
              <w:rFonts w:ascii="Times New Roman" w:hAnsi="Times New Roman" w:cs="Times New Roman"/>
              <w:color w:val="231F20"/>
              <w:w w:val="85"/>
              <w:sz w:val="20"/>
              <w:szCs w:val="20"/>
            </w:rPr>
            <w:t>Builders</w:t>
          </w:r>
          <w:r>
            <w:rPr>
              <w:rFonts w:ascii="Times New Roman" w:hAnsi="Times New Roman" w:cs="Times New Roman"/>
              <w:color w:val="231F20"/>
              <w:spacing w:val="7"/>
              <w:sz w:val="20"/>
              <w:szCs w:val="20"/>
            </w:rPr>
            <w:t xml:space="preserve"> </w:t>
          </w:r>
          <w:r>
            <w:rPr>
              <w:rFonts w:ascii="Times New Roman" w:hAnsi="Times New Roman" w:cs="Times New Roman"/>
              <w:color w:val="231F20"/>
              <w:spacing w:val="-2"/>
              <w:w w:val="85"/>
              <w:sz w:val="20"/>
              <w:szCs w:val="20"/>
            </w:rPr>
            <w:t>Federation</w:t>
          </w:r>
        </w:p>
        <w:p w14:paraId="6D97A3D6" w14:textId="77777777" w:rsidR="009A7C8D" w:rsidRDefault="009A7C8D" w:rsidP="009A7C8D">
          <w:r>
            <w:rPr>
              <w:rFonts w:ascii="Times New Roman" w:hAnsi="Times New Roman" w:cs="Times New Roman"/>
              <w:color w:val="231F20"/>
              <w:spacing w:val="-6"/>
              <w:sz w:val="18"/>
              <w:szCs w:val="18"/>
            </w:rPr>
            <w:t>HBF</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House,</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27</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Broadwall,</w:t>
          </w:r>
          <w:r>
            <w:rPr>
              <w:rFonts w:ascii="Times New Roman" w:hAnsi="Times New Roman" w:cs="Times New Roman"/>
              <w:color w:val="231F20"/>
              <w:spacing w:val="1"/>
              <w:sz w:val="18"/>
              <w:szCs w:val="18"/>
            </w:rPr>
            <w:t xml:space="preserve"> </w:t>
          </w:r>
          <w:r>
            <w:rPr>
              <w:rFonts w:ascii="Times New Roman" w:hAnsi="Times New Roman" w:cs="Times New Roman"/>
              <w:color w:val="231F20"/>
              <w:spacing w:val="-6"/>
              <w:sz w:val="18"/>
              <w:szCs w:val="18"/>
            </w:rPr>
            <w:t>London</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SE1</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9PL</w:t>
          </w:r>
        </w:p>
        <w:p w14:paraId="6D752FC4" w14:textId="77777777" w:rsidR="009A7C8D" w:rsidRDefault="009A7C8D" w:rsidP="009A7C8D">
          <w:pPr>
            <w:spacing w:before="18"/>
          </w:pPr>
          <w:r>
            <w:rPr>
              <w:rFonts w:ascii="Times New Roman" w:hAnsi="Times New Roman" w:cs="Times New Roman"/>
              <w:color w:val="231F20"/>
              <w:spacing w:val="-2"/>
              <w:sz w:val="18"/>
            </w:rPr>
            <w:t>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0207</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960</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1600</w:t>
          </w:r>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E:</w:t>
          </w:r>
          <w:r>
            <w:rPr>
              <w:rFonts w:ascii="Times New Roman" w:hAnsi="Times New Roman" w:cs="Times New Roman"/>
              <w:color w:val="231F20"/>
              <w:spacing w:val="-5"/>
              <w:sz w:val="18"/>
            </w:rPr>
            <w:t xml:space="preserve"> </w:t>
          </w:r>
          <w:hyperlink r:id="rId1" w:history="1">
            <w:r>
              <w:rPr>
                <w:rFonts w:ascii="Times New Roman" w:hAnsi="Times New Roman" w:cs="Times New Roman"/>
                <w:color w:val="231F20"/>
                <w:spacing w:val="-2"/>
                <w:sz w:val="18"/>
              </w:rPr>
              <w:t>info@hbf.co.uk</w:t>
            </w:r>
          </w:hyperlink>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hbf.co.uk</w:t>
          </w:r>
        </w:p>
      </w:tc>
      <w:tc>
        <w:tcPr>
          <w:tcW w:w="5663" w:type="dxa"/>
          <w:tcMar>
            <w:top w:w="0" w:type="dxa"/>
            <w:left w:w="108" w:type="dxa"/>
            <w:bottom w:w="0" w:type="dxa"/>
            <w:right w:w="108" w:type="dxa"/>
          </w:tcMar>
        </w:tcPr>
        <w:p w14:paraId="43B6691D"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47EB6190"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2C0ABDF6" w14:textId="77777777" w:rsidR="009A7C8D" w:rsidRDefault="009A7C8D" w:rsidP="009A7C8D">
          <w:pPr>
            <w:pStyle w:val="BodyText"/>
            <w:spacing w:line="256" w:lineRule="auto"/>
            <w:ind w:right="1981"/>
          </w:pPr>
          <w:r>
            <w:rPr>
              <w:rFonts w:ascii="Times New Roman" w:hAnsi="Times New Roman" w:cs="Times New Roman"/>
              <w:color w:val="231F20"/>
              <w:spacing w:val="-2"/>
            </w:rPr>
            <w:t>Registered</w:t>
          </w:r>
          <w:r>
            <w:rPr>
              <w:rFonts w:ascii="Times New Roman" w:hAnsi="Times New Roman" w:cs="Times New Roman"/>
              <w:color w:val="231F20"/>
              <w:spacing w:val="-6"/>
            </w:rPr>
            <w:t xml:space="preserve"> </w:t>
          </w:r>
          <w:r>
            <w:rPr>
              <w:rFonts w:ascii="Times New Roman" w:hAnsi="Times New Roman" w:cs="Times New Roman"/>
              <w:color w:val="231F20"/>
              <w:spacing w:val="-2"/>
            </w:rPr>
            <w:t>in</w:t>
          </w:r>
          <w:r>
            <w:rPr>
              <w:rFonts w:ascii="Times New Roman" w:hAnsi="Times New Roman" w:cs="Times New Roman"/>
              <w:color w:val="231F20"/>
              <w:spacing w:val="-5"/>
            </w:rPr>
            <w:t xml:space="preserve"> </w:t>
          </w:r>
          <w:r>
            <w:rPr>
              <w:rFonts w:ascii="Times New Roman" w:hAnsi="Times New Roman" w:cs="Times New Roman"/>
              <w:color w:val="231F20"/>
              <w:spacing w:val="-2"/>
            </w:rPr>
            <w:t>England</w:t>
          </w:r>
          <w:r>
            <w:rPr>
              <w:rFonts w:ascii="Times New Roman" w:hAnsi="Times New Roman" w:cs="Times New Roman"/>
              <w:color w:val="231F20"/>
              <w:spacing w:val="-6"/>
            </w:rPr>
            <w:t xml:space="preserve"> </w:t>
          </w:r>
          <w:r>
            <w:rPr>
              <w:rFonts w:ascii="Times New Roman" w:hAnsi="Times New Roman" w:cs="Times New Roman"/>
              <w:color w:val="231F20"/>
              <w:spacing w:val="-2"/>
            </w:rPr>
            <w:t>and</w:t>
          </w:r>
          <w:r>
            <w:rPr>
              <w:rFonts w:ascii="Times New Roman" w:hAnsi="Times New Roman" w:cs="Times New Roman"/>
              <w:color w:val="231F20"/>
              <w:spacing w:val="-5"/>
            </w:rPr>
            <w:t xml:space="preserve"> </w:t>
          </w:r>
          <w:r>
            <w:rPr>
              <w:rFonts w:ascii="Times New Roman" w:hAnsi="Times New Roman" w:cs="Times New Roman"/>
              <w:color w:val="231F20"/>
              <w:spacing w:val="-2"/>
            </w:rPr>
            <w:t>Wales.</w:t>
          </w:r>
          <w:r>
            <w:rPr>
              <w:rFonts w:ascii="Times New Roman" w:hAnsi="Times New Roman" w:cs="Times New Roman"/>
              <w:color w:val="231F20"/>
              <w:spacing w:val="-6"/>
            </w:rPr>
            <w:t xml:space="preserve"> </w:t>
          </w:r>
          <w:r>
            <w:rPr>
              <w:rFonts w:ascii="Times New Roman" w:hAnsi="Times New Roman" w:cs="Times New Roman"/>
              <w:color w:val="231F20"/>
              <w:spacing w:val="-2"/>
            </w:rPr>
            <w:t>Registered</w:t>
          </w:r>
          <w:r>
            <w:rPr>
              <w:rFonts w:ascii="Times New Roman" w:hAnsi="Times New Roman" w:cs="Times New Roman"/>
              <w:color w:val="231F20"/>
              <w:spacing w:val="-5"/>
            </w:rPr>
            <w:t xml:space="preserve"> </w:t>
          </w:r>
          <w:r>
            <w:rPr>
              <w:rFonts w:ascii="Times New Roman" w:hAnsi="Times New Roman" w:cs="Times New Roman"/>
              <w:color w:val="231F20"/>
              <w:spacing w:val="-2"/>
            </w:rPr>
            <w:t>office:</w:t>
          </w:r>
          <w:r>
            <w:rPr>
              <w:rFonts w:ascii="Times New Roman" w:hAnsi="Times New Roman" w:cs="Times New Roman"/>
              <w:color w:val="231F20"/>
              <w:spacing w:val="-6"/>
            </w:rPr>
            <w:t xml:space="preserve"> </w:t>
          </w:r>
          <w:r>
            <w:rPr>
              <w:rFonts w:ascii="Times New Roman" w:hAnsi="Times New Roman" w:cs="Times New Roman"/>
              <w:color w:val="231F20"/>
              <w:spacing w:val="-2"/>
            </w:rPr>
            <w:t>HBF</w:t>
          </w:r>
          <w:r>
            <w:rPr>
              <w:rFonts w:ascii="Times New Roman" w:hAnsi="Times New Roman" w:cs="Times New Roman"/>
              <w:color w:val="231F20"/>
              <w:spacing w:val="-5"/>
            </w:rPr>
            <w:t xml:space="preserve"> </w:t>
          </w:r>
          <w:r>
            <w:rPr>
              <w:rFonts w:ascii="Times New Roman" w:hAnsi="Times New Roman" w:cs="Times New Roman"/>
              <w:color w:val="231F20"/>
              <w:spacing w:val="-2"/>
            </w:rPr>
            <w:t>House,</w:t>
          </w:r>
          <w:r>
            <w:rPr>
              <w:rFonts w:ascii="Times New Roman" w:hAnsi="Times New Roman" w:cs="Times New Roman"/>
              <w:color w:val="231F20"/>
              <w:spacing w:val="-6"/>
            </w:rPr>
            <w:t xml:space="preserve"> </w:t>
          </w:r>
          <w:r>
            <w:rPr>
              <w:rFonts w:ascii="Times New Roman" w:hAnsi="Times New Roman" w:cs="Times New Roman"/>
              <w:color w:val="231F20"/>
              <w:spacing w:val="-2"/>
            </w:rPr>
            <w:t>27</w:t>
          </w:r>
          <w:r>
            <w:rPr>
              <w:rFonts w:ascii="Times New Roman" w:hAnsi="Times New Roman" w:cs="Times New Roman"/>
              <w:color w:val="231F20"/>
              <w:spacing w:val="-5"/>
            </w:rPr>
            <w:t xml:space="preserve"> </w:t>
          </w:r>
          <w:r>
            <w:rPr>
              <w:rFonts w:ascii="Times New Roman" w:hAnsi="Times New Roman" w:cs="Times New Roman"/>
              <w:color w:val="231F20"/>
              <w:spacing w:val="-2"/>
            </w:rPr>
            <w:t>Broadwall,</w:t>
          </w:r>
          <w:r>
            <w:rPr>
              <w:rFonts w:ascii="Times New Roman" w:hAnsi="Times New Roman" w:cs="Times New Roman"/>
              <w:color w:val="231F20"/>
              <w:spacing w:val="-6"/>
            </w:rPr>
            <w:t xml:space="preserve"> </w:t>
          </w:r>
          <w:r>
            <w:rPr>
              <w:rFonts w:ascii="Times New Roman" w:hAnsi="Times New Roman" w:cs="Times New Roman"/>
              <w:color w:val="231F20"/>
              <w:spacing w:val="-2"/>
            </w:rPr>
            <w:t>London</w:t>
          </w:r>
          <w:r>
            <w:rPr>
              <w:rFonts w:ascii="Times New Roman" w:hAnsi="Times New Roman" w:cs="Times New Roman"/>
              <w:color w:val="231F20"/>
              <w:spacing w:val="-5"/>
            </w:rPr>
            <w:t xml:space="preserve"> </w:t>
          </w:r>
          <w:r>
            <w:rPr>
              <w:rFonts w:ascii="Times New Roman" w:hAnsi="Times New Roman" w:cs="Times New Roman"/>
              <w:color w:val="231F20"/>
              <w:spacing w:val="-2"/>
            </w:rPr>
            <w:t>SE1</w:t>
          </w:r>
          <w:r>
            <w:rPr>
              <w:rFonts w:ascii="Times New Roman" w:hAnsi="Times New Roman" w:cs="Times New Roman"/>
              <w:color w:val="231F20"/>
              <w:spacing w:val="-6"/>
            </w:rPr>
            <w:t xml:space="preserve"> </w:t>
          </w:r>
          <w:r>
            <w:rPr>
              <w:rFonts w:ascii="Times New Roman" w:hAnsi="Times New Roman" w:cs="Times New Roman"/>
              <w:color w:val="231F20"/>
              <w:spacing w:val="-2"/>
            </w:rPr>
            <w:t>9PL</w:t>
          </w:r>
          <w:r>
            <w:rPr>
              <w:rFonts w:ascii="Times New Roman" w:hAnsi="Times New Roman" w:cs="Times New Roman"/>
              <w:color w:val="231F20"/>
              <w:spacing w:val="40"/>
            </w:rPr>
            <w:t xml:space="preserve"> </w:t>
          </w:r>
          <w:r>
            <w:rPr>
              <w:rFonts w:ascii="Times New Roman" w:hAnsi="Times New Roman" w:cs="Times New Roman"/>
              <w:color w:val="231F20"/>
              <w:position w:val="2"/>
            </w:rPr>
            <w:t>Company</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Reg</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0276</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4757</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Vat</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882</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6294</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86</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Printed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on</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recycled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paper</w:t>
          </w:r>
          <w:r>
            <w:rPr>
              <w:rFonts w:ascii="Times New Roman" w:hAnsi="Times New Roman" w:cs="Times New Roman"/>
              <w:color w:val="231F20"/>
              <w:spacing w:val="-6"/>
              <w:position w:val="2"/>
            </w:rPr>
            <w:t xml:space="preserve"> </w:t>
          </w:r>
          <w:r>
            <w:rPr>
              <w:rFonts w:ascii="Times New Roman" w:hAnsi="Times New Roman" w:cs="Times New Roman"/>
              <w:b/>
              <w:bCs/>
              <w:noProof/>
              <w:color w:val="231F20"/>
              <w:spacing w:val="-3"/>
            </w:rPr>
            <w:drawing>
              <wp:inline distT="0" distB="0" distL="0" distR="0" wp14:anchorId="30B2A5A1" wp14:editId="5088D5E6">
                <wp:extent cx="67400" cy="64236"/>
                <wp:effectExtent l="0" t="0" r="8800" b="0"/>
                <wp:docPr id="361466313"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7400" cy="64236"/>
                        </a:xfrm>
                        <a:prstGeom prst="rect">
                          <a:avLst/>
                        </a:prstGeom>
                        <a:noFill/>
                        <a:ln>
                          <a:noFill/>
                          <a:prstDash/>
                        </a:ln>
                      </pic:spPr>
                    </pic:pic>
                  </a:graphicData>
                </a:graphic>
              </wp:inline>
            </w:drawing>
          </w:r>
        </w:p>
        <w:p w14:paraId="33264861" w14:textId="77777777" w:rsidR="009A7C8D" w:rsidRDefault="009A7C8D" w:rsidP="009A7C8D">
          <w:pPr>
            <w:spacing w:before="18"/>
            <w:rPr>
              <w:rFonts w:ascii="Times New Roman" w:hAnsi="Times New Roman" w:cs="Times New Roman"/>
              <w:b/>
              <w:bCs/>
              <w:color w:val="231F20"/>
              <w:spacing w:val="-2"/>
              <w:sz w:val="18"/>
            </w:rPr>
          </w:pPr>
        </w:p>
      </w:tc>
    </w:tr>
  </w:tbl>
  <w:p w14:paraId="4B9F6196" w14:textId="77777777" w:rsidR="00A80AB2" w:rsidRDefault="00A8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842E" w14:textId="77777777" w:rsidR="00C77C91" w:rsidRDefault="00C77C91">
      <w:r>
        <w:rPr>
          <w:color w:val="000000"/>
        </w:rPr>
        <w:separator/>
      </w:r>
    </w:p>
  </w:footnote>
  <w:footnote w:type="continuationSeparator" w:id="0">
    <w:p w14:paraId="4290BCF8" w14:textId="77777777" w:rsidR="00C77C91" w:rsidRDefault="00C77C91">
      <w:r>
        <w:continuationSeparator/>
      </w:r>
    </w:p>
  </w:footnote>
  <w:footnote w:id="1">
    <w:p w14:paraId="74E64D22" w14:textId="09A1139E" w:rsidR="002E6B8C" w:rsidRPr="002E6B8C" w:rsidRDefault="002E6B8C">
      <w:pPr>
        <w:pStyle w:val="FootnoteText"/>
        <w:rPr>
          <w:lang w:val="en-GB"/>
        </w:rPr>
      </w:pPr>
      <w:r>
        <w:rPr>
          <w:rStyle w:val="FootnoteReference"/>
        </w:rPr>
        <w:footnoteRef/>
      </w:r>
      <w:r>
        <w:t xml:space="preserve"> </w:t>
      </w:r>
      <w:hyperlink r:id="rId1" w:history="1">
        <w:r w:rsidRPr="00B35ABA">
          <w:rPr>
            <w:rStyle w:val="Hyperlink"/>
          </w:rPr>
          <w:t>https://retirementhousinggroup.com/resources/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7CFD" w14:textId="7128A88E" w:rsidR="00A80AB2" w:rsidRDefault="009A7C8D">
    <w:pPr>
      <w:pStyle w:val="Header"/>
    </w:pPr>
    <w:r>
      <w:rPr>
        <w:noProof/>
      </w:rPr>
      <w:drawing>
        <wp:anchor distT="0" distB="0" distL="114300" distR="114300" simplePos="0" relativeHeight="251658240" behindDoc="0" locked="0" layoutInCell="1" allowOverlap="1" wp14:anchorId="3FD7467F" wp14:editId="506C53E4">
          <wp:simplePos x="0" y="0"/>
          <wp:positionH relativeFrom="column">
            <wp:posOffset>4572000</wp:posOffset>
          </wp:positionH>
          <wp:positionV relativeFrom="paragraph">
            <wp:posOffset>561975</wp:posOffset>
          </wp:positionV>
          <wp:extent cx="2019873" cy="516142"/>
          <wp:effectExtent l="0" t="0" r="0" b="0"/>
          <wp:wrapNone/>
          <wp:docPr id="1276913256"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19873" cy="5161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5BA3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7D6354"/>
    <w:multiLevelType w:val="hybridMultilevel"/>
    <w:tmpl w:val="1CFC6C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5DF00AF3"/>
    <w:multiLevelType w:val="hybridMultilevel"/>
    <w:tmpl w:val="005C284C"/>
    <w:lvl w:ilvl="0" w:tplc="7D5472C2">
      <w:start w:val="1"/>
      <w:numFmt w:val="decimal"/>
      <w:lvlText w:val="%1."/>
      <w:lvlJc w:val="left"/>
      <w:pPr>
        <w:ind w:left="107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E87FCD"/>
    <w:multiLevelType w:val="hybridMultilevel"/>
    <w:tmpl w:val="0C849B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83758027">
    <w:abstractNumId w:val="2"/>
  </w:num>
  <w:num w:numId="2" w16cid:durableId="1235816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645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5049332">
    <w:abstractNumId w:val="0"/>
  </w:num>
  <w:num w:numId="5" w16cid:durableId="7560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C3"/>
    <w:rsid w:val="000029E6"/>
    <w:rsid w:val="00002A00"/>
    <w:rsid w:val="00004197"/>
    <w:rsid w:val="00004DEA"/>
    <w:rsid w:val="000119E1"/>
    <w:rsid w:val="00012EDB"/>
    <w:rsid w:val="000131C9"/>
    <w:rsid w:val="0001370A"/>
    <w:rsid w:val="00017F5B"/>
    <w:rsid w:val="00024882"/>
    <w:rsid w:val="00033FF4"/>
    <w:rsid w:val="00044843"/>
    <w:rsid w:val="00045D2E"/>
    <w:rsid w:val="00045ED1"/>
    <w:rsid w:val="00050F6B"/>
    <w:rsid w:val="00057151"/>
    <w:rsid w:val="00066F58"/>
    <w:rsid w:val="0007040C"/>
    <w:rsid w:val="00070733"/>
    <w:rsid w:val="0007466A"/>
    <w:rsid w:val="000753FE"/>
    <w:rsid w:val="00076BF0"/>
    <w:rsid w:val="00090C0C"/>
    <w:rsid w:val="00094FDC"/>
    <w:rsid w:val="00095BF3"/>
    <w:rsid w:val="000A22DD"/>
    <w:rsid w:val="000B0C4A"/>
    <w:rsid w:val="000C56EF"/>
    <w:rsid w:val="000D39DF"/>
    <w:rsid w:val="000D412D"/>
    <w:rsid w:val="000D439D"/>
    <w:rsid w:val="000D7947"/>
    <w:rsid w:val="000E14BC"/>
    <w:rsid w:val="000E1F0D"/>
    <w:rsid w:val="000E622B"/>
    <w:rsid w:val="000E7918"/>
    <w:rsid w:val="000F162D"/>
    <w:rsid w:val="00100123"/>
    <w:rsid w:val="00103FBD"/>
    <w:rsid w:val="0011389E"/>
    <w:rsid w:val="001173A5"/>
    <w:rsid w:val="0012074F"/>
    <w:rsid w:val="00124F25"/>
    <w:rsid w:val="00124F2D"/>
    <w:rsid w:val="00131815"/>
    <w:rsid w:val="00140354"/>
    <w:rsid w:val="00147982"/>
    <w:rsid w:val="00151F41"/>
    <w:rsid w:val="00153D03"/>
    <w:rsid w:val="00157532"/>
    <w:rsid w:val="0016594C"/>
    <w:rsid w:val="00183602"/>
    <w:rsid w:val="00183A07"/>
    <w:rsid w:val="001A6D70"/>
    <w:rsid w:val="001B059B"/>
    <w:rsid w:val="001B1AE9"/>
    <w:rsid w:val="001B1FB9"/>
    <w:rsid w:val="001B5024"/>
    <w:rsid w:val="001C1294"/>
    <w:rsid w:val="001C522A"/>
    <w:rsid w:val="001D5895"/>
    <w:rsid w:val="001E30D0"/>
    <w:rsid w:val="001E495A"/>
    <w:rsid w:val="001E65CB"/>
    <w:rsid w:val="001F2CD4"/>
    <w:rsid w:val="001F6025"/>
    <w:rsid w:val="002022A0"/>
    <w:rsid w:val="002059EC"/>
    <w:rsid w:val="00207D62"/>
    <w:rsid w:val="00210CB4"/>
    <w:rsid w:val="00212542"/>
    <w:rsid w:val="00214CF5"/>
    <w:rsid w:val="00215C07"/>
    <w:rsid w:val="00221514"/>
    <w:rsid w:val="00223118"/>
    <w:rsid w:val="00226B80"/>
    <w:rsid w:val="00227B27"/>
    <w:rsid w:val="0023300C"/>
    <w:rsid w:val="0023354A"/>
    <w:rsid w:val="00240A13"/>
    <w:rsid w:val="00243BE2"/>
    <w:rsid w:val="00244F2E"/>
    <w:rsid w:val="00256BC3"/>
    <w:rsid w:val="00261616"/>
    <w:rsid w:val="00263773"/>
    <w:rsid w:val="002662DD"/>
    <w:rsid w:val="00266346"/>
    <w:rsid w:val="002664BB"/>
    <w:rsid w:val="002678A4"/>
    <w:rsid w:val="002718EE"/>
    <w:rsid w:val="00271B2A"/>
    <w:rsid w:val="00275692"/>
    <w:rsid w:val="0028345D"/>
    <w:rsid w:val="0028372E"/>
    <w:rsid w:val="00285EA5"/>
    <w:rsid w:val="00291323"/>
    <w:rsid w:val="002A0174"/>
    <w:rsid w:val="002A0BB1"/>
    <w:rsid w:val="002B344B"/>
    <w:rsid w:val="002B6911"/>
    <w:rsid w:val="002B7C70"/>
    <w:rsid w:val="002C658C"/>
    <w:rsid w:val="002D2604"/>
    <w:rsid w:val="002E384E"/>
    <w:rsid w:val="002E4409"/>
    <w:rsid w:val="002E6390"/>
    <w:rsid w:val="002E6B8C"/>
    <w:rsid w:val="002F01FE"/>
    <w:rsid w:val="002F17D3"/>
    <w:rsid w:val="002F43AB"/>
    <w:rsid w:val="002F68AF"/>
    <w:rsid w:val="00302B6F"/>
    <w:rsid w:val="00307195"/>
    <w:rsid w:val="0030774C"/>
    <w:rsid w:val="00320162"/>
    <w:rsid w:val="0032050C"/>
    <w:rsid w:val="003205C3"/>
    <w:rsid w:val="00323B86"/>
    <w:rsid w:val="003245BF"/>
    <w:rsid w:val="00333794"/>
    <w:rsid w:val="00335B83"/>
    <w:rsid w:val="003464AD"/>
    <w:rsid w:val="00351BAC"/>
    <w:rsid w:val="003520A9"/>
    <w:rsid w:val="00352D62"/>
    <w:rsid w:val="00360D35"/>
    <w:rsid w:val="0036102D"/>
    <w:rsid w:val="003614D5"/>
    <w:rsid w:val="00361D15"/>
    <w:rsid w:val="00362DA6"/>
    <w:rsid w:val="00371FA6"/>
    <w:rsid w:val="00375469"/>
    <w:rsid w:val="00381C3F"/>
    <w:rsid w:val="00383ACA"/>
    <w:rsid w:val="00385EA7"/>
    <w:rsid w:val="0038767A"/>
    <w:rsid w:val="003933EE"/>
    <w:rsid w:val="00393809"/>
    <w:rsid w:val="00393D94"/>
    <w:rsid w:val="003A09A8"/>
    <w:rsid w:val="003A0EDE"/>
    <w:rsid w:val="003A5FC4"/>
    <w:rsid w:val="003B3DDE"/>
    <w:rsid w:val="003B48B7"/>
    <w:rsid w:val="003B7B26"/>
    <w:rsid w:val="003C3B4F"/>
    <w:rsid w:val="003C6D33"/>
    <w:rsid w:val="003D41C3"/>
    <w:rsid w:val="003D5B18"/>
    <w:rsid w:val="003D61B1"/>
    <w:rsid w:val="003D6D6E"/>
    <w:rsid w:val="003E0EAE"/>
    <w:rsid w:val="003E3F9C"/>
    <w:rsid w:val="003F5F1B"/>
    <w:rsid w:val="003F78DA"/>
    <w:rsid w:val="00402ABA"/>
    <w:rsid w:val="00405B32"/>
    <w:rsid w:val="004131DC"/>
    <w:rsid w:val="004137D3"/>
    <w:rsid w:val="00414A1C"/>
    <w:rsid w:val="00421CA3"/>
    <w:rsid w:val="00423644"/>
    <w:rsid w:val="00425392"/>
    <w:rsid w:val="0043348C"/>
    <w:rsid w:val="00433862"/>
    <w:rsid w:val="0043388E"/>
    <w:rsid w:val="00435B99"/>
    <w:rsid w:val="00440AC7"/>
    <w:rsid w:val="00442C19"/>
    <w:rsid w:val="004452DC"/>
    <w:rsid w:val="004530C1"/>
    <w:rsid w:val="00457400"/>
    <w:rsid w:val="00457F91"/>
    <w:rsid w:val="004612EA"/>
    <w:rsid w:val="00465834"/>
    <w:rsid w:val="00471640"/>
    <w:rsid w:val="00474BC9"/>
    <w:rsid w:val="004808D8"/>
    <w:rsid w:val="00480D36"/>
    <w:rsid w:val="00481928"/>
    <w:rsid w:val="00483616"/>
    <w:rsid w:val="00492356"/>
    <w:rsid w:val="00494C05"/>
    <w:rsid w:val="004A5AA9"/>
    <w:rsid w:val="004C1084"/>
    <w:rsid w:val="004C4874"/>
    <w:rsid w:val="004C6F67"/>
    <w:rsid w:val="004D68D6"/>
    <w:rsid w:val="004F30F1"/>
    <w:rsid w:val="004F3E99"/>
    <w:rsid w:val="004F40B6"/>
    <w:rsid w:val="0050115C"/>
    <w:rsid w:val="00504413"/>
    <w:rsid w:val="0050723E"/>
    <w:rsid w:val="0051526E"/>
    <w:rsid w:val="00527E57"/>
    <w:rsid w:val="00530B92"/>
    <w:rsid w:val="0053173E"/>
    <w:rsid w:val="00535FD6"/>
    <w:rsid w:val="00536E87"/>
    <w:rsid w:val="005434BA"/>
    <w:rsid w:val="00543DDD"/>
    <w:rsid w:val="00547B62"/>
    <w:rsid w:val="00551E57"/>
    <w:rsid w:val="00554523"/>
    <w:rsid w:val="005613DB"/>
    <w:rsid w:val="00561F50"/>
    <w:rsid w:val="005709A6"/>
    <w:rsid w:val="005714B3"/>
    <w:rsid w:val="00574B75"/>
    <w:rsid w:val="005829D5"/>
    <w:rsid w:val="005862DC"/>
    <w:rsid w:val="0059090A"/>
    <w:rsid w:val="00591CEF"/>
    <w:rsid w:val="00592876"/>
    <w:rsid w:val="00592F84"/>
    <w:rsid w:val="00596192"/>
    <w:rsid w:val="005A00D0"/>
    <w:rsid w:val="005A2427"/>
    <w:rsid w:val="005A75C1"/>
    <w:rsid w:val="005B3C38"/>
    <w:rsid w:val="005B773D"/>
    <w:rsid w:val="005C529A"/>
    <w:rsid w:val="005C76CC"/>
    <w:rsid w:val="005D4218"/>
    <w:rsid w:val="005D4805"/>
    <w:rsid w:val="005D7391"/>
    <w:rsid w:val="005D73D1"/>
    <w:rsid w:val="005E3358"/>
    <w:rsid w:val="005E38E5"/>
    <w:rsid w:val="005F3284"/>
    <w:rsid w:val="005F3C36"/>
    <w:rsid w:val="005F47F0"/>
    <w:rsid w:val="005F7945"/>
    <w:rsid w:val="0060323A"/>
    <w:rsid w:val="00604745"/>
    <w:rsid w:val="00615FA7"/>
    <w:rsid w:val="0061606D"/>
    <w:rsid w:val="00616F20"/>
    <w:rsid w:val="00617A67"/>
    <w:rsid w:val="00620A01"/>
    <w:rsid w:val="00624B28"/>
    <w:rsid w:val="00630C2C"/>
    <w:rsid w:val="00633076"/>
    <w:rsid w:val="006335DB"/>
    <w:rsid w:val="00633C7A"/>
    <w:rsid w:val="00635AAD"/>
    <w:rsid w:val="00640222"/>
    <w:rsid w:val="0064197A"/>
    <w:rsid w:val="0065315E"/>
    <w:rsid w:val="00655E5B"/>
    <w:rsid w:val="00663E72"/>
    <w:rsid w:val="006721EC"/>
    <w:rsid w:val="006776E4"/>
    <w:rsid w:val="00684FCA"/>
    <w:rsid w:val="00695071"/>
    <w:rsid w:val="00697762"/>
    <w:rsid w:val="006A06E6"/>
    <w:rsid w:val="006A08AE"/>
    <w:rsid w:val="006A0AFA"/>
    <w:rsid w:val="006A2B42"/>
    <w:rsid w:val="006A34C5"/>
    <w:rsid w:val="006A7B86"/>
    <w:rsid w:val="006B27CA"/>
    <w:rsid w:val="006C13D5"/>
    <w:rsid w:val="006C1B61"/>
    <w:rsid w:val="006C5311"/>
    <w:rsid w:val="006C5B3B"/>
    <w:rsid w:val="006C797C"/>
    <w:rsid w:val="006D397A"/>
    <w:rsid w:val="006D3A23"/>
    <w:rsid w:val="006D4D2A"/>
    <w:rsid w:val="006D6841"/>
    <w:rsid w:val="006D7DB0"/>
    <w:rsid w:val="006E289E"/>
    <w:rsid w:val="006E3A3A"/>
    <w:rsid w:val="006F580F"/>
    <w:rsid w:val="00701277"/>
    <w:rsid w:val="00703295"/>
    <w:rsid w:val="0070445A"/>
    <w:rsid w:val="007053CB"/>
    <w:rsid w:val="007073AA"/>
    <w:rsid w:val="00721A42"/>
    <w:rsid w:val="007418AA"/>
    <w:rsid w:val="0074453A"/>
    <w:rsid w:val="00744CD0"/>
    <w:rsid w:val="00764F15"/>
    <w:rsid w:val="007654AE"/>
    <w:rsid w:val="00771141"/>
    <w:rsid w:val="00771A22"/>
    <w:rsid w:val="00783102"/>
    <w:rsid w:val="00785242"/>
    <w:rsid w:val="007A5D9E"/>
    <w:rsid w:val="007B1FE1"/>
    <w:rsid w:val="007C11C2"/>
    <w:rsid w:val="007C49CF"/>
    <w:rsid w:val="007C62EF"/>
    <w:rsid w:val="007D3F8D"/>
    <w:rsid w:val="007E341E"/>
    <w:rsid w:val="007E4B28"/>
    <w:rsid w:val="007F3F23"/>
    <w:rsid w:val="007F6A43"/>
    <w:rsid w:val="00801F6D"/>
    <w:rsid w:val="00804A32"/>
    <w:rsid w:val="0081239D"/>
    <w:rsid w:val="00826C2E"/>
    <w:rsid w:val="00834009"/>
    <w:rsid w:val="00835AF2"/>
    <w:rsid w:val="00842B8F"/>
    <w:rsid w:val="00843DA9"/>
    <w:rsid w:val="00843E72"/>
    <w:rsid w:val="00853AE8"/>
    <w:rsid w:val="008540E9"/>
    <w:rsid w:val="0086256C"/>
    <w:rsid w:val="008631B8"/>
    <w:rsid w:val="008635F3"/>
    <w:rsid w:val="00867995"/>
    <w:rsid w:val="00870301"/>
    <w:rsid w:val="008810F7"/>
    <w:rsid w:val="008843AD"/>
    <w:rsid w:val="008848BD"/>
    <w:rsid w:val="00896699"/>
    <w:rsid w:val="008A61BD"/>
    <w:rsid w:val="008A67F5"/>
    <w:rsid w:val="008B565B"/>
    <w:rsid w:val="008B7436"/>
    <w:rsid w:val="008B7478"/>
    <w:rsid w:val="008D2A71"/>
    <w:rsid w:val="008E011E"/>
    <w:rsid w:val="008E673E"/>
    <w:rsid w:val="008F38FA"/>
    <w:rsid w:val="009012CA"/>
    <w:rsid w:val="009016AE"/>
    <w:rsid w:val="00901C64"/>
    <w:rsid w:val="00901D3E"/>
    <w:rsid w:val="00904A4C"/>
    <w:rsid w:val="00905B7B"/>
    <w:rsid w:val="009101D3"/>
    <w:rsid w:val="0091642E"/>
    <w:rsid w:val="00925756"/>
    <w:rsid w:val="00925D98"/>
    <w:rsid w:val="00930730"/>
    <w:rsid w:val="00933943"/>
    <w:rsid w:val="009350A3"/>
    <w:rsid w:val="00936B70"/>
    <w:rsid w:val="00943DD6"/>
    <w:rsid w:val="00954CF4"/>
    <w:rsid w:val="00961111"/>
    <w:rsid w:val="009679A1"/>
    <w:rsid w:val="0098366B"/>
    <w:rsid w:val="0099260A"/>
    <w:rsid w:val="00993889"/>
    <w:rsid w:val="009A7C8D"/>
    <w:rsid w:val="009B210C"/>
    <w:rsid w:val="009C4A59"/>
    <w:rsid w:val="009C50CF"/>
    <w:rsid w:val="009C7CA5"/>
    <w:rsid w:val="009D5877"/>
    <w:rsid w:val="009E4172"/>
    <w:rsid w:val="009F2E16"/>
    <w:rsid w:val="009F4520"/>
    <w:rsid w:val="009F58B6"/>
    <w:rsid w:val="009F6780"/>
    <w:rsid w:val="00A01590"/>
    <w:rsid w:val="00A0245A"/>
    <w:rsid w:val="00A118FD"/>
    <w:rsid w:val="00A128EA"/>
    <w:rsid w:val="00A13FD0"/>
    <w:rsid w:val="00A147A6"/>
    <w:rsid w:val="00A160EC"/>
    <w:rsid w:val="00A17338"/>
    <w:rsid w:val="00A17957"/>
    <w:rsid w:val="00A2663B"/>
    <w:rsid w:val="00A3352E"/>
    <w:rsid w:val="00A335B7"/>
    <w:rsid w:val="00A36116"/>
    <w:rsid w:val="00A413E7"/>
    <w:rsid w:val="00A41894"/>
    <w:rsid w:val="00A502A4"/>
    <w:rsid w:val="00A504B7"/>
    <w:rsid w:val="00A53879"/>
    <w:rsid w:val="00A64E89"/>
    <w:rsid w:val="00A74C69"/>
    <w:rsid w:val="00A74E86"/>
    <w:rsid w:val="00A77F57"/>
    <w:rsid w:val="00A80AB2"/>
    <w:rsid w:val="00A81B0A"/>
    <w:rsid w:val="00A84C4D"/>
    <w:rsid w:val="00A84F68"/>
    <w:rsid w:val="00A940C3"/>
    <w:rsid w:val="00A9576D"/>
    <w:rsid w:val="00A96749"/>
    <w:rsid w:val="00A973BD"/>
    <w:rsid w:val="00AA335E"/>
    <w:rsid w:val="00AA467F"/>
    <w:rsid w:val="00AA569F"/>
    <w:rsid w:val="00AA6EFF"/>
    <w:rsid w:val="00AC1A2F"/>
    <w:rsid w:val="00AC6A5A"/>
    <w:rsid w:val="00AD518A"/>
    <w:rsid w:val="00AD5C8E"/>
    <w:rsid w:val="00AE32F6"/>
    <w:rsid w:val="00AE43FD"/>
    <w:rsid w:val="00AE79BC"/>
    <w:rsid w:val="00AF0E74"/>
    <w:rsid w:val="00AF5F37"/>
    <w:rsid w:val="00AF6AEE"/>
    <w:rsid w:val="00AF6C9A"/>
    <w:rsid w:val="00B2707A"/>
    <w:rsid w:val="00B305CE"/>
    <w:rsid w:val="00B321DF"/>
    <w:rsid w:val="00B32264"/>
    <w:rsid w:val="00B36DBA"/>
    <w:rsid w:val="00B56B85"/>
    <w:rsid w:val="00B61E04"/>
    <w:rsid w:val="00B6428E"/>
    <w:rsid w:val="00B659F6"/>
    <w:rsid w:val="00B65E06"/>
    <w:rsid w:val="00B72140"/>
    <w:rsid w:val="00B737EB"/>
    <w:rsid w:val="00B834E7"/>
    <w:rsid w:val="00B85935"/>
    <w:rsid w:val="00B93060"/>
    <w:rsid w:val="00BA01D7"/>
    <w:rsid w:val="00BA34D9"/>
    <w:rsid w:val="00BA4791"/>
    <w:rsid w:val="00BB3AAE"/>
    <w:rsid w:val="00BB53BB"/>
    <w:rsid w:val="00BC19BF"/>
    <w:rsid w:val="00BC62DD"/>
    <w:rsid w:val="00BC706C"/>
    <w:rsid w:val="00BD22F9"/>
    <w:rsid w:val="00BE305C"/>
    <w:rsid w:val="00BF09B7"/>
    <w:rsid w:val="00BF0A0F"/>
    <w:rsid w:val="00BF0D89"/>
    <w:rsid w:val="00BF0E59"/>
    <w:rsid w:val="00BF3422"/>
    <w:rsid w:val="00C04D40"/>
    <w:rsid w:val="00C175BC"/>
    <w:rsid w:val="00C2083C"/>
    <w:rsid w:val="00C26455"/>
    <w:rsid w:val="00C304DC"/>
    <w:rsid w:val="00C305CB"/>
    <w:rsid w:val="00C313EB"/>
    <w:rsid w:val="00C411E9"/>
    <w:rsid w:val="00C433FD"/>
    <w:rsid w:val="00C43BC8"/>
    <w:rsid w:val="00C44339"/>
    <w:rsid w:val="00C47E3C"/>
    <w:rsid w:val="00C66956"/>
    <w:rsid w:val="00C77C91"/>
    <w:rsid w:val="00C81FD4"/>
    <w:rsid w:val="00C85332"/>
    <w:rsid w:val="00C87FC9"/>
    <w:rsid w:val="00C927AA"/>
    <w:rsid w:val="00C9429C"/>
    <w:rsid w:val="00C95B1C"/>
    <w:rsid w:val="00C97F93"/>
    <w:rsid w:val="00CA30F4"/>
    <w:rsid w:val="00CA632E"/>
    <w:rsid w:val="00CB24DE"/>
    <w:rsid w:val="00CB5DFD"/>
    <w:rsid w:val="00CC1E2E"/>
    <w:rsid w:val="00CC4614"/>
    <w:rsid w:val="00CD0619"/>
    <w:rsid w:val="00CD2293"/>
    <w:rsid w:val="00CD521C"/>
    <w:rsid w:val="00CD5C83"/>
    <w:rsid w:val="00CE0A3D"/>
    <w:rsid w:val="00CF0FF4"/>
    <w:rsid w:val="00CF34EE"/>
    <w:rsid w:val="00CF6CA9"/>
    <w:rsid w:val="00D02393"/>
    <w:rsid w:val="00D11665"/>
    <w:rsid w:val="00D13EFA"/>
    <w:rsid w:val="00D16F1D"/>
    <w:rsid w:val="00D21EBB"/>
    <w:rsid w:val="00D25B13"/>
    <w:rsid w:val="00D3345F"/>
    <w:rsid w:val="00D4130F"/>
    <w:rsid w:val="00D47725"/>
    <w:rsid w:val="00D47A33"/>
    <w:rsid w:val="00D63DED"/>
    <w:rsid w:val="00D709F1"/>
    <w:rsid w:val="00D76147"/>
    <w:rsid w:val="00D7713C"/>
    <w:rsid w:val="00D77D82"/>
    <w:rsid w:val="00D815E3"/>
    <w:rsid w:val="00D822E3"/>
    <w:rsid w:val="00D91C9C"/>
    <w:rsid w:val="00DA1EA3"/>
    <w:rsid w:val="00DA70CE"/>
    <w:rsid w:val="00DA7B86"/>
    <w:rsid w:val="00DB27E5"/>
    <w:rsid w:val="00DB2A59"/>
    <w:rsid w:val="00DB2EEB"/>
    <w:rsid w:val="00DC5F98"/>
    <w:rsid w:val="00DD6A1B"/>
    <w:rsid w:val="00DD7EBD"/>
    <w:rsid w:val="00DE6EF6"/>
    <w:rsid w:val="00DF081D"/>
    <w:rsid w:val="00E02BE2"/>
    <w:rsid w:val="00E0784A"/>
    <w:rsid w:val="00E140C1"/>
    <w:rsid w:val="00E146B2"/>
    <w:rsid w:val="00E26093"/>
    <w:rsid w:val="00E27C45"/>
    <w:rsid w:val="00E30BDC"/>
    <w:rsid w:val="00E4079F"/>
    <w:rsid w:val="00E46BBE"/>
    <w:rsid w:val="00E52158"/>
    <w:rsid w:val="00E539DA"/>
    <w:rsid w:val="00E55327"/>
    <w:rsid w:val="00E55798"/>
    <w:rsid w:val="00E557F8"/>
    <w:rsid w:val="00E5644F"/>
    <w:rsid w:val="00E62B8B"/>
    <w:rsid w:val="00E64C62"/>
    <w:rsid w:val="00E66FBF"/>
    <w:rsid w:val="00E67330"/>
    <w:rsid w:val="00E7096A"/>
    <w:rsid w:val="00E77EEA"/>
    <w:rsid w:val="00E82C45"/>
    <w:rsid w:val="00EA671C"/>
    <w:rsid w:val="00EB79E7"/>
    <w:rsid w:val="00EC0DC0"/>
    <w:rsid w:val="00EC4A02"/>
    <w:rsid w:val="00EC7F52"/>
    <w:rsid w:val="00ED11EF"/>
    <w:rsid w:val="00ED4968"/>
    <w:rsid w:val="00ED5F1B"/>
    <w:rsid w:val="00EE0F3D"/>
    <w:rsid w:val="00EF3A13"/>
    <w:rsid w:val="00EF5EF4"/>
    <w:rsid w:val="00EF7206"/>
    <w:rsid w:val="00F0430A"/>
    <w:rsid w:val="00F0761E"/>
    <w:rsid w:val="00F11CF8"/>
    <w:rsid w:val="00F154ED"/>
    <w:rsid w:val="00F32C22"/>
    <w:rsid w:val="00F4012F"/>
    <w:rsid w:val="00F4085B"/>
    <w:rsid w:val="00F40C1B"/>
    <w:rsid w:val="00F45C43"/>
    <w:rsid w:val="00F5217E"/>
    <w:rsid w:val="00F523BD"/>
    <w:rsid w:val="00F553F9"/>
    <w:rsid w:val="00F6148C"/>
    <w:rsid w:val="00F70354"/>
    <w:rsid w:val="00F71A1B"/>
    <w:rsid w:val="00F74743"/>
    <w:rsid w:val="00F765A4"/>
    <w:rsid w:val="00F94AD9"/>
    <w:rsid w:val="00F97858"/>
    <w:rsid w:val="00FA1856"/>
    <w:rsid w:val="00FC1C9D"/>
    <w:rsid w:val="00FC57D3"/>
    <w:rsid w:val="00FC5918"/>
    <w:rsid w:val="00FC5BB3"/>
    <w:rsid w:val="00FC7D8E"/>
    <w:rsid w:val="00FD5CC3"/>
    <w:rsid w:val="00FD6121"/>
    <w:rsid w:val="00FD6208"/>
    <w:rsid w:val="00FD6C84"/>
    <w:rsid w:val="00FE4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3E21"/>
  <w15:docId w15:val="{3B05D03D-9AA3-45FE-A6C3-FB144C0D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8D"/>
    <w:pPr>
      <w:suppressAutoHyphens/>
    </w:pPr>
    <w:rPr>
      <w:rFonts w:ascii="Palatino Linotype" w:eastAsia="Palatino Linotype" w:hAnsi="Palatino Linotype" w:cs="Palatino Linotype"/>
    </w:rPr>
  </w:style>
  <w:style w:type="paragraph" w:styleId="Heading3">
    <w:name w:val="heading 3"/>
    <w:basedOn w:val="Normal"/>
    <w:next w:val="Normal"/>
    <w:link w:val="Heading3Char"/>
    <w:qFormat/>
    <w:rsid w:val="0028345D"/>
    <w:pPr>
      <w:keepNext/>
      <w:widowControl/>
      <w:suppressAutoHyphens w:val="0"/>
      <w:autoSpaceDE/>
      <w:autoSpaceDN/>
      <w:outlineLvl w:val="2"/>
    </w:pPr>
    <w:rPr>
      <w:rFonts w:ascii="CG Omega" w:eastAsia="Times New Roman" w:hAnsi="CG Omega"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2"/>
      <w:szCs w:val="12"/>
    </w:rPr>
  </w:style>
  <w:style w:type="paragraph" w:styleId="Title">
    <w:name w:val="Title"/>
    <w:basedOn w:val="Normal"/>
    <w:uiPriority w:val="10"/>
    <w:qFormat/>
    <w:pPr>
      <w:spacing w:before="68"/>
      <w:ind w:left="1130"/>
    </w:pPr>
    <w:rPr>
      <w:rFonts w:ascii="Tahoma" w:eastAsia="Tahoma" w:hAnsi="Tahoma" w:cs="Tahoma"/>
      <w:b/>
      <w:bCs/>
      <w:sz w:val="18"/>
      <w:szCs w:val="18"/>
    </w:rPr>
  </w:style>
  <w:style w:type="paragraph" w:styleId="ListParagraph">
    <w:name w:val="List Paragraph"/>
    <w:basedOn w:val="Normal"/>
    <w:link w:val="ListParagraphChar"/>
    <w:uiPriority w:val="34"/>
    <w:qFormat/>
  </w:style>
  <w:style w:type="paragraph" w:customStyle="1" w:styleId="TableParagraph">
    <w:name w:val="Table Paragraph"/>
    <w:basedOn w:val="Normal"/>
    <w:rPr>
      <w:rFonts w:ascii="Times New Roman" w:eastAsia="Times New Roman" w:hAnsi="Times New Roman" w:cs="Times New Roman"/>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Palatino Linotype" w:eastAsia="Palatino Linotype" w:hAnsi="Palatino Linotype" w:cs="Palatino Linotyp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Palatino Linotype" w:eastAsia="Palatino Linotype" w:hAnsi="Palatino Linotype" w:cs="Palatino Linotype"/>
    </w:rPr>
  </w:style>
  <w:style w:type="character" w:customStyle="1" w:styleId="BodyTextChar">
    <w:name w:val="Body Text Char"/>
    <w:basedOn w:val="DefaultParagraphFont"/>
    <w:rPr>
      <w:rFonts w:ascii="Palatino Linotype" w:eastAsia="Palatino Linotype" w:hAnsi="Palatino Linotype" w:cs="Palatino Linotype"/>
      <w:sz w:val="12"/>
      <w:szCs w:val="12"/>
    </w:rPr>
  </w:style>
  <w:style w:type="character" w:customStyle="1" w:styleId="TitleChar">
    <w:name w:val="Title Char"/>
    <w:basedOn w:val="DefaultParagraphFont"/>
    <w:uiPriority w:val="10"/>
    <w:rPr>
      <w:rFonts w:ascii="Tahoma" w:eastAsia="Tahoma" w:hAnsi="Tahoma" w:cs="Tahoma"/>
      <w:b/>
      <w:bCs/>
      <w:sz w:val="18"/>
      <w:szCs w:val="18"/>
    </w:rPr>
  </w:style>
  <w:style w:type="character" w:customStyle="1" w:styleId="Heading3Char">
    <w:name w:val="Heading 3 Char"/>
    <w:basedOn w:val="DefaultParagraphFont"/>
    <w:link w:val="Heading3"/>
    <w:rsid w:val="0028345D"/>
    <w:rPr>
      <w:rFonts w:ascii="CG Omega" w:eastAsia="Times New Roman" w:hAnsi="CG Omega" w:cs="Times New Roman"/>
      <w:b/>
      <w:sz w:val="24"/>
      <w:szCs w:val="20"/>
      <w:lang w:val="en-GB"/>
    </w:rPr>
  </w:style>
  <w:style w:type="character" w:styleId="Hyperlink">
    <w:name w:val="Hyperlink"/>
    <w:basedOn w:val="DefaultParagraphFont"/>
    <w:uiPriority w:val="99"/>
    <w:unhideWhenUsed/>
    <w:rsid w:val="0028345D"/>
    <w:rPr>
      <w:color w:val="467886" w:themeColor="hyperlink"/>
      <w:u w:val="single"/>
    </w:rPr>
  </w:style>
  <w:style w:type="paragraph" w:styleId="FootnoteText">
    <w:name w:val="footnote text"/>
    <w:basedOn w:val="Normal"/>
    <w:link w:val="FootnoteTextChar"/>
    <w:uiPriority w:val="99"/>
    <w:semiHidden/>
    <w:unhideWhenUsed/>
    <w:rsid w:val="002E6B8C"/>
    <w:rPr>
      <w:sz w:val="20"/>
      <w:szCs w:val="20"/>
    </w:rPr>
  </w:style>
  <w:style w:type="character" w:customStyle="1" w:styleId="FootnoteTextChar">
    <w:name w:val="Footnote Text Char"/>
    <w:basedOn w:val="DefaultParagraphFont"/>
    <w:link w:val="FootnoteText"/>
    <w:uiPriority w:val="99"/>
    <w:semiHidden/>
    <w:rsid w:val="002E6B8C"/>
    <w:rPr>
      <w:rFonts w:ascii="Palatino Linotype" w:eastAsia="Palatino Linotype" w:hAnsi="Palatino Linotype" w:cs="Palatino Linotype"/>
      <w:sz w:val="20"/>
      <w:szCs w:val="20"/>
    </w:rPr>
  </w:style>
  <w:style w:type="character" w:styleId="FootnoteReference">
    <w:name w:val="footnote reference"/>
    <w:basedOn w:val="DefaultParagraphFont"/>
    <w:uiPriority w:val="99"/>
    <w:semiHidden/>
    <w:unhideWhenUsed/>
    <w:rsid w:val="002E6B8C"/>
    <w:rPr>
      <w:vertAlign w:val="superscript"/>
    </w:rPr>
  </w:style>
  <w:style w:type="character" w:styleId="UnresolvedMention">
    <w:name w:val="Unresolved Mention"/>
    <w:basedOn w:val="DefaultParagraphFont"/>
    <w:uiPriority w:val="99"/>
    <w:semiHidden/>
    <w:unhideWhenUsed/>
    <w:rsid w:val="002E6B8C"/>
    <w:rPr>
      <w:color w:val="605E5C"/>
      <w:shd w:val="clear" w:color="auto" w:fill="E1DFDD"/>
    </w:rPr>
  </w:style>
  <w:style w:type="character" w:customStyle="1" w:styleId="ListParagraphChar">
    <w:name w:val="List Paragraph Char"/>
    <w:link w:val="ListParagraph"/>
    <w:uiPriority w:val="34"/>
    <w:locked/>
    <w:rsid w:val="005E38E5"/>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info@hbf.co.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tirementhousinggroup.com/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9" ma:contentTypeDescription="Create a new document." ma:contentTypeScope="" ma:versionID="eaa070a7ccaa9c3973c608e2e51349ff">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8f2a6c3626e9a5f922790ed30f5754dd"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244DF-8A2A-4A3C-A633-A12A5C605D78}">
  <ds:schemaRefs>
    <ds:schemaRef ds:uri="http://schemas.openxmlformats.org/officeDocument/2006/bibliography"/>
  </ds:schemaRefs>
</ds:datastoreItem>
</file>

<file path=customXml/itemProps2.xml><?xml version="1.0" encoding="utf-8"?>
<ds:datastoreItem xmlns:ds="http://schemas.openxmlformats.org/officeDocument/2006/customXml" ds:itemID="{AD26CD54-8697-499A-A9B3-EEE529F89003}">
  <ds:schemaRefs>
    <ds:schemaRef ds:uri="http://schemas.microsoft.com/sharepoint/v3/contenttype/forms"/>
  </ds:schemaRefs>
</ds:datastoreItem>
</file>

<file path=customXml/itemProps3.xml><?xml version="1.0" encoding="utf-8"?>
<ds:datastoreItem xmlns:ds="http://schemas.openxmlformats.org/officeDocument/2006/customXml" ds:itemID="{50443463-5719-4AD6-972E-563CDF6B8828}">
  <ds:schemaRefs>
    <ds:schemaRef ds:uri="http://schemas.microsoft.com/office/2006/metadata/properties"/>
    <ds:schemaRef ds:uri="http://schemas.microsoft.com/office/infopath/2007/PartnerControls"/>
    <ds:schemaRef ds:uri="382e5495-6889-451e-8447-25219879d4f2"/>
    <ds:schemaRef ds:uri="98c4065d-ab90-4030-91ac-239e56608fbb"/>
  </ds:schemaRefs>
</ds:datastoreItem>
</file>

<file path=customXml/itemProps4.xml><?xml version="1.0" encoding="utf-8"?>
<ds:datastoreItem xmlns:ds="http://schemas.openxmlformats.org/officeDocument/2006/customXml" ds:itemID="{8E15FDF8-00FF-426A-9009-1FA307427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5495-6889-451e-8447-25219879d4f2"/>
    <ds:schemaRef ds:uri="98c4065d-ab90-4030-91ac-239e5660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9</Pages>
  <Words>4085</Words>
  <Characters>20467</Characters>
  <Application>Microsoft Office Word</Application>
  <DocSecurity>0</DocSecurity>
  <Lines>269</Lines>
  <Paragraphs>72</Paragraphs>
  <ScaleCrop>false</ScaleCrop>
  <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Calder</dc:creator>
  <cp:lastModifiedBy>Mark Behrendt</cp:lastModifiedBy>
  <cp:revision>500</cp:revision>
  <dcterms:created xsi:type="dcterms:W3CDTF">2025-11-25T09:26:00Z</dcterms:created>
  <dcterms:modified xsi:type="dcterms:W3CDTF">2025-11-26T16:48:00Z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Adobe InDesign 20.1 (Windows)</vt:lpwstr>
  </property>
  <property fmtid="{D5CDD505-2E9C-101B-9397-08002B2CF9AE}" pid="4" name="LastSaved">
    <vt:filetime>2025-02-14T00:00:00Z</vt:filetime>
  </property>
  <property fmtid="{D5CDD505-2E9C-101B-9397-08002B2CF9AE}" pid="5" name="Producer">
    <vt:lpwstr>Adobe PDF Library 17.0</vt:lpwstr>
  </property>
  <property fmtid="{D5CDD505-2E9C-101B-9397-08002B2CF9AE}" pid="6" name="ContentTypeId">
    <vt:lpwstr>0x0101005ACEACC4E1CDCF488D376413A381FD22</vt:lpwstr>
  </property>
  <property fmtid="{D5CDD505-2E9C-101B-9397-08002B2CF9AE}" pid="7" name="MediaServiceImageTags">
    <vt:lpwstr/>
  </property>
</Properties>
</file>