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653CF" w14:textId="6553AEC7" w:rsidR="005D2A00" w:rsidRDefault="005D2A00" w:rsidP="0032582C">
      <w:pPr>
        <w:spacing w:line="360" w:lineRule="auto"/>
        <w:rPr>
          <w:rFonts w:ascii="Arial" w:hAnsi="Arial" w:cs="Arial"/>
          <w:sz w:val="24"/>
        </w:rPr>
      </w:pPr>
      <w:r>
        <w:rPr>
          <w:rFonts w:ascii="Arial" w:hAnsi="Arial" w:cs="Arial"/>
          <w:noProof/>
          <w:sz w:val="24"/>
          <w:lang w:eastAsia="en-GB"/>
        </w:rPr>
        <w:drawing>
          <wp:anchor distT="0" distB="0" distL="114300" distR="114300" simplePos="0" relativeHeight="251658241" behindDoc="0" locked="0" layoutInCell="1" allowOverlap="1" wp14:anchorId="7939FD37" wp14:editId="40B42CE1">
            <wp:simplePos x="0" y="0"/>
            <wp:positionH relativeFrom="column">
              <wp:posOffset>4505325</wp:posOffset>
            </wp:positionH>
            <wp:positionV relativeFrom="paragraph">
              <wp:posOffset>-533400</wp:posOffset>
            </wp:positionV>
            <wp:extent cx="876300" cy="876300"/>
            <wp:effectExtent l="0" t="0" r="0" b="0"/>
            <wp:wrapNone/>
            <wp:docPr id="906797782" name="Picture 906797782" descr="A logo with a cast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797782" name="Picture 906797782" descr="A logo with a castle and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F2E6FD" w14:textId="77777777" w:rsidR="005D2A00" w:rsidRDefault="005D2A00" w:rsidP="0032582C">
      <w:pPr>
        <w:spacing w:line="360" w:lineRule="auto"/>
        <w:rPr>
          <w:rFonts w:ascii="Arial" w:hAnsi="Arial" w:cs="Arial"/>
          <w:sz w:val="24"/>
        </w:rPr>
      </w:pPr>
    </w:p>
    <w:p w14:paraId="185CC61F" w14:textId="69532835" w:rsidR="005D2A00" w:rsidRDefault="005D2A00" w:rsidP="00CF18E6">
      <w:pPr>
        <w:spacing w:line="360" w:lineRule="auto"/>
        <w:jc w:val="right"/>
        <w:rPr>
          <w:rFonts w:ascii="Arial" w:hAnsi="Arial" w:cs="Arial"/>
          <w:b/>
          <w:sz w:val="24"/>
          <w:szCs w:val="24"/>
        </w:rPr>
      </w:pPr>
      <w:r w:rsidRPr="00A6394A">
        <w:rPr>
          <w:rFonts w:ascii="Arial" w:hAnsi="Arial" w:cs="Arial"/>
          <w:b/>
          <w:sz w:val="24"/>
          <w:szCs w:val="24"/>
        </w:rPr>
        <w:t>Home Builders Federation</w:t>
      </w:r>
    </w:p>
    <w:p w14:paraId="2DABD707" w14:textId="77777777" w:rsidR="00CF18E6" w:rsidRPr="00A6394A" w:rsidRDefault="00CF18E6" w:rsidP="00CF18E6">
      <w:pPr>
        <w:spacing w:line="360" w:lineRule="auto"/>
        <w:jc w:val="right"/>
        <w:rPr>
          <w:rFonts w:ascii="Arial" w:hAnsi="Arial" w:cs="Arial"/>
          <w:b/>
          <w:sz w:val="24"/>
          <w:szCs w:val="24"/>
        </w:rPr>
      </w:pPr>
    </w:p>
    <w:p w14:paraId="3A295C2B" w14:textId="3E4B0023" w:rsidR="005D2A00" w:rsidRPr="00A6394A" w:rsidRDefault="005D2A00" w:rsidP="0032582C">
      <w:pPr>
        <w:spacing w:line="360" w:lineRule="auto"/>
        <w:ind w:firstLine="720"/>
        <w:jc w:val="right"/>
        <w:rPr>
          <w:rFonts w:ascii="Arial" w:hAnsi="Arial" w:cs="Arial"/>
          <w:b/>
          <w:sz w:val="24"/>
          <w:szCs w:val="24"/>
        </w:rPr>
      </w:pPr>
      <w:r w:rsidRPr="00A6394A">
        <w:rPr>
          <w:rFonts w:ascii="Arial" w:hAnsi="Arial" w:cs="Arial"/>
          <w:b/>
          <w:sz w:val="24"/>
          <w:szCs w:val="24"/>
        </w:rPr>
        <w:t xml:space="preserve">Matter </w:t>
      </w:r>
      <w:r w:rsidR="0074583A">
        <w:rPr>
          <w:rFonts w:ascii="Arial" w:hAnsi="Arial" w:cs="Arial"/>
          <w:b/>
          <w:sz w:val="24"/>
          <w:szCs w:val="24"/>
        </w:rPr>
        <w:t>3</w:t>
      </w:r>
    </w:p>
    <w:p w14:paraId="5FC1AD58" w14:textId="77777777" w:rsidR="005D2A00" w:rsidRPr="00A6394A" w:rsidRDefault="005D2A00" w:rsidP="0032582C">
      <w:pPr>
        <w:spacing w:line="360" w:lineRule="auto"/>
        <w:rPr>
          <w:rFonts w:ascii="Arial" w:hAnsi="Arial" w:cs="Arial"/>
          <w:b/>
          <w:sz w:val="24"/>
          <w:szCs w:val="24"/>
        </w:rPr>
      </w:pPr>
    </w:p>
    <w:p w14:paraId="2423ED00" w14:textId="77777777" w:rsidR="005D2A00" w:rsidRPr="00A6394A" w:rsidRDefault="005D2A00" w:rsidP="0032582C">
      <w:pPr>
        <w:spacing w:line="360" w:lineRule="auto"/>
        <w:jc w:val="both"/>
        <w:rPr>
          <w:rFonts w:ascii="Arial" w:hAnsi="Arial" w:cs="Arial"/>
          <w:b/>
          <w:caps/>
          <w:sz w:val="24"/>
          <w:szCs w:val="24"/>
        </w:rPr>
      </w:pPr>
      <w:r>
        <w:rPr>
          <w:rFonts w:ascii="Arial" w:hAnsi="Arial" w:cs="Arial"/>
          <w:b/>
          <w:caps/>
          <w:sz w:val="24"/>
          <w:szCs w:val="24"/>
        </w:rPr>
        <w:t>North norfolk</w:t>
      </w:r>
      <w:r w:rsidRPr="00A6394A">
        <w:rPr>
          <w:rFonts w:ascii="Arial" w:hAnsi="Arial" w:cs="Arial"/>
          <w:b/>
          <w:caps/>
          <w:sz w:val="24"/>
          <w:szCs w:val="24"/>
        </w:rPr>
        <w:t xml:space="preserve"> Local Plan Examination</w:t>
      </w:r>
    </w:p>
    <w:p w14:paraId="1147DF49" w14:textId="77777777" w:rsidR="005D2A00" w:rsidRPr="00A6394A" w:rsidRDefault="005D2A00" w:rsidP="0032582C">
      <w:pPr>
        <w:spacing w:line="360" w:lineRule="auto"/>
        <w:jc w:val="both"/>
        <w:rPr>
          <w:rFonts w:ascii="Arial" w:hAnsi="Arial" w:cs="Arial"/>
          <w:b/>
          <w:sz w:val="24"/>
          <w:szCs w:val="24"/>
        </w:rPr>
      </w:pPr>
    </w:p>
    <w:p w14:paraId="59D3B83A" w14:textId="77777777" w:rsidR="005E14F8" w:rsidRDefault="005E14F8" w:rsidP="0032582C">
      <w:pPr>
        <w:spacing w:line="360" w:lineRule="auto"/>
        <w:jc w:val="both"/>
        <w:rPr>
          <w:rFonts w:ascii="Arial" w:hAnsi="Arial" w:cs="Arial"/>
          <w:sz w:val="22"/>
          <w:szCs w:val="22"/>
        </w:rPr>
      </w:pPr>
      <w:r w:rsidRPr="00BE675F">
        <w:rPr>
          <w:rFonts w:ascii="Arial" w:hAnsi="Arial" w:cs="Arial"/>
          <w:b/>
          <w:bCs/>
          <w:sz w:val="22"/>
          <w:szCs w:val="22"/>
        </w:rPr>
        <w:t xml:space="preserve">Matter </w:t>
      </w:r>
      <w:r>
        <w:rPr>
          <w:rFonts w:ascii="Arial" w:hAnsi="Arial" w:cs="Arial"/>
          <w:b/>
          <w:bCs/>
          <w:sz w:val="22"/>
          <w:szCs w:val="22"/>
        </w:rPr>
        <w:t>3:</w:t>
      </w:r>
      <w:r w:rsidRPr="00BE675F">
        <w:rPr>
          <w:rFonts w:ascii="Arial" w:hAnsi="Arial" w:cs="Arial"/>
          <w:b/>
          <w:bCs/>
          <w:sz w:val="22"/>
          <w:szCs w:val="22"/>
        </w:rPr>
        <w:t xml:space="preserve"> </w:t>
      </w:r>
      <w:r>
        <w:rPr>
          <w:rFonts w:ascii="Arial" w:hAnsi="Arial" w:cs="Arial"/>
          <w:b/>
          <w:bCs/>
          <w:sz w:val="22"/>
          <w:szCs w:val="22"/>
        </w:rPr>
        <w:t>Delivering Sufficient Homes (Policy HOU1)</w:t>
      </w:r>
    </w:p>
    <w:p w14:paraId="2A4F74AB" w14:textId="77777777" w:rsidR="005E14F8" w:rsidRDefault="005E14F8" w:rsidP="0032582C">
      <w:pPr>
        <w:spacing w:line="360" w:lineRule="auto"/>
        <w:jc w:val="both"/>
        <w:rPr>
          <w:rFonts w:ascii="Arial" w:hAnsi="Arial" w:cs="Arial"/>
          <w:sz w:val="22"/>
          <w:szCs w:val="22"/>
        </w:rPr>
      </w:pPr>
    </w:p>
    <w:p w14:paraId="453B97AB" w14:textId="77777777" w:rsidR="005E14F8" w:rsidRPr="007F02E8" w:rsidRDefault="005E14F8" w:rsidP="0032582C">
      <w:pPr>
        <w:spacing w:line="360" w:lineRule="auto"/>
        <w:jc w:val="both"/>
        <w:rPr>
          <w:rFonts w:ascii="Arial" w:hAnsi="Arial" w:cs="Arial"/>
          <w:b/>
          <w:bCs/>
          <w:sz w:val="22"/>
          <w:szCs w:val="22"/>
        </w:rPr>
      </w:pPr>
      <w:r w:rsidRPr="007F02E8">
        <w:rPr>
          <w:rFonts w:ascii="Arial" w:hAnsi="Arial" w:cs="Arial"/>
          <w:b/>
          <w:bCs/>
          <w:sz w:val="22"/>
          <w:szCs w:val="22"/>
        </w:rPr>
        <w:t>Issue: Whether the plan is justified, positively prepared and consistent with national policy in relation to the overall provision of housing.</w:t>
      </w:r>
    </w:p>
    <w:p w14:paraId="1A3642E8" w14:textId="77777777" w:rsidR="005E14F8" w:rsidRPr="007F02E8" w:rsidRDefault="005E14F8" w:rsidP="0032582C">
      <w:pPr>
        <w:spacing w:line="360" w:lineRule="auto"/>
        <w:jc w:val="both"/>
        <w:rPr>
          <w:rFonts w:ascii="Arial" w:hAnsi="Arial" w:cs="Arial"/>
          <w:sz w:val="22"/>
          <w:szCs w:val="22"/>
        </w:rPr>
      </w:pPr>
    </w:p>
    <w:p w14:paraId="2EB17235" w14:textId="77777777" w:rsidR="005E14F8" w:rsidRPr="00CA7991" w:rsidRDefault="005E14F8" w:rsidP="0032582C">
      <w:pPr>
        <w:spacing w:line="360" w:lineRule="auto"/>
        <w:jc w:val="both"/>
        <w:rPr>
          <w:rFonts w:ascii="Arial" w:hAnsi="Arial" w:cs="Arial"/>
          <w:i/>
          <w:iCs/>
          <w:sz w:val="22"/>
          <w:szCs w:val="22"/>
          <w:u w:val="single"/>
        </w:rPr>
      </w:pPr>
      <w:r w:rsidRPr="00CA7991">
        <w:rPr>
          <w:rFonts w:ascii="Arial" w:hAnsi="Arial" w:cs="Arial"/>
          <w:i/>
          <w:iCs/>
          <w:sz w:val="22"/>
          <w:szCs w:val="22"/>
          <w:u w:val="single"/>
        </w:rPr>
        <w:t>3.1 Attention is drawn to the report ‘The Possible Impact of Second and Holiday Homes in North Norfolk’ (Document E4). Should the prevalence of second and/or holiday homes in North Norfolk have any bearing on the quantity of housing that should be provided in the district over the plan period, and if so, how? Would occupancy restrictions be justified on new market housing in some areas or some circumstances? Should a policy be included in the plan on the basis that controls on the change of use to second or holiday homes may be introduced in future?</w:t>
      </w:r>
    </w:p>
    <w:p w14:paraId="6877305F" w14:textId="77777777" w:rsidR="005E14F8" w:rsidRDefault="005E14F8" w:rsidP="0032582C">
      <w:pPr>
        <w:spacing w:line="360" w:lineRule="auto"/>
        <w:jc w:val="both"/>
        <w:rPr>
          <w:rFonts w:ascii="Arial" w:hAnsi="Arial" w:cs="Arial"/>
          <w:sz w:val="22"/>
          <w:szCs w:val="22"/>
        </w:rPr>
      </w:pPr>
    </w:p>
    <w:p w14:paraId="3F87938A" w14:textId="3E226835" w:rsidR="005E14F8" w:rsidRDefault="00514E38" w:rsidP="0032582C">
      <w:pPr>
        <w:spacing w:line="360" w:lineRule="auto"/>
        <w:jc w:val="both"/>
        <w:rPr>
          <w:rFonts w:ascii="Arial" w:hAnsi="Arial" w:cs="Arial"/>
          <w:sz w:val="22"/>
          <w:szCs w:val="22"/>
        </w:rPr>
      </w:pPr>
      <w:r>
        <w:rPr>
          <w:rFonts w:ascii="Arial" w:hAnsi="Arial" w:cs="Arial"/>
          <w:sz w:val="22"/>
          <w:szCs w:val="22"/>
        </w:rPr>
        <w:t>No comment.</w:t>
      </w:r>
    </w:p>
    <w:p w14:paraId="4F33E59B" w14:textId="77777777" w:rsidR="005E14F8" w:rsidRPr="007F02E8" w:rsidRDefault="005E14F8" w:rsidP="0032582C">
      <w:pPr>
        <w:spacing w:line="360" w:lineRule="auto"/>
        <w:jc w:val="both"/>
        <w:rPr>
          <w:rFonts w:ascii="Arial" w:hAnsi="Arial" w:cs="Arial"/>
          <w:sz w:val="22"/>
          <w:szCs w:val="22"/>
        </w:rPr>
      </w:pPr>
    </w:p>
    <w:p w14:paraId="14FC484C" w14:textId="77777777" w:rsidR="005E14F8" w:rsidRPr="00D35448" w:rsidRDefault="005E14F8" w:rsidP="0032582C">
      <w:pPr>
        <w:spacing w:line="360" w:lineRule="auto"/>
        <w:jc w:val="both"/>
        <w:rPr>
          <w:rFonts w:ascii="Arial" w:hAnsi="Arial" w:cs="Arial"/>
          <w:i/>
          <w:iCs/>
          <w:sz w:val="22"/>
          <w:szCs w:val="22"/>
          <w:u w:val="single"/>
        </w:rPr>
      </w:pPr>
      <w:r w:rsidRPr="00D35448">
        <w:rPr>
          <w:rFonts w:ascii="Arial" w:hAnsi="Arial" w:cs="Arial"/>
          <w:i/>
          <w:iCs/>
          <w:sz w:val="22"/>
          <w:szCs w:val="22"/>
          <w:u w:val="single"/>
        </w:rPr>
        <w:t>3.2 Is the approach in Policy HOU1 of counting elderly persons accommodation on allocated sites ‘at a ratio of each 1.5 units ... being equivalent to a single dwelling’ (paragraph 7.1.11) justified and consistent with national policy? Should this just refer to Use Class C2 (residential institutions) with specialist elderly persons accommodation in Use Class C3 (dwelling houses) counted individually? Can the Council itemise how the numbers in the column are made up?</w:t>
      </w:r>
    </w:p>
    <w:p w14:paraId="2D6E4F0C" w14:textId="77777777" w:rsidR="005E14F8" w:rsidRDefault="005E14F8" w:rsidP="0032582C">
      <w:pPr>
        <w:spacing w:line="360" w:lineRule="auto"/>
        <w:jc w:val="both"/>
        <w:rPr>
          <w:rFonts w:ascii="Arial" w:hAnsi="Arial" w:cs="Arial"/>
          <w:sz w:val="22"/>
          <w:szCs w:val="22"/>
        </w:rPr>
      </w:pPr>
    </w:p>
    <w:p w14:paraId="7BDB451D" w14:textId="54C8E5A2" w:rsidR="005E14F8" w:rsidRDefault="005E14F8" w:rsidP="0032582C">
      <w:pPr>
        <w:spacing w:line="360" w:lineRule="auto"/>
        <w:jc w:val="both"/>
        <w:rPr>
          <w:rFonts w:ascii="Arial" w:hAnsi="Arial" w:cs="Arial"/>
          <w:sz w:val="22"/>
          <w:szCs w:val="22"/>
        </w:rPr>
      </w:pPr>
      <w:r>
        <w:rPr>
          <w:rFonts w:ascii="Arial" w:hAnsi="Arial" w:cs="Arial"/>
          <w:sz w:val="22"/>
          <w:szCs w:val="22"/>
        </w:rPr>
        <w:t>The Housing Delivery Test (HDT) takes account of communal accommodation through th</w:t>
      </w:r>
      <w:r w:rsidR="00514E38">
        <w:rPr>
          <w:rFonts w:ascii="Arial" w:hAnsi="Arial" w:cs="Arial"/>
          <w:sz w:val="22"/>
          <w:szCs w:val="22"/>
        </w:rPr>
        <w:t>e</w:t>
      </w:r>
      <w:r>
        <w:rPr>
          <w:rFonts w:ascii="Arial" w:hAnsi="Arial" w:cs="Arial"/>
          <w:sz w:val="22"/>
          <w:szCs w:val="22"/>
        </w:rPr>
        <w:t xml:space="preserve"> use of a ratio</w:t>
      </w:r>
      <w:r w:rsidR="005329F7">
        <w:rPr>
          <w:rFonts w:ascii="Arial" w:hAnsi="Arial" w:cs="Arial"/>
          <w:sz w:val="22"/>
          <w:szCs w:val="22"/>
        </w:rPr>
        <w:t xml:space="preserve"> in the same manner </w:t>
      </w:r>
      <w:r>
        <w:rPr>
          <w:rFonts w:ascii="Arial" w:hAnsi="Arial" w:cs="Arial"/>
          <w:sz w:val="22"/>
          <w:szCs w:val="22"/>
        </w:rPr>
        <w:t xml:space="preserve">as the council is proposing. The ratio used in the </w:t>
      </w:r>
      <w:r w:rsidR="00514E38">
        <w:rPr>
          <w:rFonts w:ascii="Arial" w:hAnsi="Arial" w:cs="Arial"/>
          <w:sz w:val="22"/>
          <w:szCs w:val="22"/>
        </w:rPr>
        <w:t>HDT</w:t>
      </w:r>
      <w:r>
        <w:rPr>
          <w:rFonts w:ascii="Arial" w:hAnsi="Arial" w:cs="Arial"/>
          <w:sz w:val="22"/>
          <w:szCs w:val="22"/>
        </w:rPr>
        <w:t xml:space="preserve"> for communal housing is 1.8. This ratio is used as an assessment as to how many homes might be freed up from the delivery of communal accommodation such as specialist accommodation for older people. It recognises that in some cases those </w:t>
      </w:r>
      <w:r>
        <w:rPr>
          <w:rFonts w:ascii="Arial" w:hAnsi="Arial" w:cs="Arial"/>
          <w:sz w:val="22"/>
          <w:szCs w:val="22"/>
        </w:rPr>
        <w:lastRenderedPageBreak/>
        <w:t>moving into specialist accommodation free up housing, but this will not be the case for all such accommodation. Therefore, the use of such a ratio is consistent with the approach to assessing housing delivery in HDT. The Council will however need to ensure that the 1.5 ratio used is justified on the basis of evidence locally.</w:t>
      </w:r>
    </w:p>
    <w:p w14:paraId="203E625F" w14:textId="77777777" w:rsidR="005E14F8" w:rsidRPr="007F02E8" w:rsidRDefault="005E14F8" w:rsidP="0032582C">
      <w:pPr>
        <w:spacing w:line="360" w:lineRule="auto"/>
        <w:jc w:val="both"/>
        <w:rPr>
          <w:rFonts w:ascii="Arial" w:hAnsi="Arial" w:cs="Arial"/>
          <w:sz w:val="22"/>
          <w:szCs w:val="22"/>
        </w:rPr>
      </w:pPr>
    </w:p>
    <w:p w14:paraId="698FFDBA" w14:textId="4E47B0D4" w:rsidR="006928D1" w:rsidRPr="00E64988" w:rsidRDefault="005E14F8" w:rsidP="0032582C">
      <w:pPr>
        <w:spacing w:line="360" w:lineRule="auto"/>
        <w:jc w:val="both"/>
        <w:rPr>
          <w:rFonts w:ascii="Arial" w:hAnsi="Arial" w:cs="Arial"/>
          <w:i/>
          <w:iCs/>
          <w:sz w:val="22"/>
          <w:szCs w:val="22"/>
          <w:u w:val="single"/>
        </w:rPr>
      </w:pPr>
      <w:r w:rsidRPr="00A12582">
        <w:rPr>
          <w:rFonts w:ascii="Arial" w:hAnsi="Arial" w:cs="Arial"/>
          <w:i/>
          <w:iCs/>
          <w:sz w:val="22"/>
          <w:szCs w:val="22"/>
          <w:u w:val="single"/>
        </w:rPr>
        <w:t xml:space="preserve">3.3 Is the Council’s bespoke variation to the standard method for calculating local housing need, using the 2016 based household projections and arriving at a figure of 480 dwellings per annum (dpa), 9,600 dwellings over a </w:t>
      </w:r>
      <w:r w:rsidR="00A07437" w:rsidRPr="00A12582">
        <w:rPr>
          <w:rFonts w:ascii="Arial" w:hAnsi="Arial" w:cs="Arial"/>
          <w:i/>
          <w:iCs/>
          <w:sz w:val="22"/>
          <w:szCs w:val="22"/>
          <w:u w:val="single"/>
        </w:rPr>
        <w:t>20-year</w:t>
      </w:r>
      <w:r w:rsidRPr="00A12582">
        <w:rPr>
          <w:rFonts w:ascii="Arial" w:hAnsi="Arial" w:cs="Arial"/>
          <w:i/>
          <w:iCs/>
          <w:sz w:val="22"/>
          <w:szCs w:val="22"/>
          <w:u w:val="single"/>
        </w:rPr>
        <w:t xml:space="preserve"> plan period, justified and consistent with national policy? Is it based on realistic assumptions of demographic growth? Is there robust evidence of exceptional local circumstances that might justify the alternative approach, and how unique are these to North Norfolk?</w:t>
      </w:r>
    </w:p>
    <w:p w14:paraId="4F65CE3F" w14:textId="77777777" w:rsidR="00152668" w:rsidRDefault="00152668" w:rsidP="0032582C">
      <w:pPr>
        <w:spacing w:line="360" w:lineRule="auto"/>
        <w:jc w:val="both"/>
        <w:rPr>
          <w:rFonts w:ascii="Arial" w:hAnsi="Arial" w:cs="Arial"/>
          <w:sz w:val="22"/>
          <w:szCs w:val="22"/>
        </w:rPr>
      </w:pPr>
    </w:p>
    <w:p w14:paraId="6C2392B2" w14:textId="3597D90A" w:rsidR="005E14F8" w:rsidRDefault="009A15AC" w:rsidP="0032582C">
      <w:pPr>
        <w:spacing w:line="360" w:lineRule="auto"/>
        <w:jc w:val="both"/>
        <w:rPr>
          <w:rFonts w:ascii="Arial" w:hAnsi="Arial" w:cs="Arial"/>
          <w:sz w:val="22"/>
          <w:szCs w:val="22"/>
        </w:rPr>
      </w:pPr>
      <w:r>
        <w:rPr>
          <w:rFonts w:ascii="Arial" w:hAnsi="Arial" w:cs="Arial"/>
          <w:sz w:val="22"/>
          <w:szCs w:val="22"/>
        </w:rPr>
        <w:t>The Council’s approach is n</w:t>
      </w:r>
      <w:r w:rsidR="008759D7">
        <w:rPr>
          <w:rFonts w:ascii="Arial" w:hAnsi="Arial" w:cs="Arial"/>
          <w:sz w:val="22"/>
          <w:szCs w:val="22"/>
        </w:rPr>
        <w:t>ei</w:t>
      </w:r>
      <w:r>
        <w:rPr>
          <w:rFonts w:ascii="Arial" w:hAnsi="Arial" w:cs="Arial"/>
          <w:sz w:val="22"/>
          <w:szCs w:val="22"/>
        </w:rPr>
        <w:t>ther justified nor consistent wit</w:t>
      </w:r>
      <w:r w:rsidR="008759D7">
        <w:rPr>
          <w:rFonts w:ascii="Arial" w:hAnsi="Arial" w:cs="Arial"/>
          <w:sz w:val="22"/>
          <w:szCs w:val="22"/>
        </w:rPr>
        <w:t xml:space="preserve">h national policy. </w:t>
      </w:r>
      <w:r w:rsidR="005E14F8">
        <w:rPr>
          <w:rFonts w:ascii="Arial" w:hAnsi="Arial" w:cs="Arial"/>
          <w:sz w:val="22"/>
          <w:szCs w:val="22"/>
        </w:rPr>
        <w:t>Paragraph 61 of the NPPF establishes that in exceptional circumstances an alternative approach to the standard method can be used. This is clarified in paragraph 2a-015 of PPG which states:</w:t>
      </w:r>
    </w:p>
    <w:p w14:paraId="2BBFB392" w14:textId="77777777" w:rsidR="005E14F8" w:rsidRDefault="005E14F8" w:rsidP="0032582C">
      <w:pPr>
        <w:spacing w:line="360" w:lineRule="auto"/>
        <w:jc w:val="both"/>
        <w:rPr>
          <w:rFonts w:ascii="Arial" w:hAnsi="Arial" w:cs="Arial"/>
          <w:sz w:val="22"/>
          <w:szCs w:val="22"/>
        </w:rPr>
      </w:pPr>
    </w:p>
    <w:p w14:paraId="7458BA15" w14:textId="77777777" w:rsidR="005E14F8" w:rsidRPr="00007710" w:rsidRDefault="005E14F8" w:rsidP="0032582C">
      <w:pPr>
        <w:spacing w:line="360" w:lineRule="auto"/>
        <w:ind w:left="567" w:right="657"/>
        <w:jc w:val="both"/>
        <w:rPr>
          <w:rFonts w:ascii="Arial" w:hAnsi="Arial" w:cs="Arial"/>
          <w:i/>
          <w:iCs/>
          <w:sz w:val="22"/>
          <w:szCs w:val="22"/>
        </w:rPr>
      </w:pPr>
      <w:r w:rsidRPr="00007710">
        <w:rPr>
          <w:rFonts w:ascii="Arial" w:hAnsi="Arial" w:cs="Arial"/>
          <w:i/>
          <w:iCs/>
          <w:sz w:val="22"/>
          <w:szCs w:val="22"/>
        </w:rPr>
        <w:t>“Where an alternative approach results in a lower housing need figure than that identified using the standard method, the strategic policy-making authority will need to demonstrate, using robust evidence, that the figure is based on realistic assumptions of demographic growth and that there are exceptional local circumstances that justify deviating from the standard method. This will be tested at examination.</w:t>
      </w:r>
    </w:p>
    <w:p w14:paraId="0AE7B3DD" w14:textId="77777777" w:rsidR="005E14F8" w:rsidRPr="00007710" w:rsidRDefault="005E14F8" w:rsidP="0032582C">
      <w:pPr>
        <w:spacing w:line="360" w:lineRule="auto"/>
        <w:ind w:left="567" w:right="657"/>
        <w:jc w:val="both"/>
        <w:rPr>
          <w:rFonts w:ascii="Arial" w:hAnsi="Arial" w:cs="Arial"/>
          <w:i/>
          <w:iCs/>
          <w:sz w:val="22"/>
          <w:szCs w:val="22"/>
        </w:rPr>
      </w:pPr>
    </w:p>
    <w:p w14:paraId="75EBDF0D" w14:textId="77777777" w:rsidR="005E14F8" w:rsidRPr="00007710" w:rsidRDefault="005E14F8" w:rsidP="0032582C">
      <w:pPr>
        <w:spacing w:line="360" w:lineRule="auto"/>
        <w:ind w:left="567" w:right="657"/>
        <w:jc w:val="both"/>
        <w:rPr>
          <w:rFonts w:ascii="Arial" w:hAnsi="Arial" w:cs="Arial"/>
          <w:i/>
          <w:iCs/>
          <w:sz w:val="22"/>
          <w:szCs w:val="22"/>
        </w:rPr>
      </w:pPr>
      <w:r w:rsidRPr="00007710">
        <w:rPr>
          <w:rFonts w:ascii="Arial" w:hAnsi="Arial" w:cs="Arial"/>
          <w:i/>
          <w:iCs/>
          <w:sz w:val="22"/>
          <w:szCs w:val="22"/>
        </w:rPr>
        <w:t>Any method which relies on using household projections more recently published than the 2014-based household projections will not be considered to be following the standard method as set out in paragraph 60 of the National Planning Policy Framework. As explained above, it is not considered that these projections provide an appropriate basis for use in the standard method.”</w:t>
      </w:r>
    </w:p>
    <w:p w14:paraId="74D8F7A5" w14:textId="77777777" w:rsidR="005E14F8" w:rsidRDefault="005E14F8" w:rsidP="0032582C">
      <w:pPr>
        <w:spacing w:line="360" w:lineRule="auto"/>
        <w:jc w:val="both"/>
        <w:rPr>
          <w:rFonts w:ascii="Arial" w:hAnsi="Arial" w:cs="Arial"/>
          <w:sz w:val="22"/>
          <w:szCs w:val="22"/>
        </w:rPr>
      </w:pPr>
    </w:p>
    <w:p w14:paraId="6AE928C2" w14:textId="59C59233" w:rsidR="00EF5666" w:rsidRDefault="005E14F8" w:rsidP="0032582C">
      <w:pPr>
        <w:spacing w:line="360" w:lineRule="auto"/>
        <w:jc w:val="both"/>
        <w:rPr>
          <w:rFonts w:ascii="Arial" w:hAnsi="Arial" w:cs="Arial"/>
          <w:sz w:val="22"/>
          <w:szCs w:val="22"/>
        </w:rPr>
      </w:pPr>
      <w:r>
        <w:rPr>
          <w:rFonts w:ascii="Arial" w:hAnsi="Arial" w:cs="Arial"/>
          <w:sz w:val="22"/>
          <w:szCs w:val="22"/>
        </w:rPr>
        <w:t>The Government has continued with the use of the 2014</w:t>
      </w:r>
      <w:r w:rsidR="00813E13">
        <w:rPr>
          <w:rFonts w:ascii="Arial" w:hAnsi="Arial" w:cs="Arial"/>
          <w:sz w:val="22"/>
          <w:szCs w:val="22"/>
        </w:rPr>
        <w:t>-based</w:t>
      </w:r>
      <w:r>
        <w:rPr>
          <w:rFonts w:ascii="Arial" w:hAnsi="Arial" w:cs="Arial"/>
          <w:sz w:val="22"/>
          <w:szCs w:val="22"/>
        </w:rPr>
        <w:t xml:space="preserve"> projections</w:t>
      </w:r>
      <w:r w:rsidR="00CE2B8A">
        <w:rPr>
          <w:rFonts w:ascii="Arial" w:hAnsi="Arial" w:cs="Arial"/>
          <w:sz w:val="22"/>
          <w:szCs w:val="22"/>
        </w:rPr>
        <w:t xml:space="preserve"> despite criticism </w:t>
      </w:r>
      <w:r w:rsidR="005A7C66">
        <w:rPr>
          <w:rFonts w:ascii="Arial" w:hAnsi="Arial" w:cs="Arial"/>
          <w:sz w:val="22"/>
          <w:szCs w:val="22"/>
        </w:rPr>
        <w:t>and concerns that these do not reflect more recent projections of household growth</w:t>
      </w:r>
      <w:r>
        <w:rPr>
          <w:rFonts w:ascii="Arial" w:hAnsi="Arial" w:cs="Arial"/>
          <w:sz w:val="22"/>
          <w:szCs w:val="22"/>
        </w:rPr>
        <w:t xml:space="preserve">. </w:t>
      </w:r>
      <w:r w:rsidR="00E356C2">
        <w:rPr>
          <w:rFonts w:ascii="Arial" w:hAnsi="Arial" w:cs="Arial"/>
          <w:sz w:val="22"/>
          <w:szCs w:val="22"/>
        </w:rPr>
        <w:t>It should also be recognised that t</w:t>
      </w:r>
      <w:r w:rsidR="00F959E4">
        <w:rPr>
          <w:rFonts w:ascii="Arial" w:hAnsi="Arial" w:cs="Arial"/>
          <w:sz w:val="22"/>
          <w:szCs w:val="22"/>
        </w:rPr>
        <w:t xml:space="preserve">he latest NPPF published in December </w:t>
      </w:r>
      <w:r w:rsidR="007844FB">
        <w:rPr>
          <w:rFonts w:ascii="Arial" w:hAnsi="Arial" w:cs="Arial"/>
          <w:sz w:val="22"/>
          <w:szCs w:val="22"/>
        </w:rPr>
        <w:t xml:space="preserve">and its supporting guidance </w:t>
      </w:r>
      <w:r w:rsidR="00F959E4">
        <w:rPr>
          <w:rFonts w:ascii="Arial" w:hAnsi="Arial" w:cs="Arial"/>
          <w:sz w:val="22"/>
          <w:szCs w:val="22"/>
        </w:rPr>
        <w:t>continues</w:t>
      </w:r>
      <w:r w:rsidR="007844FB">
        <w:rPr>
          <w:rFonts w:ascii="Arial" w:hAnsi="Arial" w:cs="Arial"/>
          <w:sz w:val="22"/>
          <w:szCs w:val="22"/>
        </w:rPr>
        <w:t xml:space="preserve"> to require their use</w:t>
      </w:r>
      <w:r w:rsidR="00E356C2">
        <w:rPr>
          <w:rFonts w:ascii="Arial" w:hAnsi="Arial" w:cs="Arial"/>
          <w:sz w:val="22"/>
          <w:szCs w:val="22"/>
        </w:rPr>
        <w:t>.</w:t>
      </w:r>
      <w:r w:rsidR="00F959E4">
        <w:rPr>
          <w:rFonts w:ascii="Arial" w:hAnsi="Arial" w:cs="Arial"/>
          <w:sz w:val="22"/>
          <w:szCs w:val="22"/>
        </w:rPr>
        <w:t xml:space="preserve"> </w:t>
      </w:r>
      <w:r>
        <w:rPr>
          <w:rFonts w:ascii="Arial" w:hAnsi="Arial" w:cs="Arial"/>
          <w:sz w:val="22"/>
          <w:szCs w:val="22"/>
        </w:rPr>
        <w:t xml:space="preserve">The HBF </w:t>
      </w:r>
      <w:r w:rsidR="00EF5666">
        <w:rPr>
          <w:rFonts w:ascii="Arial" w:hAnsi="Arial" w:cs="Arial"/>
          <w:sz w:val="22"/>
          <w:szCs w:val="22"/>
        </w:rPr>
        <w:t>is aware</w:t>
      </w:r>
      <w:r>
        <w:rPr>
          <w:rFonts w:ascii="Arial" w:hAnsi="Arial" w:cs="Arial"/>
          <w:sz w:val="22"/>
          <w:szCs w:val="22"/>
        </w:rPr>
        <w:t xml:space="preserve"> that the </w:t>
      </w:r>
      <w:r>
        <w:rPr>
          <w:rFonts w:ascii="Arial" w:hAnsi="Arial" w:cs="Arial"/>
          <w:sz w:val="22"/>
          <w:szCs w:val="22"/>
        </w:rPr>
        <w:lastRenderedPageBreak/>
        <w:t xml:space="preserve">projections are now dated but it is clear that they reflect the government’s aims and objectives with regard to boosting the supply of housing across the country. </w:t>
      </w:r>
    </w:p>
    <w:p w14:paraId="20ABB9E1" w14:textId="77777777" w:rsidR="00EF5666" w:rsidRDefault="00EF5666" w:rsidP="0032582C">
      <w:pPr>
        <w:spacing w:line="360" w:lineRule="auto"/>
        <w:jc w:val="both"/>
        <w:rPr>
          <w:rFonts w:ascii="Arial" w:hAnsi="Arial" w:cs="Arial"/>
          <w:sz w:val="22"/>
          <w:szCs w:val="22"/>
        </w:rPr>
      </w:pPr>
    </w:p>
    <w:p w14:paraId="42A173F2" w14:textId="01CF4681" w:rsidR="005E14F8" w:rsidRDefault="00927A56" w:rsidP="0032582C">
      <w:pPr>
        <w:spacing w:line="360" w:lineRule="auto"/>
        <w:jc w:val="both"/>
        <w:rPr>
          <w:rFonts w:ascii="Arial" w:hAnsi="Arial" w:cs="Arial"/>
          <w:sz w:val="22"/>
          <w:szCs w:val="22"/>
        </w:rPr>
      </w:pPr>
      <w:r>
        <w:rPr>
          <w:rFonts w:ascii="Arial" w:hAnsi="Arial" w:cs="Arial"/>
          <w:sz w:val="22"/>
          <w:szCs w:val="22"/>
        </w:rPr>
        <w:t>With regard to</w:t>
      </w:r>
      <w:r w:rsidR="005E14F8">
        <w:rPr>
          <w:rFonts w:ascii="Arial" w:hAnsi="Arial" w:cs="Arial"/>
          <w:sz w:val="22"/>
          <w:szCs w:val="22"/>
        </w:rPr>
        <w:t xml:space="preserve"> the Council’s position </w:t>
      </w:r>
      <w:r>
        <w:rPr>
          <w:rFonts w:ascii="Arial" w:hAnsi="Arial" w:cs="Arial"/>
          <w:sz w:val="22"/>
          <w:szCs w:val="22"/>
        </w:rPr>
        <w:t>on</w:t>
      </w:r>
      <w:r w:rsidR="005E14F8">
        <w:rPr>
          <w:rFonts w:ascii="Arial" w:hAnsi="Arial" w:cs="Arial"/>
          <w:sz w:val="22"/>
          <w:szCs w:val="22"/>
        </w:rPr>
        <w:t xml:space="preserve"> unidentified population change the </w:t>
      </w:r>
      <w:r w:rsidR="00F96361">
        <w:rPr>
          <w:rFonts w:ascii="Arial" w:hAnsi="Arial" w:cs="Arial"/>
          <w:sz w:val="22"/>
          <w:szCs w:val="22"/>
        </w:rPr>
        <w:t xml:space="preserve">HBF do not question the </w:t>
      </w:r>
      <w:r w:rsidR="00AD0F50">
        <w:rPr>
          <w:rFonts w:ascii="Arial" w:hAnsi="Arial" w:cs="Arial"/>
          <w:sz w:val="22"/>
          <w:szCs w:val="22"/>
        </w:rPr>
        <w:t xml:space="preserve">discrepancy but </w:t>
      </w:r>
      <w:r w:rsidR="005E14F8">
        <w:rPr>
          <w:rFonts w:ascii="Arial" w:hAnsi="Arial" w:cs="Arial"/>
          <w:sz w:val="22"/>
          <w:szCs w:val="22"/>
        </w:rPr>
        <w:t>whether the</w:t>
      </w:r>
      <w:r w:rsidR="00AD0F50">
        <w:rPr>
          <w:rFonts w:ascii="Arial" w:hAnsi="Arial" w:cs="Arial"/>
          <w:sz w:val="22"/>
          <w:szCs w:val="22"/>
        </w:rPr>
        <w:t xml:space="preserve"> discrepancy is</w:t>
      </w:r>
      <w:r w:rsidR="005E14F8">
        <w:rPr>
          <w:rFonts w:ascii="Arial" w:hAnsi="Arial" w:cs="Arial"/>
          <w:sz w:val="22"/>
          <w:szCs w:val="22"/>
        </w:rPr>
        <w:t xml:space="preserve"> </w:t>
      </w:r>
      <w:r w:rsidR="00AD0F50">
        <w:rPr>
          <w:rFonts w:ascii="Arial" w:hAnsi="Arial" w:cs="Arial"/>
          <w:sz w:val="22"/>
          <w:szCs w:val="22"/>
        </w:rPr>
        <w:t>sufficiently</w:t>
      </w:r>
      <w:r w:rsidR="005E14F8">
        <w:rPr>
          <w:rFonts w:ascii="Arial" w:hAnsi="Arial" w:cs="Arial"/>
          <w:sz w:val="22"/>
          <w:szCs w:val="22"/>
        </w:rPr>
        <w:t xml:space="preserve"> substantial as to </w:t>
      </w:r>
      <w:r w:rsidR="00AD0F50">
        <w:rPr>
          <w:rFonts w:ascii="Arial" w:hAnsi="Arial" w:cs="Arial"/>
          <w:sz w:val="22"/>
          <w:szCs w:val="22"/>
        </w:rPr>
        <w:t xml:space="preserve">render </w:t>
      </w:r>
      <w:r w:rsidR="005E14F8">
        <w:rPr>
          <w:rFonts w:ascii="Arial" w:hAnsi="Arial" w:cs="Arial"/>
          <w:sz w:val="22"/>
          <w:szCs w:val="22"/>
        </w:rPr>
        <w:t xml:space="preserve">the level of growth proposed by the standard method to be unreasonable. </w:t>
      </w:r>
      <w:r w:rsidR="006F77B0">
        <w:rPr>
          <w:rFonts w:ascii="Arial" w:hAnsi="Arial" w:cs="Arial"/>
          <w:sz w:val="22"/>
          <w:szCs w:val="22"/>
        </w:rPr>
        <w:t>It is</w:t>
      </w:r>
      <w:r w:rsidR="00034B9F">
        <w:rPr>
          <w:rFonts w:ascii="Arial" w:hAnsi="Arial" w:cs="Arial"/>
          <w:sz w:val="22"/>
          <w:szCs w:val="22"/>
        </w:rPr>
        <w:t xml:space="preserve"> recognised </w:t>
      </w:r>
      <w:r w:rsidR="005E14F8">
        <w:rPr>
          <w:rFonts w:ascii="Arial" w:hAnsi="Arial" w:cs="Arial"/>
          <w:sz w:val="22"/>
          <w:szCs w:val="22"/>
        </w:rPr>
        <w:t>that the 2016</w:t>
      </w:r>
      <w:r w:rsidR="009B5307">
        <w:rPr>
          <w:rFonts w:ascii="Arial" w:hAnsi="Arial" w:cs="Arial"/>
          <w:sz w:val="22"/>
          <w:szCs w:val="22"/>
        </w:rPr>
        <w:t>-based</w:t>
      </w:r>
      <w:r w:rsidR="005E14F8">
        <w:rPr>
          <w:rFonts w:ascii="Arial" w:hAnsi="Arial" w:cs="Arial"/>
          <w:sz w:val="22"/>
          <w:szCs w:val="22"/>
        </w:rPr>
        <w:t xml:space="preserve"> projections result in lower household growth across the country</w:t>
      </w:r>
      <w:r w:rsidR="00271790">
        <w:rPr>
          <w:rFonts w:ascii="Arial" w:hAnsi="Arial" w:cs="Arial"/>
          <w:sz w:val="22"/>
          <w:szCs w:val="22"/>
        </w:rPr>
        <w:t>,</w:t>
      </w:r>
      <w:r w:rsidR="006F77B0">
        <w:rPr>
          <w:rFonts w:ascii="Arial" w:hAnsi="Arial" w:cs="Arial"/>
          <w:sz w:val="22"/>
          <w:szCs w:val="22"/>
        </w:rPr>
        <w:t xml:space="preserve"> with only </w:t>
      </w:r>
      <w:r w:rsidR="005F3102">
        <w:rPr>
          <w:rFonts w:ascii="Arial" w:hAnsi="Arial" w:cs="Arial"/>
          <w:sz w:val="22"/>
          <w:szCs w:val="22"/>
        </w:rPr>
        <w:t>11</w:t>
      </w:r>
      <w:r w:rsidR="006F77B0">
        <w:rPr>
          <w:rFonts w:ascii="Arial" w:hAnsi="Arial" w:cs="Arial"/>
          <w:sz w:val="22"/>
          <w:szCs w:val="22"/>
        </w:rPr>
        <w:t xml:space="preserve"> </w:t>
      </w:r>
      <w:r w:rsidR="00765493">
        <w:rPr>
          <w:rFonts w:ascii="Arial" w:hAnsi="Arial" w:cs="Arial"/>
          <w:sz w:val="22"/>
          <w:szCs w:val="22"/>
        </w:rPr>
        <w:t>authorities</w:t>
      </w:r>
      <w:r w:rsidR="006F77B0">
        <w:rPr>
          <w:rFonts w:ascii="Arial" w:hAnsi="Arial" w:cs="Arial"/>
          <w:sz w:val="22"/>
          <w:szCs w:val="22"/>
        </w:rPr>
        <w:t xml:space="preserve"> across the whole of the</w:t>
      </w:r>
      <w:r w:rsidR="001E3386">
        <w:rPr>
          <w:rFonts w:ascii="Arial" w:hAnsi="Arial" w:cs="Arial"/>
          <w:sz w:val="22"/>
          <w:szCs w:val="22"/>
        </w:rPr>
        <w:t xml:space="preserve"> London, the</w:t>
      </w:r>
      <w:r w:rsidR="006F77B0">
        <w:rPr>
          <w:rFonts w:ascii="Arial" w:hAnsi="Arial" w:cs="Arial"/>
          <w:sz w:val="22"/>
          <w:szCs w:val="22"/>
        </w:rPr>
        <w:t xml:space="preserve"> </w:t>
      </w:r>
      <w:r w:rsidR="00F00E19">
        <w:rPr>
          <w:rFonts w:ascii="Arial" w:hAnsi="Arial" w:cs="Arial"/>
          <w:sz w:val="22"/>
          <w:szCs w:val="22"/>
        </w:rPr>
        <w:t>South East</w:t>
      </w:r>
      <w:r w:rsidR="00765493">
        <w:rPr>
          <w:rFonts w:ascii="Arial" w:hAnsi="Arial" w:cs="Arial"/>
          <w:sz w:val="22"/>
          <w:szCs w:val="22"/>
        </w:rPr>
        <w:t xml:space="preserve"> and East of England regions seeing </w:t>
      </w:r>
      <w:r w:rsidR="00F00E19">
        <w:rPr>
          <w:rFonts w:ascii="Arial" w:hAnsi="Arial" w:cs="Arial"/>
          <w:sz w:val="22"/>
          <w:szCs w:val="22"/>
        </w:rPr>
        <w:t>a greater level of</w:t>
      </w:r>
      <w:r w:rsidR="0004716D">
        <w:rPr>
          <w:rFonts w:ascii="Arial" w:hAnsi="Arial" w:cs="Arial"/>
          <w:sz w:val="22"/>
          <w:szCs w:val="22"/>
        </w:rPr>
        <w:t xml:space="preserve"> household growth </w:t>
      </w:r>
      <w:r w:rsidR="00F00E19">
        <w:rPr>
          <w:rFonts w:ascii="Arial" w:hAnsi="Arial" w:cs="Arial"/>
          <w:sz w:val="22"/>
          <w:szCs w:val="22"/>
        </w:rPr>
        <w:t xml:space="preserve">within </w:t>
      </w:r>
      <w:r w:rsidR="0004716D">
        <w:rPr>
          <w:rFonts w:ascii="Arial" w:hAnsi="Arial" w:cs="Arial"/>
          <w:sz w:val="22"/>
          <w:szCs w:val="22"/>
        </w:rPr>
        <w:t>the 2016</w:t>
      </w:r>
      <w:r w:rsidR="00BA0597">
        <w:rPr>
          <w:rFonts w:ascii="Arial" w:hAnsi="Arial" w:cs="Arial"/>
          <w:sz w:val="22"/>
          <w:szCs w:val="22"/>
        </w:rPr>
        <w:t>-based</w:t>
      </w:r>
      <w:r w:rsidR="0004716D">
        <w:rPr>
          <w:rFonts w:ascii="Arial" w:hAnsi="Arial" w:cs="Arial"/>
          <w:sz w:val="22"/>
          <w:szCs w:val="22"/>
        </w:rPr>
        <w:t xml:space="preserve"> projections</w:t>
      </w:r>
      <w:r w:rsidR="00F00E19">
        <w:rPr>
          <w:rFonts w:ascii="Arial" w:hAnsi="Arial" w:cs="Arial"/>
          <w:sz w:val="22"/>
          <w:szCs w:val="22"/>
        </w:rPr>
        <w:t xml:space="preserve"> compared the 2014-based iteration</w:t>
      </w:r>
      <w:r w:rsidR="005E14F8">
        <w:rPr>
          <w:rFonts w:ascii="Arial" w:hAnsi="Arial" w:cs="Arial"/>
          <w:sz w:val="22"/>
          <w:szCs w:val="22"/>
        </w:rPr>
        <w:t xml:space="preserve">. North Norfolk is no exception with the difference in annual household growth between 2021 and 2031 of the two </w:t>
      </w:r>
      <w:r w:rsidR="00F743A7">
        <w:rPr>
          <w:rFonts w:ascii="Arial" w:hAnsi="Arial" w:cs="Arial"/>
          <w:sz w:val="22"/>
          <w:szCs w:val="22"/>
        </w:rPr>
        <w:t xml:space="preserve">projections </w:t>
      </w:r>
      <w:r w:rsidR="0004716D">
        <w:rPr>
          <w:rFonts w:ascii="Arial" w:hAnsi="Arial" w:cs="Arial"/>
          <w:sz w:val="22"/>
          <w:szCs w:val="22"/>
        </w:rPr>
        <w:t>being a fall of</w:t>
      </w:r>
      <w:r w:rsidR="005E14F8">
        <w:rPr>
          <w:rFonts w:ascii="Arial" w:hAnsi="Arial" w:cs="Arial"/>
          <w:sz w:val="22"/>
          <w:szCs w:val="22"/>
        </w:rPr>
        <w:t xml:space="preserve"> 56 households.</w:t>
      </w:r>
      <w:r w:rsidR="00F743A7">
        <w:rPr>
          <w:rFonts w:ascii="Arial" w:hAnsi="Arial" w:cs="Arial"/>
          <w:sz w:val="22"/>
          <w:szCs w:val="22"/>
        </w:rPr>
        <w:t xml:space="preserve"> It is </w:t>
      </w:r>
      <w:r w:rsidR="00A134A0">
        <w:rPr>
          <w:rFonts w:ascii="Arial" w:hAnsi="Arial" w:cs="Arial"/>
          <w:sz w:val="22"/>
          <w:szCs w:val="22"/>
        </w:rPr>
        <w:t>notable</w:t>
      </w:r>
      <w:r w:rsidR="00F743A7">
        <w:rPr>
          <w:rFonts w:ascii="Arial" w:hAnsi="Arial" w:cs="Arial"/>
          <w:sz w:val="22"/>
          <w:szCs w:val="22"/>
        </w:rPr>
        <w:t xml:space="preserve"> that the average </w:t>
      </w:r>
      <w:r w:rsidR="00EC4B16">
        <w:rPr>
          <w:rFonts w:ascii="Arial" w:hAnsi="Arial" w:cs="Arial"/>
          <w:sz w:val="22"/>
          <w:szCs w:val="22"/>
        </w:rPr>
        <w:t xml:space="preserve">change </w:t>
      </w:r>
      <w:r w:rsidR="005F2F53">
        <w:rPr>
          <w:rFonts w:ascii="Arial" w:hAnsi="Arial" w:cs="Arial"/>
          <w:sz w:val="22"/>
          <w:szCs w:val="22"/>
        </w:rPr>
        <w:t xml:space="preserve">across the East of England </w:t>
      </w:r>
      <w:r w:rsidR="00EC4B16">
        <w:rPr>
          <w:rFonts w:ascii="Arial" w:hAnsi="Arial" w:cs="Arial"/>
          <w:sz w:val="22"/>
          <w:szCs w:val="22"/>
        </w:rPr>
        <w:t xml:space="preserve">between the two projections </w:t>
      </w:r>
      <w:r w:rsidR="005F2F53">
        <w:rPr>
          <w:rFonts w:ascii="Arial" w:hAnsi="Arial" w:cs="Arial"/>
          <w:sz w:val="22"/>
          <w:szCs w:val="22"/>
        </w:rPr>
        <w:t>for</w:t>
      </w:r>
      <w:r w:rsidR="00EC4B16">
        <w:rPr>
          <w:rFonts w:ascii="Arial" w:hAnsi="Arial" w:cs="Arial"/>
          <w:sz w:val="22"/>
          <w:szCs w:val="22"/>
        </w:rPr>
        <w:t xml:space="preserve"> this </w:t>
      </w:r>
      <w:r w:rsidR="007C21EB">
        <w:rPr>
          <w:rFonts w:ascii="Arial" w:hAnsi="Arial" w:cs="Arial"/>
          <w:sz w:val="22"/>
          <w:szCs w:val="22"/>
        </w:rPr>
        <w:t>ten-year</w:t>
      </w:r>
      <w:r w:rsidR="00EC4B16">
        <w:rPr>
          <w:rFonts w:ascii="Arial" w:hAnsi="Arial" w:cs="Arial"/>
          <w:sz w:val="22"/>
          <w:szCs w:val="22"/>
        </w:rPr>
        <w:t xml:space="preserve"> period </w:t>
      </w:r>
      <w:r w:rsidR="005F2F53">
        <w:rPr>
          <w:rFonts w:ascii="Arial" w:hAnsi="Arial" w:cs="Arial"/>
          <w:sz w:val="22"/>
          <w:szCs w:val="22"/>
        </w:rPr>
        <w:t>is 90 households.</w:t>
      </w:r>
      <w:r w:rsidR="00EC4B16">
        <w:rPr>
          <w:rFonts w:ascii="Arial" w:hAnsi="Arial" w:cs="Arial"/>
          <w:sz w:val="22"/>
          <w:szCs w:val="22"/>
        </w:rPr>
        <w:t xml:space="preserve"> </w:t>
      </w:r>
      <w:r w:rsidR="00ED45BA">
        <w:rPr>
          <w:rFonts w:ascii="Arial" w:hAnsi="Arial" w:cs="Arial"/>
          <w:sz w:val="22"/>
          <w:szCs w:val="22"/>
        </w:rPr>
        <w:t>This suggests that the change is neither</w:t>
      </w:r>
      <w:r w:rsidR="008F3946">
        <w:rPr>
          <w:rFonts w:ascii="Arial" w:hAnsi="Arial" w:cs="Arial"/>
          <w:sz w:val="22"/>
          <w:szCs w:val="22"/>
        </w:rPr>
        <w:t xml:space="preserve"> exceptional </w:t>
      </w:r>
      <w:r w:rsidR="00ED45BA">
        <w:rPr>
          <w:rFonts w:ascii="Arial" w:hAnsi="Arial" w:cs="Arial"/>
          <w:sz w:val="22"/>
          <w:szCs w:val="22"/>
        </w:rPr>
        <w:t>n</w:t>
      </w:r>
      <w:r w:rsidR="008F3946">
        <w:rPr>
          <w:rFonts w:ascii="Arial" w:hAnsi="Arial" w:cs="Arial"/>
          <w:sz w:val="22"/>
          <w:szCs w:val="22"/>
        </w:rPr>
        <w:t>or</w:t>
      </w:r>
      <w:r w:rsidR="005E14F8">
        <w:rPr>
          <w:rFonts w:ascii="Arial" w:hAnsi="Arial" w:cs="Arial"/>
          <w:sz w:val="22"/>
          <w:szCs w:val="22"/>
        </w:rPr>
        <w:t xml:space="preserve"> an indication that the use of the 2014</w:t>
      </w:r>
      <w:r w:rsidR="00340DF1">
        <w:rPr>
          <w:rFonts w:ascii="Arial" w:hAnsi="Arial" w:cs="Arial"/>
          <w:sz w:val="22"/>
          <w:szCs w:val="22"/>
        </w:rPr>
        <w:t>-based</w:t>
      </w:r>
      <w:r w:rsidR="005E14F8">
        <w:rPr>
          <w:rFonts w:ascii="Arial" w:hAnsi="Arial" w:cs="Arial"/>
          <w:sz w:val="22"/>
          <w:szCs w:val="22"/>
        </w:rPr>
        <w:t xml:space="preserve"> projections, as required by national policy, is unreasonable and goes beyond the stated aim in paragraph 60 of the NPPF to significantly boost the supply of housing.</w:t>
      </w:r>
    </w:p>
    <w:p w14:paraId="46E9E042" w14:textId="77777777" w:rsidR="005E14F8" w:rsidRDefault="005E14F8" w:rsidP="0032582C">
      <w:pPr>
        <w:spacing w:line="360" w:lineRule="auto"/>
        <w:jc w:val="both"/>
        <w:rPr>
          <w:rFonts w:ascii="Arial" w:hAnsi="Arial" w:cs="Arial"/>
          <w:sz w:val="22"/>
          <w:szCs w:val="22"/>
        </w:rPr>
      </w:pPr>
    </w:p>
    <w:p w14:paraId="154D198C" w14:textId="77777777" w:rsidR="005E14F8" w:rsidRPr="0007732D" w:rsidRDefault="005E14F8" w:rsidP="0032582C">
      <w:pPr>
        <w:spacing w:line="360" w:lineRule="auto"/>
        <w:jc w:val="both"/>
        <w:rPr>
          <w:rFonts w:ascii="Arial" w:hAnsi="Arial" w:cs="Arial"/>
          <w:i/>
          <w:iCs/>
          <w:sz w:val="22"/>
          <w:szCs w:val="22"/>
          <w:u w:val="single"/>
        </w:rPr>
      </w:pPr>
      <w:r w:rsidRPr="0007732D">
        <w:rPr>
          <w:rFonts w:ascii="Arial" w:hAnsi="Arial" w:cs="Arial"/>
          <w:i/>
          <w:iCs/>
          <w:sz w:val="22"/>
          <w:szCs w:val="22"/>
          <w:u w:val="single"/>
        </w:rPr>
        <w:t>3.4 Should the standard method based on 2014 based household projections and the affordability uplift at the publication of the submission version of the plan be used, giving 531 dpa or 10,610 dwellings over a 20 year plan period? Should a more recent affordability uplift figure be used? Should the ratio to be published in March 2024 be taken into account? What are the likely future trends in relation to house prices and average earnings locally?</w:t>
      </w:r>
    </w:p>
    <w:p w14:paraId="49D9D3F8" w14:textId="77777777" w:rsidR="005E14F8" w:rsidRDefault="005E14F8" w:rsidP="0032582C">
      <w:pPr>
        <w:spacing w:line="360" w:lineRule="auto"/>
        <w:jc w:val="both"/>
        <w:rPr>
          <w:rFonts w:ascii="Arial" w:hAnsi="Arial" w:cs="Arial"/>
          <w:sz w:val="22"/>
          <w:szCs w:val="22"/>
        </w:rPr>
      </w:pPr>
    </w:p>
    <w:p w14:paraId="44A5AF34" w14:textId="0E7CB5E8" w:rsidR="005E14F8" w:rsidRDefault="00F114CB" w:rsidP="0032582C">
      <w:pPr>
        <w:spacing w:line="360" w:lineRule="auto"/>
        <w:jc w:val="both"/>
        <w:rPr>
          <w:rFonts w:ascii="Arial" w:hAnsi="Arial" w:cs="Arial"/>
          <w:sz w:val="22"/>
          <w:szCs w:val="22"/>
        </w:rPr>
      </w:pPr>
      <w:r>
        <w:rPr>
          <w:rFonts w:ascii="Arial" w:hAnsi="Arial" w:cs="Arial"/>
          <w:sz w:val="22"/>
          <w:szCs w:val="22"/>
        </w:rPr>
        <w:t xml:space="preserve">Taking the penultimate </w:t>
      </w:r>
      <w:r w:rsidR="00903867">
        <w:rPr>
          <w:rFonts w:ascii="Arial" w:hAnsi="Arial" w:cs="Arial"/>
          <w:sz w:val="22"/>
          <w:szCs w:val="22"/>
        </w:rPr>
        <w:t>question first</w:t>
      </w:r>
      <w:r w:rsidR="005E14F8">
        <w:rPr>
          <w:rFonts w:ascii="Arial" w:hAnsi="Arial" w:cs="Arial"/>
          <w:sz w:val="22"/>
          <w:szCs w:val="22"/>
        </w:rPr>
        <w:t>, the ratio to be published in 2024 should not be taken into account. Planning Practice Guidance (PPG) states at paragraph 2a-008 that whilst the changes to the inputs should be taken into account it goes on to state in the same paragraph that the housing need calculated using standard method can be relied upon for a period of 2 years from the time the plan is submitted. Therefore, the Council does not need to take into account changes to the inputs now the plan has been submitted and at examination.</w:t>
      </w:r>
    </w:p>
    <w:p w14:paraId="233F3D20" w14:textId="77777777" w:rsidR="005E14F8" w:rsidRDefault="005E14F8" w:rsidP="0032582C">
      <w:pPr>
        <w:spacing w:line="360" w:lineRule="auto"/>
        <w:jc w:val="both"/>
        <w:rPr>
          <w:rFonts w:ascii="Arial" w:hAnsi="Arial" w:cs="Arial"/>
          <w:sz w:val="22"/>
          <w:szCs w:val="22"/>
        </w:rPr>
      </w:pPr>
    </w:p>
    <w:p w14:paraId="4C18C94B" w14:textId="401555DA" w:rsidR="005E14F8" w:rsidRDefault="005E14F8" w:rsidP="0032582C">
      <w:pPr>
        <w:spacing w:line="360" w:lineRule="auto"/>
        <w:jc w:val="both"/>
        <w:rPr>
          <w:rFonts w:ascii="Arial" w:hAnsi="Arial" w:cs="Arial"/>
          <w:sz w:val="22"/>
          <w:szCs w:val="22"/>
        </w:rPr>
      </w:pPr>
      <w:r>
        <w:rPr>
          <w:rFonts w:ascii="Arial" w:hAnsi="Arial" w:cs="Arial"/>
          <w:sz w:val="22"/>
          <w:szCs w:val="22"/>
        </w:rPr>
        <w:t>With regard to the what the standard method should be</w:t>
      </w:r>
      <w:r w:rsidR="003A6E6E">
        <w:rPr>
          <w:rFonts w:ascii="Arial" w:hAnsi="Arial" w:cs="Arial"/>
          <w:sz w:val="22"/>
          <w:szCs w:val="22"/>
        </w:rPr>
        <w:t>,</w:t>
      </w:r>
      <w:r>
        <w:rPr>
          <w:rFonts w:ascii="Arial" w:hAnsi="Arial" w:cs="Arial"/>
          <w:sz w:val="22"/>
          <w:szCs w:val="22"/>
        </w:rPr>
        <w:t xml:space="preserve"> the HBF set out the level of housing need using the 2014-based household projections and using the affordability ratio based on the ratio for 2020 which was published in March 2021 and was the most </w:t>
      </w:r>
      <w:r>
        <w:rPr>
          <w:rFonts w:ascii="Arial" w:hAnsi="Arial" w:cs="Arial"/>
          <w:sz w:val="22"/>
          <w:szCs w:val="22"/>
        </w:rPr>
        <w:lastRenderedPageBreak/>
        <w:t>up to date data at the time. This also reflected the Council’s use of the 2020 ratios in its own assessment using the 2016 based household projections as set out in paragraph 7.1.4 of the submitted local plan.</w:t>
      </w:r>
    </w:p>
    <w:p w14:paraId="6DEF25D3" w14:textId="77777777" w:rsidR="005E14F8" w:rsidRDefault="005E14F8" w:rsidP="0032582C">
      <w:pPr>
        <w:spacing w:line="360" w:lineRule="auto"/>
        <w:jc w:val="both"/>
        <w:rPr>
          <w:rFonts w:ascii="Arial" w:hAnsi="Arial" w:cs="Arial"/>
          <w:sz w:val="22"/>
          <w:szCs w:val="22"/>
        </w:rPr>
      </w:pPr>
    </w:p>
    <w:p w14:paraId="0A8AF8DB" w14:textId="5E63F65C" w:rsidR="005E14F8" w:rsidRDefault="005E14F8" w:rsidP="0032582C">
      <w:pPr>
        <w:spacing w:line="360" w:lineRule="auto"/>
        <w:jc w:val="both"/>
        <w:rPr>
          <w:rFonts w:ascii="Arial" w:hAnsi="Arial" w:cs="Arial"/>
          <w:sz w:val="22"/>
          <w:szCs w:val="22"/>
        </w:rPr>
      </w:pPr>
      <w:r>
        <w:rPr>
          <w:rFonts w:ascii="Arial" w:hAnsi="Arial" w:cs="Arial"/>
          <w:sz w:val="22"/>
          <w:szCs w:val="22"/>
        </w:rPr>
        <w:t xml:space="preserve">As </w:t>
      </w:r>
      <w:r w:rsidR="00517873">
        <w:rPr>
          <w:rFonts w:ascii="Arial" w:hAnsi="Arial" w:cs="Arial"/>
          <w:sz w:val="22"/>
          <w:szCs w:val="22"/>
        </w:rPr>
        <w:t>for</w:t>
      </w:r>
      <w:r>
        <w:rPr>
          <w:rFonts w:ascii="Arial" w:hAnsi="Arial" w:cs="Arial"/>
          <w:sz w:val="22"/>
          <w:szCs w:val="22"/>
        </w:rPr>
        <w:t xml:space="preserve"> the data that should be used when using the standard method, PPG states at paragraph 2a-006 the most recent median-work placed based affordability ratios should be used with 2a-008 requiring Council’s to take account of changes until the plan is submitted. This would suggest that, given the plan was submitted in May 2023, the use of the latest affordability ratios published in March 2023 </w:t>
      </w:r>
      <w:r w:rsidR="00903867">
        <w:rPr>
          <w:rFonts w:ascii="Arial" w:hAnsi="Arial" w:cs="Arial"/>
          <w:sz w:val="22"/>
          <w:szCs w:val="22"/>
        </w:rPr>
        <w:t>could be used</w:t>
      </w:r>
      <w:r>
        <w:rPr>
          <w:rFonts w:ascii="Arial" w:hAnsi="Arial" w:cs="Arial"/>
          <w:sz w:val="22"/>
          <w:szCs w:val="22"/>
        </w:rPr>
        <w:t xml:space="preserve"> when calculating local housing needs assessment using the standard method.</w:t>
      </w:r>
    </w:p>
    <w:p w14:paraId="10799DF0" w14:textId="77777777" w:rsidR="005E14F8" w:rsidRDefault="005E14F8" w:rsidP="0032582C">
      <w:pPr>
        <w:spacing w:line="360" w:lineRule="auto"/>
        <w:jc w:val="both"/>
        <w:rPr>
          <w:rFonts w:ascii="Arial" w:hAnsi="Arial" w:cs="Arial"/>
          <w:sz w:val="22"/>
          <w:szCs w:val="22"/>
        </w:rPr>
      </w:pPr>
    </w:p>
    <w:p w14:paraId="104474A2" w14:textId="6B8BE5E5" w:rsidR="005E14F8" w:rsidRDefault="005E14F8" w:rsidP="0032582C">
      <w:pPr>
        <w:spacing w:line="360" w:lineRule="auto"/>
        <w:jc w:val="both"/>
        <w:rPr>
          <w:rFonts w:ascii="Arial" w:hAnsi="Arial" w:cs="Arial"/>
          <w:sz w:val="22"/>
          <w:szCs w:val="22"/>
        </w:rPr>
      </w:pPr>
      <w:r>
        <w:rPr>
          <w:rFonts w:ascii="Arial" w:hAnsi="Arial" w:cs="Arial"/>
          <w:sz w:val="22"/>
          <w:szCs w:val="22"/>
        </w:rPr>
        <w:t xml:space="preserve">It should also be noted that when calculating the standard </w:t>
      </w:r>
      <w:r w:rsidR="00883398">
        <w:rPr>
          <w:rFonts w:ascii="Arial" w:hAnsi="Arial" w:cs="Arial"/>
          <w:sz w:val="22"/>
          <w:szCs w:val="22"/>
        </w:rPr>
        <w:t>method,</w:t>
      </w:r>
      <w:r>
        <w:rPr>
          <w:rFonts w:ascii="Arial" w:hAnsi="Arial" w:cs="Arial"/>
          <w:sz w:val="22"/>
          <w:szCs w:val="22"/>
        </w:rPr>
        <w:t xml:space="preserve"> the baseline growth used is the 10 year average with</w:t>
      </w:r>
      <w:r w:rsidR="00EB2278">
        <w:rPr>
          <w:rFonts w:ascii="Arial" w:hAnsi="Arial" w:cs="Arial"/>
          <w:sz w:val="22"/>
          <w:szCs w:val="22"/>
        </w:rPr>
        <w:t xml:space="preserve"> PPG stating that</w:t>
      </w:r>
      <w:r>
        <w:rPr>
          <w:rFonts w:ascii="Arial" w:hAnsi="Arial" w:cs="Arial"/>
          <w:sz w:val="22"/>
          <w:szCs w:val="22"/>
        </w:rPr>
        <w:t xml:space="preserve"> the current year </w:t>
      </w:r>
      <w:r w:rsidR="00EB2278">
        <w:rPr>
          <w:rFonts w:ascii="Arial" w:hAnsi="Arial" w:cs="Arial"/>
          <w:sz w:val="22"/>
          <w:szCs w:val="22"/>
        </w:rPr>
        <w:t xml:space="preserve">should be </w:t>
      </w:r>
      <w:r>
        <w:rPr>
          <w:rFonts w:ascii="Arial" w:hAnsi="Arial" w:cs="Arial"/>
          <w:sz w:val="22"/>
          <w:szCs w:val="22"/>
        </w:rPr>
        <w:t>used as the starting point from which to consider growth over that period. Therefore, when the Council calculated this for the submission local plan this would have been the period 2021 to 2031. However, since the plan was submitted over a year after the regulation 19 consultation the calculation of the standard method would need to take into account a different base period. Given the standard method has been designed to take into account under supply in previous years the use of the most recent data would indicate that the plan is rebased to the year in which the LHNA was calculated.</w:t>
      </w:r>
      <w:r w:rsidR="009C22C3">
        <w:rPr>
          <w:rFonts w:ascii="Arial" w:hAnsi="Arial" w:cs="Arial"/>
          <w:sz w:val="22"/>
          <w:szCs w:val="22"/>
        </w:rPr>
        <w:t xml:space="preserve"> </w:t>
      </w:r>
      <w:r>
        <w:rPr>
          <w:rFonts w:ascii="Arial" w:hAnsi="Arial" w:cs="Arial"/>
          <w:sz w:val="22"/>
          <w:szCs w:val="22"/>
        </w:rPr>
        <w:t xml:space="preserve">The table below sets out the different LHNA arising from the different base periods and </w:t>
      </w:r>
      <w:r w:rsidR="003D0DC0">
        <w:rPr>
          <w:rFonts w:ascii="Arial" w:hAnsi="Arial" w:cs="Arial"/>
          <w:sz w:val="22"/>
          <w:szCs w:val="22"/>
        </w:rPr>
        <w:t xml:space="preserve">using </w:t>
      </w:r>
      <w:r>
        <w:rPr>
          <w:rFonts w:ascii="Arial" w:hAnsi="Arial" w:cs="Arial"/>
          <w:sz w:val="22"/>
          <w:szCs w:val="22"/>
        </w:rPr>
        <w:t>affordability ratios at the end of the year preceding the base period</w:t>
      </w:r>
      <w:r w:rsidR="00CD56AE">
        <w:rPr>
          <w:rStyle w:val="FootnoteReference"/>
          <w:rFonts w:ascii="Arial" w:hAnsi="Arial" w:cs="Arial"/>
          <w:sz w:val="22"/>
          <w:szCs w:val="22"/>
        </w:rPr>
        <w:footnoteReference w:id="2"/>
      </w:r>
      <w:r w:rsidR="00562032">
        <w:rPr>
          <w:rFonts w:ascii="Arial" w:hAnsi="Arial" w:cs="Arial"/>
          <w:sz w:val="22"/>
          <w:szCs w:val="22"/>
        </w:rPr>
        <w:t>.</w:t>
      </w:r>
      <w:r>
        <w:rPr>
          <w:rFonts w:ascii="Arial" w:hAnsi="Arial" w:cs="Arial"/>
          <w:sz w:val="22"/>
          <w:szCs w:val="22"/>
        </w:rPr>
        <w:t xml:space="preserve"> </w:t>
      </w:r>
      <w:r w:rsidR="00846D9E">
        <w:rPr>
          <w:rFonts w:ascii="Arial" w:hAnsi="Arial" w:cs="Arial"/>
          <w:sz w:val="22"/>
          <w:szCs w:val="22"/>
        </w:rPr>
        <w:t>So,</w:t>
      </w:r>
      <w:r w:rsidR="0073189F">
        <w:rPr>
          <w:rFonts w:ascii="Arial" w:hAnsi="Arial" w:cs="Arial"/>
          <w:sz w:val="22"/>
          <w:szCs w:val="22"/>
        </w:rPr>
        <w:t xml:space="preserve"> for</w:t>
      </w:r>
      <w:r w:rsidR="0007037A">
        <w:rPr>
          <w:rFonts w:ascii="Arial" w:hAnsi="Arial" w:cs="Arial"/>
          <w:sz w:val="22"/>
          <w:szCs w:val="22"/>
        </w:rPr>
        <w:t xml:space="preserve"> example</w:t>
      </w:r>
      <w:r w:rsidR="00704208">
        <w:rPr>
          <w:rFonts w:ascii="Arial" w:hAnsi="Arial" w:cs="Arial"/>
          <w:sz w:val="22"/>
          <w:szCs w:val="22"/>
        </w:rPr>
        <w:t>, if</w:t>
      </w:r>
      <w:r w:rsidR="0073189F">
        <w:rPr>
          <w:rFonts w:ascii="Arial" w:hAnsi="Arial" w:cs="Arial"/>
          <w:sz w:val="22"/>
          <w:szCs w:val="22"/>
        </w:rPr>
        <w:t xml:space="preserve"> the base period start</w:t>
      </w:r>
      <w:r w:rsidR="00704208">
        <w:rPr>
          <w:rFonts w:ascii="Arial" w:hAnsi="Arial" w:cs="Arial"/>
          <w:sz w:val="22"/>
          <w:szCs w:val="22"/>
        </w:rPr>
        <w:t>s</w:t>
      </w:r>
      <w:r w:rsidR="0073189F">
        <w:rPr>
          <w:rFonts w:ascii="Arial" w:hAnsi="Arial" w:cs="Arial"/>
          <w:sz w:val="22"/>
          <w:szCs w:val="22"/>
        </w:rPr>
        <w:t xml:space="preserve"> in 2021 the 2020 affordability ratio was used.</w:t>
      </w:r>
    </w:p>
    <w:p w14:paraId="5FBA458A" w14:textId="77777777" w:rsidR="001048BC" w:rsidRDefault="001048BC" w:rsidP="0032582C">
      <w:pPr>
        <w:spacing w:line="360" w:lineRule="auto"/>
        <w:jc w:val="both"/>
        <w:rPr>
          <w:rFonts w:ascii="Arial" w:hAnsi="Arial" w:cs="Arial"/>
          <w:sz w:val="22"/>
          <w:szCs w:val="22"/>
        </w:rPr>
      </w:pPr>
    </w:p>
    <w:p w14:paraId="2D3B1736" w14:textId="4E3198A8" w:rsidR="005E14F8" w:rsidRDefault="00217271" w:rsidP="0032582C">
      <w:pPr>
        <w:spacing w:line="360" w:lineRule="auto"/>
        <w:jc w:val="both"/>
        <w:rPr>
          <w:rFonts w:ascii="Arial" w:hAnsi="Arial" w:cs="Arial"/>
          <w:sz w:val="22"/>
          <w:szCs w:val="22"/>
        </w:rPr>
      </w:pPr>
      <w:r>
        <w:rPr>
          <w:rFonts w:ascii="Arial" w:hAnsi="Arial" w:cs="Arial"/>
          <w:sz w:val="22"/>
          <w:szCs w:val="22"/>
        </w:rPr>
        <w:t xml:space="preserve">Table 1: </w:t>
      </w:r>
      <w:r w:rsidR="001048BC">
        <w:rPr>
          <w:rFonts w:ascii="Arial" w:hAnsi="Arial" w:cs="Arial"/>
          <w:sz w:val="22"/>
          <w:szCs w:val="22"/>
        </w:rPr>
        <w:t>LHNA for different base periods</w:t>
      </w:r>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71"/>
        <w:gridCol w:w="1558"/>
        <w:gridCol w:w="1844"/>
        <w:gridCol w:w="1418"/>
        <w:gridCol w:w="1276"/>
        <w:gridCol w:w="1199"/>
      </w:tblGrid>
      <w:tr w:rsidR="00292CC7" w14:paraId="11546A9B" w14:textId="77777777" w:rsidTr="00292CC7">
        <w:tc>
          <w:tcPr>
            <w:tcW w:w="587" w:type="pct"/>
            <w:tcBorders>
              <w:top w:val="single" w:sz="18" w:space="0" w:color="auto"/>
              <w:bottom w:val="single" w:sz="18" w:space="0" w:color="auto"/>
            </w:tcBorders>
          </w:tcPr>
          <w:p w14:paraId="4EF63A79" w14:textId="77777777" w:rsidR="00712F6C" w:rsidRPr="00FC0D64" w:rsidRDefault="00712F6C" w:rsidP="0032582C">
            <w:pPr>
              <w:spacing w:line="360" w:lineRule="auto"/>
              <w:jc w:val="both"/>
              <w:rPr>
                <w:rFonts w:ascii="Arial" w:hAnsi="Arial" w:cs="Arial"/>
                <w:b/>
                <w:bCs/>
              </w:rPr>
            </w:pPr>
            <w:r w:rsidRPr="00FC0D64">
              <w:rPr>
                <w:rFonts w:ascii="Arial" w:hAnsi="Arial" w:cs="Arial"/>
                <w:b/>
                <w:bCs/>
              </w:rPr>
              <w:t>Base period</w:t>
            </w:r>
          </w:p>
        </w:tc>
        <w:tc>
          <w:tcPr>
            <w:tcW w:w="942" w:type="pct"/>
            <w:tcBorders>
              <w:top w:val="single" w:sz="18" w:space="0" w:color="auto"/>
              <w:bottom w:val="single" w:sz="18" w:space="0" w:color="auto"/>
            </w:tcBorders>
          </w:tcPr>
          <w:p w14:paraId="572E1536" w14:textId="77777777" w:rsidR="00712F6C" w:rsidRPr="00FC0D64" w:rsidRDefault="00712F6C" w:rsidP="0032582C">
            <w:pPr>
              <w:spacing w:line="360" w:lineRule="auto"/>
              <w:jc w:val="both"/>
              <w:rPr>
                <w:rFonts w:ascii="Arial" w:hAnsi="Arial" w:cs="Arial"/>
                <w:b/>
                <w:bCs/>
              </w:rPr>
            </w:pPr>
            <w:r w:rsidRPr="00FC0D64">
              <w:rPr>
                <w:rFonts w:ascii="Arial" w:hAnsi="Arial" w:cs="Arial"/>
                <w:b/>
                <w:bCs/>
              </w:rPr>
              <w:t>Annual average growth (2014 based</w:t>
            </w:r>
            <w:r>
              <w:rPr>
                <w:rFonts w:ascii="Arial" w:hAnsi="Arial" w:cs="Arial"/>
                <w:b/>
                <w:bCs/>
              </w:rPr>
              <w:t xml:space="preserve"> HHP)</w:t>
            </w:r>
          </w:p>
        </w:tc>
        <w:tc>
          <w:tcPr>
            <w:tcW w:w="1115" w:type="pct"/>
            <w:tcBorders>
              <w:top w:val="single" w:sz="18" w:space="0" w:color="auto"/>
              <w:bottom w:val="single" w:sz="18" w:space="0" w:color="auto"/>
            </w:tcBorders>
          </w:tcPr>
          <w:p w14:paraId="359BF139" w14:textId="1F894792" w:rsidR="00712F6C" w:rsidRPr="00FC0D64" w:rsidRDefault="00712F6C" w:rsidP="00292CC7">
            <w:pPr>
              <w:spacing w:line="360" w:lineRule="auto"/>
              <w:rPr>
                <w:rFonts w:ascii="Arial" w:hAnsi="Arial" w:cs="Arial"/>
                <w:b/>
                <w:bCs/>
              </w:rPr>
            </w:pPr>
            <w:r w:rsidRPr="00FC0D64">
              <w:rPr>
                <w:rFonts w:ascii="Arial" w:hAnsi="Arial" w:cs="Arial"/>
                <w:b/>
                <w:bCs/>
              </w:rPr>
              <w:t>Affordability ratio</w:t>
            </w:r>
          </w:p>
        </w:tc>
        <w:tc>
          <w:tcPr>
            <w:tcW w:w="858" w:type="pct"/>
            <w:tcBorders>
              <w:top w:val="single" w:sz="18" w:space="0" w:color="auto"/>
              <w:bottom w:val="single" w:sz="18" w:space="0" w:color="auto"/>
            </w:tcBorders>
          </w:tcPr>
          <w:p w14:paraId="3A81E4A9" w14:textId="77777777" w:rsidR="00712F6C" w:rsidRPr="00FC0D64" w:rsidRDefault="00712F6C" w:rsidP="0032582C">
            <w:pPr>
              <w:spacing w:line="360" w:lineRule="auto"/>
              <w:jc w:val="both"/>
              <w:rPr>
                <w:rFonts w:ascii="Arial" w:hAnsi="Arial" w:cs="Arial"/>
                <w:b/>
                <w:bCs/>
              </w:rPr>
            </w:pPr>
            <w:r w:rsidRPr="00FC0D64">
              <w:rPr>
                <w:rFonts w:ascii="Arial" w:hAnsi="Arial" w:cs="Arial"/>
                <w:b/>
                <w:bCs/>
              </w:rPr>
              <w:t>Affordability uplift</w:t>
            </w:r>
            <w:r>
              <w:rPr>
                <w:rFonts w:ascii="Arial" w:hAnsi="Arial" w:cs="Arial"/>
                <w:b/>
                <w:bCs/>
              </w:rPr>
              <w:t>.</w:t>
            </w:r>
          </w:p>
        </w:tc>
        <w:tc>
          <w:tcPr>
            <w:tcW w:w="772" w:type="pct"/>
            <w:tcBorders>
              <w:top w:val="single" w:sz="18" w:space="0" w:color="auto"/>
              <w:bottom w:val="single" w:sz="18" w:space="0" w:color="auto"/>
            </w:tcBorders>
          </w:tcPr>
          <w:p w14:paraId="5A0BED04" w14:textId="2E721202" w:rsidR="00712F6C" w:rsidRPr="00FC0D64" w:rsidRDefault="00712F6C" w:rsidP="0032582C">
            <w:pPr>
              <w:spacing w:line="360" w:lineRule="auto"/>
              <w:jc w:val="both"/>
              <w:rPr>
                <w:rFonts w:ascii="Arial" w:hAnsi="Arial" w:cs="Arial"/>
                <w:b/>
                <w:bCs/>
              </w:rPr>
            </w:pPr>
            <w:r>
              <w:rPr>
                <w:rFonts w:ascii="Arial" w:hAnsi="Arial" w:cs="Arial"/>
                <w:b/>
                <w:bCs/>
              </w:rPr>
              <w:t>Cap applied</w:t>
            </w:r>
          </w:p>
        </w:tc>
        <w:tc>
          <w:tcPr>
            <w:tcW w:w="725" w:type="pct"/>
            <w:tcBorders>
              <w:top w:val="single" w:sz="18" w:space="0" w:color="auto"/>
              <w:bottom w:val="single" w:sz="18" w:space="0" w:color="auto"/>
            </w:tcBorders>
          </w:tcPr>
          <w:p w14:paraId="242DEFC7" w14:textId="322455A0" w:rsidR="00712F6C" w:rsidRPr="00FC0D64" w:rsidRDefault="00712F6C" w:rsidP="0032582C">
            <w:pPr>
              <w:spacing w:line="360" w:lineRule="auto"/>
              <w:jc w:val="both"/>
              <w:rPr>
                <w:rFonts w:ascii="Arial" w:hAnsi="Arial" w:cs="Arial"/>
                <w:b/>
                <w:bCs/>
              </w:rPr>
            </w:pPr>
            <w:r w:rsidRPr="00FC0D64">
              <w:rPr>
                <w:rFonts w:ascii="Arial" w:hAnsi="Arial" w:cs="Arial"/>
                <w:b/>
                <w:bCs/>
              </w:rPr>
              <w:t>LHNA (</w:t>
            </w:r>
            <w:r w:rsidR="00292CC7">
              <w:rPr>
                <w:rFonts w:ascii="Arial" w:hAnsi="Arial" w:cs="Arial"/>
                <w:b/>
                <w:bCs/>
              </w:rPr>
              <w:t>dpa</w:t>
            </w:r>
            <w:r w:rsidRPr="00FC0D64">
              <w:rPr>
                <w:rFonts w:ascii="Arial" w:hAnsi="Arial" w:cs="Arial"/>
                <w:b/>
                <w:bCs/>
              </w:rPr>
              <w:t>)</w:t>
            </w:r>
          </w:p>
        </w:tc>
      </w:tr>
      <w:tr w:rsidR="00292CC7" w14:paraId="701FB872" w14:textId="77777777" w:rsidTr="00292CC7">
        <w:tc>
          <w:tcPr>
            <w:tcW w:w="587" w:type="pct"/>
            <w:tcBorders>
              <w:top w:val="single" w:sz="18" w:space="0" w:color="auto"/>
            </w:tcBorders>
          </w:tcPr>
          <w:p w14:paraId="6E8A7075" w14:textId="77777777" w:rsidR="00712F6C" w:rsidRPr="00FC0D64" w:rsidRDefault="00712F6C" w:rsidP="0032582C">
            <w:pPr>
              <w:spacing w:line="360" w:lineRule="auto"/>
              <w:jc w:val="both"/>
              <w:rPr>
                <w:rFonts w:ascii="Arial" w:hAnsi="Arial" w:cs="Arial"/>
              </w:rPr>
            </w:pPr>
            <w:r w:rsidRPr="00FC0D64">
              <w:rPr>
                <w:rFonts w:ascii="Arial" w:hAnsi="Arial" w:cs="Arial"/>
              </w:rPr>
              <w:t>2021-31</w:t>
            </w:r>
          </w:p>
        </w:tc>
        <w:tc>
          <w:tcPr>
            <w:tcW w:w="942" w:type="pct"/>
            <w:tcBorders>
              <w:top w:val="single" w:sz="18" w:space="0" w:color="auto"/>
            </w:tcBorders>
          </w:tcPr>
          <w:p w14:paraId="50092287" w14:textId="77777777" w:rsidR="00712F6C" w:rsidRPr="00FC0D64" w:rsidRDefault="00712F6C" w:rsidP="0032582C">
            <w:pPr>
              <w:spacing w:line="360" w:lineRule="auto"/>
              <w:jc w:val="right"/>
              <w:rPr>
                <w:rFonts w:ascii="Arial" w:hAnsi="Arial" w:cs="Arial"/>
              </w:rPr>
            </w:pPr>
            <w:r w:rsidRPr="00FC0D64">
              <w:rPr>
                <w:rFonts w:ascii="Arial" w:hAnsi="Arial" w:cs="Arial"/>
              </w:rPr>
              <w:t>403</w:t>
            </w:r>
          </w:p>
        </w:tc>
        <w:tc>
          <w:tcPr>
            <w:tcW w:w="1115" w:type="pct"/>
            <w:tcBorders>
              <w:top w:val="single" w:sz="18" w:space="0" w:color="auto"/>
            </w:tcBorders>
          </w:tcPr>
          <w:p w14:paraId="097E6FC9" w14:textId="77777777" w:rsidR="00712F6C" w:rsidRPr="00FC0D64" w:rsidRDefault="00712F6C" w:rsidP="0032582C">
            <w:pPr>
              <w:spacing w:line="360" w:lineRule="auto"/>
              <w:jc w:val="right"/>
              <w:rPr>
                <w:rFonts w:ascii="Arial" w:hAnsi="Arial" w:cs="Arial"/>
              </w:rPr>
            </w:pPr>
            <w:r w:rsidRPr="00FC0D64">
              <w:rPr>
                <w:rFonts w:ascii="Arial" w:hAnsi="Arial" w:cs="Arial"/>
              </w:rPr>
              <w:t>9.14</w:t>
            </w:r>
          </w:p>
        </w:tc>
        <w:tc>
          <w:tcPr>
            <w:tcW w:w="858" w:type="pct"/>
            <w:tcBorders>
              <w:top w:val="single" w:sz="18" w:space="0" w:color="auto"/>
            </w:tcBorders>
          </w:tcPr>
          <w:p w14:paraId="52932438" w14:textId="77777777" w:rsidR="00712F6C" w:rsidRPr="00FC0D64" w:rsidRDefault="00712F6C" w:rsidP="0032582C">
            <w:pPr>
              <w:spacing w:line="360" w:lineRule="auto"/>
              <w:jc w:val="right"/>
              <w:rPr>
                <w:rFonts w:ascii="Arial" w:hAnsi="Arial" w:cs="Arial"/>
              </w:rPr>
            </w:pPr>
            <w:r w:rsidRPr="00FC0D64">
              <w:rPr>
                <w:rFonts w:ascii="Arial" w:hAnsi="Arial" w:cs="Arial"/>
              </w:rPr>
              <w:t>1.32</w:t>
            </w:r>
          </w:p>
        </w:tc>
        <w:tc>
          <w:tcPr>
            <w:tcW w:w="772" w:type="pct"/>
            <w:tcBorders>
              <w:top w:val="single" w:sz="18" w:space="0" w:color="auto"/>
            </w:tcBorders>
          </w:tcPr>
          <w:p w14:paraId="52DC476D" w14:textId="7E7EA6D2" w:rsidR="00712F6C" w:rsidRPr="00FC0D64" w:rsidRDefault="00712F6C" w:rsidP="0032582C">
            <w:pPr>
              <w:spacing w:line="360" w:lineRule="auto"/>
              <w:jc w:val="right"/>
              <w:rPr>
                <w:rFonts w:ascii="Arial" w:hAnsi="Arial" w:cs="Arial"/>
              </w:rPr>
            </w:pPr>
            <w:r>
              <w:rPr>
                <w:rFonts w:ascii="Arial" w:hAnsi="Arial" w:cs="Arial"/>
              </w:rPr>
              <w:t>No</w:t>
            </w:r>
          </w:p>
        </w:tc>
        <w:tc>
          <w:tcPr>
            <w:tcW w:w="725" w:type="pct"/>
            <w:tcBorders>
              <w:top w:val="single" w:sz="18" w:space="0" w:color="auto"/>
            </w:tcBorders>
          </w:tcPr>
          <w:p w14:paraId="71E16D01" w14:textId="614C9AD2" w:rsidR="00712F6C" w:rsidRPr="00FC0D64" w:rsidRDefault="00712F6C" w:rsidP="0032582C">
            <w:pPr>
              <w:spacing w:line="360" w:lineRule="auto"/>
              <w:jc w:val="right"/>
              <w:rPr>
                <w:rFonts w:ascii="Arial" w:hAnsi="Arial" w:cs="Arial"/>
              </w:rPr>
            </w:pPr>
            <w:r w:rsidRPr="00FC0D64">
              <w:rPr>
                <w:rFonts w:ascii="Arial" w:hAnsi="Arial" w:cs="Arial"/>
              </w:rPr>
              <w:t>533</w:t>
            </w:r>
          </w:p>
        </w:tc>
      </w:tr>
      <w:tr w:rsidR="00292CC7" w14:paraId="47BDBA83" w14:textId="77777777" w:rsidTr="00292CC7">
        <w:tc>
          <w:tcPr>
            <w:tcW w:w="587" w:type="pct"/>
          </w:tcPr>
          <w:p w14:paraId="0BF3DBA3" w14:textId="77777777" w:rsidR="00712F6C" w:rsidRPr="00FC0D64" w:rsidRDefault="00712F6C" w:rsidP="0032582C">
            <w:pPr>
              <w:spacing w:line="360" w:lineRule="auto"/>
              <w:jc w:val="both"/>
              <w:rPr>
                <w:rFonts w:ascii="Arial" w:hAnsi="Arial" w:cs="Arial"/>
              </w:rPr>
            </w:pPr>
            <w:r w:rsidRPr="00FC0D64">
              <w:rPr>
                <w:rFonts w:ascii="Arial" w:hAnsi="Arial" w:cs="Arial"/>
              </w:rPr>
              <w:t>2022-32</w:t>
            </w:r>
          </w:p>
        </w:tc>
        <w:tc>
          <w:tcPr>
            <w:tcW w:w="942" w:type="pct"/>
          </w:tcPr>
          <w:p w14:paraId="253DB72F" w14:textId="77777777" w:rsidR="00712F6C" w:rsidRPr="00FC0D64" w:rsidRDefault="00712F6C" w:rsidP="0032582C">
            <w:pPr>
              <w:spacing w:line="360" w:lineRule="auto"/>
              <w:jc w:val="right"/>
              <w:rPr>
                <w:rFonts w:ascii="Arial" w:hAnsi="Arial" w:cs="Arial"/>
              </w:rPr>
            </w:pPr>
            <w:r w:rsidRPr="00FC0D64">
              <w:rPr>
                <w:rFonts w:ascii="Arial" w:hAnsi="Arial" w:cs="Arial"/>
              </w:rPr>
              <w:t>401</w:t>
            </w:r>
          </w:p>
        </w:tc>
        <w:tc>
          <w:tcPr>
            <w:tcW w:w="1115" w:type="pct"/>
          </w:tcPr>
          <w:p w14:paraId="4BA95E0A" w14:textId="77777777" w:rsidR="00712F6C" w:rsidRPr="00FC0D64" w:rsidRDefault="00712F6C" w:rsidP="0032582C">
            <w:pPr>
              <w:spacing w:line="360" w:lineRule="auto"/>
              <w:jc w:val="right"/>
              <w:rPr>
                <w:rFonts w:ascii="Arial" w:hAnsi="Arial" w:cs="Arial"/>
              </w:rPr>
            </w:pPr>
            <w:r w:rsidRPr="00FC0D64">
              <w:rPr>
                <w:rFonts w:ascii="Arial" w:hAnsi="Arial" w:cs="Arial"/>
              </w:rPr>
              <w:t>11.61</w:t>
            </w:r>
          </w:p>
        </w:tc>
        <w:tc>
          <w:tcPr>
            <w:tcW w:w="858" w:type="pct"/>
          </w:tcPr>
          <w:p w14:paraId="26564656" w14:textId="002A29C6" w:rsidR="00712F6C" w:rsidRPr="00FC0D64" w:rsidRDefault="00712F6C" w:rsidP="001048BC">
            <w:pPr>
              <w:spacing w:line="360" w:lineRule="auto"/>
              <w:jc w:val="right"/>
              <w:rPr>
                <w:rFonts w:ascii="Arial" w:hAnsi="Arial" w:cs="Arial"/>
              </w:rPr>
            </w:pPr>
            <w:r w:rsidRPr="00FC0D64">
              <w:rPr>
                <w:rFonts w:ascii="Arial" w:hAnsi="Arial" w:cs="Arial"/>
              </w:rPr>
              <w:t xml:space="preserve">1.48 </w:t>
            </w:r>
          </w:p>
        </w:tc>
        <w:tc>
          <w:tcPr>
            <w:tcW w:w="772" w:type="pct"/>
          </w:tcPr>
          <w:p w14:paraId="35D638E0" w14:textId="3EE3DB93" w:rsidR="00712F6C" w:rsidRPr="00FC0D64" w:rsidRDefault="00712F6C" w:rsidP="0032582C">
            <w:pPr>
              <w:spacing w:line="360" w:lineRule="auto"/>
              <w:jc w:val="right"/>
              <w:rPr>
                <w:rFonts w:ascii="Arial" w:hAnsi="Arial" w:cs="Arial"/>
              </w:rPr>
            </w:pPr>
            <w:r>
              <w:rPr>
                <w:rFonts w:ascii="Arial" w:hAnsi="Arial" w:cs="Arial"/>
              </w:rPr>
              <w:t>Yes</w:t>
            </w:r>
            <w:r>
              <w:rPr>
                <w:rStyle w:val="FootnoteReference"/>
                <w:rFonts w:ascii="Arial" w:hAnsi="Arial" w:cs="Arial"/>
              </w:rPr>
              <w:footnoteReference w:id="3"/>
            </w:r>
          </w:p>
        </w:tc>
        <w:tc>
          <w:tcPr>
            <w:tcW w:w="725" w:type="pct"/>
          </w:tcPr>
          <w:p w14:paraId="56D5161A" w14:textId="12789842" w:rsidR="00712F6C" w:rsidRPr="00FC0D64" w:rsidRDefault="00712F6C" w:rsidP="0032582C">
            <w:pPr>
              <w:spacing w:line="360" w:lineRule="auto"/>
              <w:jc w:val="right"/>
              <w:rPr>
                <w:rFonts w:ascii="Arial" w:hAnsi="Arial" w:cs="Arial"/>
              </w:rPr>
            </w:pPr>
            <w:r w:rsidRPr="00FC0D64">
              <w:rPr>
                <w:rFonts w:ascii="Arial" w:hAnsi="Arial" w:cs="Arial"/>
              </w:rPr>
              <w:t>562</w:t>
            </w:r>
          </w:p>
        </w:tc>
      </w:tr>
      <w:tr w:rsidR="00292CC7" w14:paraId="37B8F755" w14:textId="77777777" w:rsidTr="00292CC7">
        <w:tc>
          <w:tcPr>
            <w:tcW w:w="587" w:type="pct"/>
          </w:tcPr>
          <w:p w14:paraId="54A90FFA" w14:textId="77777777" w:rsidR="00712F6C" w:rsidRPr="00FC0D64" w:rsidRDefault="00712F6C" w:rsidP="0032582C">
            <w:pPr>
              <w:spacing w:line="360" w:lineRule="auto"/>
              <w:jc w:val="both"/>
              <w:rPr>
                <w:rFonts w:ascii="Arial" w:hAnsi="Arial" w:cs="Arial"/>
              </w:rPr>
            </w:pPr>
            <w:r w:rsidRPr="00FC0D64">
              <w:rPr>
                <w:rFonts w:ascii="Arial" w:hAnsi="Arial" w:cs="Arial"/>
              </w:rPr>
              <w:t>2023-33</w:t>
            </w:r>
          </w:p>
        </w:tc>
        <w:tc>
          <w:tcPr>
            <w:tcW w:w="942" w:type="pct"/>
          </w:tcPr>
          <w:p w14:paraId="74D6C23C" w14:textId="77777777" w:rsidR="00712F6C" w:rsidRPr="00FC0D64" w:rsidRDefault="00712F6C" w:rsidP="0032582C">
            <w:pPr>
              <w:spacing w:line="360" w:lineRule="auto"/>
              <w:jc w:val="right"/>
              <w:rPr>
                <w:rFonts w:ascii="Arial" w:hAnsi="Arial" w:cs="Arial"/>
              </w:rPr>
            </w:pPr>
            <w:r w:rsidRPr="00FC0D64">
              <w:rPr>
                <w:rFonts w:ascii="Arial" w:hAnsi="Arial" w:cs="Arial"/>
              </w:rPr>
              <w:t>396</w:t>
            </w:r>
          </w:p>
        </w:tc>
        <w:tc>
          <w:tcPr>
            <w:tcW w:w="1115" w:type="pct"/>
          </w:tcPr>
          <w:p w14:paraId="6DE65E85" w14:textId="77777777" w:rsidR="00712F6C" w:rsidRPr="00FC0D64" w:rsidRDefault="00712F6C" w:rsidP="0032582C">
            <w:pPr>
              <w:spacing w:line="360" w:lineRule="auto"/>
              <w:jc w:val="right"/>
              <w:rPr>
                <w:rFonts w:ascii="Arial" w:hAnsi="Arial" w:cs="Arial"/>
              </w:rPr>
            </w:pPr>
            <w:r w:rsidRPr="00FC0D64">
              <w:rPr>
                <w:rFonts w:ascii="Arial" w:hAnsi="Arial" w:cs="Arial"/>
              </w:rPr>
              <w:t>10.64</w:t>
            </w:r>
          </w:p>
        </w:tc>
        <w:tc>
          <w:tcPr>
            <w:tcW w:w="858" w:type="pct"/>
          </w:tcPr>
          <w:p w14:paraId="58DF01FE" w14:textId="7AA29442" w:rsidR="00712F6C" w:rsidRPr="00FC0D64" w:rsidRDefault="00712F6C" w:rsidP="001048BC">
            <w:pPr>
              <w:spacing w:line="360" w:lineRule="auto"/>
              <w:jc w:val="right"/>
              <w:rPr>
                <w:rFonts w:ascii="Arial" w:hAnsi="Arial" w:cs="Arial"/>
              </w:rPr>
            </w:pPr>
            <w:r w:rsidRPr="00FC0D64">
              <w:rPr>
                <w:rFonts w:ascii="Arial" w:hAnsi="Arial" w:cs="Arial"/>
              </w:rPr>
              <w:t>1.42</w:t>
            </w:r>
          </w:p>
        </w:tc>
        <w:tc>
          <w:tcPr>
            <w:tcW w:w="772" w:type="pct"/>
          </w:tcPr>
          <w:p w14:paraId="4280D427" w14:textId="03ACB009" w:rsidR="00712F6C" w:rsidRPr="00FC0D64" w:rsidRDefault="00712F6C" w:rsidP="0032582C">
            <w:pPr>
              <w:spacing w:line="360" w:lineRule="auto"/>
              <w:jc w:val="right"/>
              <w:rPr>
                <w:rFonts w:ascii="Arial" w:hAnsi="Arial" w:cs="Arial"/>
              </w:rPr>
            </w:pPr>
            <w:r>
              <w:rPr>
                <w:rFonts w:ascii="Arial" w:hAnsi="Arial" w:cs="Arial"/>
              </w:rPr>
              <w:t>Yes</w:t>
            </w:r>
            <w:r>
              <w:rPr>
                <w:rStyle w:val="FootnoteReference"/>
                <w:rFonts w:ascii="Arial" w:hAnsi="Arial" w:cs="Arial"/>
              </w:rPr>
              <w:footnoteReference w:id="4"/>
            </w:r>
          </w:p>
        </w:tc>
        <w:tc>
          <w:tcPr>
            <w:tcW w:w="725" w:type="pct"/>
          </w:tcPr>
          <w:p w14:paraId="7E5C586B" w14:textId="70ABA382" w:rsidR="00712F6C" w:rsidRPr="00FC0D64" w:rsidRDefault="00712F6C" w:rsidP="0032582C">
            <w:pPr>
              <w:spacing w:line="360" w:lineRule="auto"/>
              <w:jc w:val="right"/>
              <w:rPr>
                <w:rFonts w:ascii="Arial" w:hAnsi="Arial" w:cs="Arial"/>
              </w:rPr>
            </w:pPr>
            <w:r w:rsidRPr="00FC0D64">
              <w:rPr>
                <w:rFonts w:ascii="Arial" w:hAnsi="Arial" w:cs="Arial"/>
              </w:rPr>
              <w:t>5</w:t>
            </w:r>
            <w:r>
              <w:rPr>
                <w:rFonts w:ascii="Arial" w:hAnsi="Arial" w:cs="Arial"/>
              </w:rPr>
              <w:t>60</w:t>
            </w:r>
          </w:p>
        </w:tc>
      </w:tr>
    </w:tbl>
    <w:p w14:paraId="19565D3C" w14:textId="77777777" w:rsidR="001048BC" w:rsidRDefault="001048BC" w:rsidP="0032582C">
      <w:pPr>
        <w:spacing w:line="360" w:lineRule="auto"/>
        <w:jc w:val="both"/>
        <w:rPr>
          <w:rFonts w:ascii="Arial" w:hAnsi="Arial" w:cs="Arial"/>
          <w:sz w:val="22"/>
          <w:szCs w:val="22"/>
        </w:rPr>
      </w:pPr>
    </w:p>
    <w:p w14:paraId="22076991" w14:textId="080A972D" w:rsidR="00CF2643" w:rsidRDefault="00094B89" w:rsidP="0032582C">
      <w:pPr>
        <w:spacing w:line="360" w:lineRule="auto"/>
        <w:jc w:val="both"/>
        <w:rPr>
          <w:rFonts w:ascii="Arial" w:hAnsi="Arial" w:cs="Arial"/>
          <w:sz w:val="22"/>
          <w:szCs w:val="22"/>
        </w:rPr>
      </w:pPr>
      <w:r>
        <w:rPr>
          <w:rFonts w:ascii="Arial" w:hAnsi="Arial" w:cs="Arial"/>
          <w:sz w:val="22"/>
          <w:szCs w:val="22"/>
        </w:rPr>
        <w:lastRenderedPageBreak/>
        <w:t>The HBF cannot comment on</w:t>
      </w:r>
      <w:r w:rsidR="0085409B">
        <w:rPr>
          <w:rFonts w:ascii="Arial" w:hAnsi="Arial" w:cs="Arial"/>
          <w:sz w:val="22"/>
          <w:szCs w:val="22"/>
        </w:rPr>
        <w:t xml:space="preserve"> the potential trends for </w:t>
      </w:r>
      <w:r w:rsidR="00CF2643">
        <w:rPr>
          <w:rFonts w:ascii="Arial" w:hAnsi="Arial" w:cs="Arial"/>
          <w:sz w:val="22"/>
          <w:szCs w:val="22"/>
        </w:rPr>
        <w:t xml:space="preserve">house prices and average earnings </w:t>
      </w:r>
      <w:r>
        <w:rPr>
          <w:rFonts w:ascii="Arial" w:hAnsi="Arial" w:cs="Arial"/>
          <w:sz w:val="22"/>
          <w:szCs w:val="22"/>
        </w:rPr>
        <w:t xml:space="preserve">in North Norfolk. </w:t>
      </w:r>
      <w:r w:rsidR="009012E5">
        <w:rPr>
          <w:rFonts w:ascii="Arial" w:hAnsi="Arial" w:cs="Arial"/>
          <w:sz w:val="22"/>
          <w:szCs w:val="22"/>
        </w:rPr>
        <w:t xml:space="preserve">What is evident from the current evidence is that affordability is a concern and that </w:t>
      </w:r>
      <w:r w:rsidR="00846D9E">
        <w:rPr>
          <w:rFonts w:ascii="Arial" w:hAnsi="Arial" w:cs="Arial"/>
          <w:sz w:val="22"/>
          <w:szCs w:val="22"/>
        </w:rPr>
        <w:t xml:space="preserve">a supply side response is necessary to not only increase the supply of market housing but also the supply of affordable homes across the Borough. </w:t>
      </w:r>
    </w:p>
    <w:p w14:paraId="42C51390" w14:textId="40F56A9A" w:rsidR="0085409B" w:rsidRDefault="00CF2643" w:rsidP="0032582C">
      <w:pPr>
        <w:spacing w:line="360" w:lineRule="auto"/>
        <w:jc w:val="both"/>
        <w:rPr>
          <w:rFonts w:ascii="Arial" w:hAnsi="Arial" w:cs="Arial"/>
          <w:sz w:val="22"/>
          <w:szCs w:val="22"/>
        </w:rPr>
      </w:pPr>
      <w:r>
        <w:rPr>
          <w:rFonts w:ascii="Arial" w:hAnsi="Arial" w:cs="Arial"/>
          <w:sz w:val="22"/>
          <w:szCs w:val="22"/>
        </w:rPr>
        <w:t xml:space="preserve"> </w:t>
      </w:r>
    </w:p>
    <w:p w14:paraId="584F85E0" w14:textId="77777777" w:rsidR="005E14F8" w:rsidRPr="00196BAE" w:rsidRDefault="005E14F8" w:rsidP="0032582C">
      <w:pPr>
        <w:spacing w:line="360" w:lineRule="auto"/>
        <w:jc w:val="both"/>
        <w:rPr>
          <w:rFonts w:ascii="Arial" w:hAnsi="Arial" w:cs="Arial"/>
          <w:i/>
          <w:iCs/>
          <w:sz w:val="22"/>
          <w:szCs w:val="22"/>
          <w:u w:val="single"/>
        </w:rPr>
      </w:pPr>
      <w:r w:rsidRPr="00196BAE">
        <w:rPr>
          <w:rFonts w:ascii="Arial" w:hAnsi="Arial" w:cs="Arial"/>
          <w:i/>
          <w:iCs/>
          <w:sz w:val="22"/>
          <w:szCs w:val="22"/>
          <w:u w:val="single"/>
        </w:rPr>
        <w:t>3.5 How much weight, if any, should be given to the reasoning behind Section 78 appeal decisions which support the Council’s approach? Which decisions are relevant?</w:t>
      </w:r>
    </w:p>
    <w:p w14:paraId="7DCFC880" w14:textId="77777777" w:rsidR="005E14F8" w:rsidRDefault="005E14F8" w:rsidP="0032582C">
      <w:pPr>
        <w:spacing w:line="360" w:lineRule="auto"/>
        <w:jc w:val="both"/>
        <w:rPr>
          <w:rFonts w:ascii="Arial" w:hAnsi="Arial" w:cs="Arial"/>
          <w:sz w:val="22"/>
          <w:szCs w:val="22"/>
        </w:rPr>
      </w:pPr>
    </w:p>
    <w:p w14:paraId="274BC672" w14:textId="74996B59" w:rsidR="005E14F8" w:rsidRDefault="00820CF3" w:rsidP="0032582C">
      <w:pPr>
        <w:spacing w:line="360" w:lineRule="auto"/>
        <w:jc w:val="both"/>
        <w:rPr>
          <w:rFonts w:ascii="Arial" w:hAnsi="Arial" w:cs="Arial"/>
          <w:sz w:val="22"/>
          <w:szCs w:val="22"/>
        </w:rPr>
      </w:pPr>
      <w:r>
        <w:rPr>
          <w:rFonts w:ascii="Arial" w:hAnsi="Arial" w:cs="Arial"/>
          <w:sz w:val="22"/>
          <w:szCs w:val="22"/>
        </w:rPr>
        <w:t>No</w:t>
      </w:r>
      <w:r w:rsidR="00F57EF9">
        <w:rPr>
          <w:rFonts w:ascii="Arial" w:hAnsi="Arial" w:cs="Arial"/>
          <w:sz w:val="22"/>
          <w:szCs w:val="22"/>
        </w:rPr>
        <w:t xml:space="preserve"> </w:t>
      </w:r>
      <w:r w:rsidR="00671757">
        <w:rPr>
          <w:rFonts w:ascii="Arial" w:hAnsi="Arial" w:cs="Arial"/>
          <w:sz w:val="22"/>
          <w:szCs w:val="22"/>
        </w:rPr>
        <w:t xml:space="preserve">weight </w:t>
      </w:r>
      <w:r w:rsidR="003D31BB">
        <w:rPr>
          <w:rFonts w:ascii="Arial" w:hAnsi="Arial" w:cs="Arial"/>
          <w:sz w:val="22"/>
          <w:szCs w:val="22"/>
        </w:rPr>
        <w:t>should</w:t>
      </w:r>
      <w:r w:rsidR="00671757">
        <w:rPr>
          <w:rFonts w:ascii="Arial" w:hAnsi="Arial" w:cs="Arial"/>
          <w:sz w:val="22"/>
          <w:szCs w:val="22"/>
        </w:rPr>
        <w:t xml:space="preserve"> be atta</w:t>
      </w:r>
      <w:r w:rsidR="003D31BB">
        <w:rPr>
          <w:rFonts w:ascii="Arial" w:hAnsi="Arial" w:cs="Arial"/>
          <w:sz w:val="22"/>
          <w:szCs w:val="22"/>
        </w:rPr>
        <w:t xml:space="preserve">ched to the appeal decisions. </w:t>
      </w:r>
      <w:r w:rsidR="00490A78">
        <w:rPr>
          <w:rFonts w:ascii="Arial" w:hAnsi="Arial" w:cs="Arial"/>
          <w:sz w:val="22"/>
          <w:szCs w:val="22"/>
        </w:rPr>
        <w:t xml:space="preserve">With regard </w:t>
      </w:r>
      <w:r w:rsidR="00FB687A">
        <w:rPr>
          <w:rFonts w:ascii="Arial" w:hAnsi="Arial" w:cs="Arial"/>
          <w:sz w:val="22"/>
          <w:szCs w:val="22"/>
        </w:rPr>
        <w:t>to</w:t>
      </w:r>
      <w:r w:rsidR="00490A78">
        <w:rPr>
          <w:rFonts w:ascii="Arial" w:hAnsi="Arial" w:cs="Arial"/>
          <w:sz w:val="22"/>
          <w:szCs w:val="22"/>
        </w:rPr>
        <w:t xml:space="preserve"> the </w:t>
      </w:r>
      <w:r w:rsidR="00533F3F">
        <w:rPr>
          <w:rFonts w:ascii="Arial" w:hAnsi="Arial" w:cs="Arial"/>
          <w:sz w:val="22"/>
          <w:szCs w:val="22"/>
        </w:rPr>
        <w:t xml:space="preserve">first appeal referenced in the Council’s </w:t>
      </w:r>
      <w:r w:rsidR="00372A4C">
        <w:rPr>
          <w:rFonts w:ascii="Arial" w:hAnsi="Arial" w:cs="Arial"/>
          <w:sz w:val="22"/>
          <w:szCs w:val="22"/>
        </w:rPr>
        <w:t>Local Housing Needs Assessment (LHNA)</w:t>
      </w:r>
      <w:r w:rsidR="00533F3F">
        <w:rPr>
          <w:rFonts w:ascii="Arial" w:hAnsi="Arial" w:cs="Arial"/>
          <w:sz w:val="22"/>
          <w:szCs w:val="22"/>
        </w:rPr>
        <w:t xml:space="preserve"> </w:t>
      </w:r>
      <w:r w:rsidR="00A61815">
        <w:rPr>
          <w:rFonts w:ascii="Arial" w:hAnsi="Arial" w:cs="Arial"/>
          <w:sz w:val="22"/>
          <w:szCs w:val="22"/>
        </w:rPr>
        <w:t xml:space="preserve">it should be noted that this </w:t>
      </w:r>
      <w:r w:rsidR="005C7286">
        <w:rPr>
          <w:rFonts w:ascii="Arial" w:hAnsi="Arial" w:cs="Arial"/>
          <w:sz w:val="22"/>
          <w:szCs w:val="22"/>
        </w:rPr>
        <w:t xml:space="preserve">decision was </w:t>
      </w:r>
      <w:r w:rsidR="00071136">
        <w:rPr>
          <w:rFonts w:ascii="Arial" w:hAnsi="Arial" w:cs="Arial"/>
          <w:sz w:val="22"/>
          <w:szCs w:val="22"/>
        </w:rPr>
        <w:t>based on the 2012 NPPF and its supporting guidance</w:t>
      </w:r>
      <w:r w:rsidR="00B81551">
        <w:rPr>
          <w:rFonts w:ascii="Arial" w:hAnsi="Arial" w:cs="Arial"/>
          <w:sz w:val="22"/>
          <w:szCs w:val="22"/>
        </w:rPr>
        <w:t>.</w:t>
      </w:r>
      <w:r w:rsidR="00CB6176">
        <w:rPr>
          <w:rFonts w:ascii="Arial" w:hAnsi="Arial" w:cs="Arial"/>
          <w:sz w:val="22"/>
          <w:szCs w:val="22"/>
        </w:rPr>
        <w:t xml:space="preserve"> The </w:t>
      </w:r>
      <w:r w:rsidR="00393FFA">
        <w:rPr>
          <w:rFonts w:ascii="Arial" w:hAnsi="Arial" w:cs="Arial"/>
          <w:sz w:val="22"/>
          <w:szCs w:val="22"/>
        </w:rPr>
        <w:t>standard</w:t>
      </w:r>
      <w:r w:rsidR="00CB6176">
        <w:rPr>
          <w:rFonts w:ascii="Arial" w:hAnsi="Arial" w:cs="Arial"/>
          <w:sz w:val="22"/>
          <w:szCs w:val="22"/>
        </w:rPr>
        <w:t xml:space="preserve"> method </w:t>
      </w:r>
      <w:r w:rsidR="00260BF0">
        <w:rPr>
          <w:rFonts w:ascii="Arial" w:hAnsi="Arial" w:cs="Arial"/>
          <w:sz w:val="22"/>
          <w:szCs w:val="22"/>
        </w:rPr>
        <w:t xml:space="preserve">that is required by the current NPPF </w:t>
      </w:r>
      <w:r w:rsidR="00CB6176">
        <w:rPr>
          <w:rFonts w:ascii="Arial" w:hAnsi="Arial" w:cs="Arial"/>
          <w:sz w:val="22"/>
          <w:szCs w:val="22"/>
        </w:rPr>
        <w:t xml:space="preserve">is a different </w:t>
      </w:r>
      <w:r w:rsidR="00393FFA">
        <w:rPr>
          <w:rFonts w:ascii="Arial" w:hAnsi="Arial" w:cs="Arial"/>
          <w:sz w:val="22"/>
          <w:szCs w:val="22"/>
        </w:rPr>
        <w:t>approach</w:t>
      </w:r>
      <w:r w:rsidR="00CB6176">
        <w:rPr>
          <w:rFonts w:ascii="Arial" w:hAnsi="Arial" w:cs="Arial"/>
          <w:sz w:val="22"/>
          <w:szCs w:val="22"/>
        </w:rPr>
        <w:t xml:space="preserve"> to setting ho</w:t>
      </w:r>
      <w:r w:rsidR="00393FFA">
        <w:rPr>
          <w:rFonts w:ascii="Arial" w:hAnsi="Arial" w:cs="Arial"/>
          <w:sz w:val="22"/>
          <w:szCs w:val="22"/>
        </w:rPr>
        <w:t xml:space="preserve">using needs </w:t>
      </w:r>
      <w:r w:rsidR="00B81551">
        <w:rPr>
          <w:rFonts w:ascii="Arial" w:hAnsi="Arial" w:cs="Arial"/>
          <w:sz w:val="22"/>
          <w:szCs w:val="22"/>
        </w:rPr>
        <w:t xml:space="preserve">and as such limited weight should be attached to this decision. </w:t>
      </w:r>
      <w:r w:rsidR="00372A4C">
        <w:rPr>
          <w:rFonts w:ascii="Arial" w:hAnsi="Arial" w:cs="Arial"/>
          <w:sz w:val="22"/>
          <w:szCs w:val="22"/>
        </w:rPr>
        <w:t>With regard to the second case highlighted in the LHNA</w:t>
      </w:r>
      <w:r w:rsidR="00890482">
        <w:rPr>
          <w:rFonts w:ascii="Arial" w:hAnsi="Arial" w:cs="Arial"/>
          <w:sz w:val="22"/>
          <w:szCs w:val="22"/>
        </w:rPr>
        <w:t xml:space="preserve"> this relates to</w:t>
      </w:r>
      <w:r w:rsidR="00FF0918">
        <w:rPr>
          <w:rFonts w:ascii="Arial" w:hAnsi="Arial" w:cs="Arial"/>
          <w:sz w:val="22"/>
          <w:szCs w:val="22"/>
        </w:rPr>
        <w:t xml:space="preserve"> </w:t>
      </w:r>
      <w:r w:rsidR="00890482">
        <w:rPr>
          <w:rFonts w:ascii="Arial" w:hAnsi="Arial" w:cs="Arial"/>
          <w:sz w:val="22"/>
          <w:szCs w:val="22"/>
        </w:rPr>
        <w:t xml:space="preserve">Central Bedfordshire </w:t>
      </w:r>
      <w:r w:rsidR="00EC7968">
        <w:rPr>
          <w:rFonts w:ascii="Arial" w:hAnsi="Arial" w:cs="Arial"/>
          <w:sz w:val="22"/>
          <w:szCs w:val="22"/>
        </w:rPr>
        <w:t xml:space="preserve">where the situation </w:t>
      </w:r>
      <w:r w:rsidR="00C42045">
        <w:rPr>
          <w:rFonts w:ascii="Arial" w:hAnsi="Arial" w:cs="Arial"/>
          <w:sz w:val="22"/>
          <w:szCs w:val="22"/>
        </w:rPr>
        <w:t xml:space="preserve">is significantly different to that seen in </w:t>
      </w:r>
      <w:r w:rsidR="00567C2B">
        <w:rPr>
          <w:rFonts w:ascii="Arial" w:hAnsi="Arial" w:cs="Arial"/>
          <w:sz w:val="22"/>
          <w:szCs w:val="22"/>
        </w:rPr>
        <w:t>North</w:t>
      </w:r>
      <w:r w:rsidR="00F96CEE">
        <w:rPr>
          <w:rFonts w:ascii="Arial" w:hAnsi="Arial" w:cs="Arial"/>
          <w:sz w:val="22"/>
          <w:szCs w:val="22"/>
        </w:rPr>
        <w:t xml:space="preserve"> Norfolk. </w:t>
      </w:r>
      <w:r w:rsidR="00C42045">
        <w:rPr>
          <w:rFonts w:ascii="Arial" w:hAnsi="Arial" w:cs="Arial"/>
          <w:sz w:val="22"/>
          <w:szCs w:val="22"/>
        </w:rPr>
        <w:t>T</w:t>
      </w:r>
      <w:r w:rsidR="00567C2B">
        <w:rPr>
          <w:rFonts w:ascii="Arial" w:hAnsi="Arial" w:cs="Arial"/>
          <w:sz w:val="22"/>
          <w:szCs w:val="22"/>
        </w:rPr>
        <w:t xml:space="preserve">he </w:t>
      </w:r>
      <w:r w:rsidR="00D92A16">
        <w:rPr>
          <w:rFonts w:ascii="Arial" w:hAnsi="Arial" w:cs="Arial"/>
          <w:sz w:val="22"/>
          <w:szCs w:val="22"/>
        </w:rPr>
        <w:t xml:space="preserve">local </w:t>
      </w:r>
      <w:r w:rsidR="00AA2A44">
        <w:rPr>
          <w:rFonts w:ascii="Arial" w:hAnsi="Arial" w:cs="Arial"/>
          <w:sz w:val="22"/>
          <w:szCs w:val="22"/>
        </w:rPr>
        <w:t>ho</w:t>
      </w:r>
      <w:r w:rsidR="00D92A16">
        <w:rPr>
          <w:rFonts w:ascii="Arial" w:hAnsi="Arial" w:cs="Arial"/>
          <w:sz w:val="22"/>
          <w:szCs w:val="22"/>
        </w:rPr>
        <w:t>u</w:t>
      </w:r>
      <w:r w:rsidR="00AA2A44">
        <w:rPr>
          <w:rFonts w:ascii="Arial" w:hAnsi="Arial" w:cs="Arial"/>
          <w:sz w:val="22"/>
          <w:szCs w:val="22"/>
        </w:rPr>
        <w:t xml:space="preserve">sing needs assessment </w:t>
      </w:r>
      <w:r w:rsidR="00DE2E2F">
        <w:rPr>
          <w:rFonts w:ascii="Arial" w:hAnsi="Arial" w:cs="Arial"/>
          <w:sz w:val="22"/>
          <w:szCs w:val="22"/>
        </w:rPr>
        <w:t>using</w:t>
      </w:r>
      <w:r w:rsidR="00AA2A44">
        <w:rPr>
          <w:rFonts w:ascii="Arial" w:hAnsi="Arial" w:cs="Arial"/>
          <w:sz w:val="22"/>
          <w:szCs w:val="22"/>
        </w:rPr>
        <w:t xml:space="preserve"> the standard method </w:t>
      </w:r>
      <w:r w:rsidR="00D92A16">
        <w:rPr>
          <w:rFonts w:ascii="Arial" w:hAnsi="Arial" w:cs="Arial"/>
          <w:sz w:val="22"/>
          <w:szCs w:val="22"/>
        </w:rPr>
        <w:t xml:space="preserve">when this </w:t>
      </w:r>
      <w:r w:rsidR="00C42045">
        <w:rPr>
          <w:rFonts w:ascii="Arial" w:hAnsi="Arial" w:cs="Arial"/>
          <w:sz w:val="22"/>
          <w:szCs w:val="22"/>
        </w:rPr>
        <w:t xml:space="preserve">appeal </w:t>
      </w:r>
      <w:r w:rsidR="00D92A16">
        <w:rPr>
          <w:rFonts w:ascii="Arial" w:hAnsi="Arial" w:cs="Arial"/>
          <w:sz w:val="22"/>
          <w:szCs w:val="22"/>
        </w:rPr>
        <w:t xml:space="preserve">decision was made </w:t>
      </w:r>
      <w:r w:rsidR="00DE2E2F">
        <w:rPr>
          <w:rFonts w:ascii="Arial" w:hAnsi="Arial" w:cs="Arial"/>
          <w:sz w:val="22"/>
          <w:szCs w:val="22"/>
        </w:rPr>
        <w:t>result</w:t>
      </w:r>
      <w:r w:rsidR="00D92A16">
        <w:rPr>
          <w:rFonts w:ascii="Arial" w:hAnsi="Arial" w:cs="Arial"/>
          <w:sz w:val="22"/>
          <w:szCs w:val="22"/>
        </w:rPr>
        <w:t>ed</w:t>
      </w:r>
      <w:r w:rsidR="00AA2A44">
        <w:rPr>
          <w:rFonts w:ascii="Arial" w:hAnsi="Arial" w:cs="Arial"/>
          <w:sz w:val="22"/>
          <w:szCs w:val="22"/>
        </w:rPr>
        <w:t xml:space="preserve"> in </w:t>
      </w:r>
      <w:r w:rsidR="00726716">
        <w:rPr>
          <w:rFonts w:ascii="Arial" w:hAnsi="Arial" w:cs="Arial"/>
          <w:sz w:val="22"/>
          <w:szCs w:val="22"/>
        </w:rPr>
        <w:t>a housing need of 2,</w:t>
      </w:r>
      <w:r w:rsidR="00187619">
        <w:rPr>
          <w:rFonts w:ascii="Arial" w:hAnsi="Arial" w:cs="Arial"/>
          <w:sz w:val="22"/>
          <w:szCs w:val="22"/>
        </w:rPr>
        <w:t>423</w:t>
      </w:r>
      <w:r w:rsidR="00726716">
        <w:rPr>
          <w:rFonts w:ascii="Arial" w:hAnsi="Arial" w:cs="Arial"/>
          <w:sz w:val="22"/>
          <w:szCs w:val="22"/>
        </w:rPr>
        <w:t xml:space="preserve"> dpa compared the Council’s assessment of housing need </w:t>
      </w:r>
      <w:r w:rsidR="00DE2E2F">
        <w:rPr>
          <w:rFonts w:ascii="Arial" w:hAnsi="Arial" w:cs="Arial"/>
          <w:sz w:val="22"/>
          <w:szCs w:val="22"/>
        </w:rPr>
        <w:t>of 1,600 dpa</w:t>
      </w:r>
      <w:r w:rsidR="003A237F">
        <w:rPr>
          <w:rFonts w:ascii="Arial" w:hAnsi="Arial" w:cs="Arial"/>
          <w:sz w:val="22"/>
          <w:szCs w:val="22"/>
        </w:rPr>
        <w:t xml:space="preserve">. This </w:t>
      </w:r>
      <w:r w:rsidR="00507162">
        <w:rPr>
          <w:rFonts w:ascii="Arial" w:hAnsi="Arial" w:cs="Arial"/>
          <w:sz w:val="22"/>
          <w:szCs w:val="22"/>
        </w:rPr>
        <w:t xml:space="preserve">is </w:t>
      </w:r>
      <w:r w:rsidR="005C0E88">
        <w:rPr>
          <w:rFonts w:ascii="Arial" w:hAnsi="Arial" w:cs="Arial"/>
          <w:sz w:val="22"/>
          <w:szCs w:val="22"/>
        </w:rPr>
        <w:t>significantly</w:t>
      </w:r>
      <w:r w:rsidR="00507162">
        <w:rPr>
          <w:rFonts w:ascii="Arial" w:hAnsi="Arial" w:cs="Arial"/>
          <w:sz w:val="22"/>
          <w:szCs w:val="22"/>
        </w:rPr>
        <w:t xml:space="preserve"> </w:t>
      </w:r>
      <w:r w:rsidR="005C0E88">
        <w:rPr>
          <w:rFonts w:ascii="Arial" w:hAnsi="Arial" w:cs="Arial"/>
          <w:sz w:val="22"/>
          <w:szCs w:val="22"/>
        </w:rPr>
        <w:t>higher th</w:t>
      </w:r>
      <w:r w:rsidR="008C186F">
        <w:rPr>
          <w:rFonts w:ascii="Arial" w:hAnsi="Arial" w:cs="Arial"/>
          <w:sz w:val="22"/>
          <w:szCs w:val="22"/>
        </w:rPr>
        <w:t xml:space="preserve">an </w:t>
      </w:r>
      <w:r w:rsidR="006F1096">
        <w:rPr>
          <w:rFonts w:ascii="Arial" w:hAnsi="Arial" w:cs="Arial"/>
          <w:sz w:val="22"/>
          <w:szCs w:val="22"/>
        </w:rPr>
        <w:t>the difference</w:t>
      </w:r>
      <w:r w:rsidR="00D92A16">
        <w:rPr>
          <w:rFonts w:ascii="Arial" w:hAnsi="Arial" w:cs="Arial"/>
          <w:sz w:val="22"/>
          <w:szCs w:val="22"/>
        </w:rPr>
        <w:t xml:space="preserve">, both </w:t>
      </w:r>
      <w:r w:rsidR="008630B8">
        <w:rPr>
          <w:rFonts w:ascii="Arial" w:hAnsi="Arial" w:cs="Arial"/>
          <w:sz w:val="22"/>
          <w:szCs w:val="22"/>
        </w:rPr>
        <w:t xml:space="preserve">in totality and proportionately, </w:t>
      </w:r>
      <w:r w:rsidR="006F1096">
        <w:rPr>
          <w:rFonts w:ascii="Arial" w:hAnsi="Arial" w:cs="Arial"/>
          <w:sz w:val="22"/>
          <w:szCs w:val="22"/>
        </w:rPr>
        <w:t xml:space="preserve">between </w:t>
      </w:r>
      <w:r w:rsidR="008C186F">
        <w:rPr>
          <w:rFonts w:ascii="Arial" w:hAnsi="Arial" w:cs="Arial"/>
          <w:sz w:val="22"/>
          <w:szCs w:val="22"/>
        </w:rPr>
        <w:t>NNDC’s</w:t>
      </w:r>
      <w:r w:rsidR="006F1096">
        <w:rPr>
          <w:rFonts w:ascii="Arial" w:hAnsi="Arial" w:cs="Arial"/>
          <w:sz w:val="22"/>
          <w:szCs w:val="22"/>
        </w:rPr>
        <w:t xml:space="preserve"> assessment of housing need and that arrived at using standard method. </w:t>
      </w:r>
      <w:r w:rsidR="00507162">
        <w:rPr>
          <w:rFonts w:ascii="Arial" w:hAnsi="Arial" w:cs="Arial"/>
          <w:sz w:val="22"/>
          <w:szCs w:val="22"/>
        </w:rPr>
        <w:t xml:space="preserve"> </w:t>
      </w:r>
      <w:r w:rsidR="00D47CAE">
        <w:rPr>
          <w:rFonts w:ascii="Arial" w:hAnsi="Arial" w:cs="Arial"/>
          <w:sz w:val="22"/>
          <w:szCs w:val="22"/>
        </w:rPr>
        <w:t xml:space="preserve">As such </w:t>
      </w:r>
      <w:r w:rsidR="00A91CC1">
        <w:rPr>
          <w:rFonts w:ascii="Arial" w:hAnsi="Arial" w:cs="Arial"/>
          <w:sz w:val="22"/>
          <w:szCs w:val="22"/>
        </w:rPr>
        <w:t>no</w:t>
      </w:r>
      <w:r w:rsidR="00D47CAE">
        <w:rPr>
          <w:rFonts w:ascii="Arial" w:hAnsi="Arial" w:cs="Arial"/>
          <w:sz w:val="22"/>
          <w:szCs w:val="22"/>
        </w:rPr>
        <w:t xml:space="preserve"> weight </w:t>
      </w:r>
      <w:r w:rsidR="00D11243">
        <w:rPr>
          <w:rFonts w:ascii="Arial" w:hAnsi="Arial" w:cs="Arial"/>
          <w:sz w:val="22"/>
          <w:szCs w:val="22"/>
        </w:rPr>
        <w:t>should</w:t>
      </w:r>
      <w:r w:rsidR="00D47CAE">
        <w:rPr>
          <w:rFonts w:ascii="Arial" w:hAnsi="Arial" w:cs="Arial"/>
          <w:sz w:val="22"/>
          <w:szCs w:val="22"/>
        </w:rPr>
        <w:t xml:space="preserve"> be attached to</w:t>
      </w:r>
      <w:r w:rsidR="00456B35">
        <w:rPr>
          <w:rFonts w:ascii="Arial" w:hAnsi="Arial" w:cs="Arial"/>
          <w:sz w:val="22"/>
          <w:szCs w:val="22"/>
        </w:rPr>
        <w:t xml:space="preserve"> both</w:t>
      </w:r>
      <w:r w:rsidR="00D47CAE">
        <w:rPr>
          <w:rFonts w:ascii="Arial" w:hAnsi="Arial" w:cs="Arial"/>
          <w:sz w:val="22"/>
          <w:szCs w:val="22"/>
        </w:rPr>
        <w:t xml:space="preserve"> th</w:t>
      </w:r>
      <w:r w:rsidR="00A91CC1">
        <w:rPr>
          <w:rFonts w:ascii="Arial" w:hAnsi="Arial" w:cs="Arial"/>
          <w:sz w:val="22"/>
          <w:szCs w:val="22"/>
        </w:rPr>
        <w:t>ese</w:t>
      </w:r>
      <w:r w:rsidR="00456B35">
        <w:rPr>
          <w:rFonts w:ascii="Arial" w:hAnsi="Arial" w:cs="Arial"/>
          <w:sz w:val="22"/>
          <w:szCs w:val="22"/>
        </w:rPr>
        <w:t xml:space="preserve"> </w:t>
      </w:r>
      <w:r w:rsidR="00D47CAE">
        <w:rPr>
          <w:rFonts w:ascii="Arial" w:hAnsi="Arial" w:cs="Arial"/>
          <w:sz w:val="22"/>
          <w:szCs w:val="22"/>
        </w:rPr>
        <w:t>decision</w:t>
      </w:r>
      <w:r w:rsidR="00456B35">
        <w:rPr>
          <w:rFonts w:ascii="Arial" w:hAnsi="Arial" w:cs="Arial"/>
          <w:sz w:val="22"/>
          <w:szCs w:val="22"/>
        </w:rPr>
        <w:t>s</w:t>
      </w:r>
      <w:r w:rsidR="00D47CAE">
        <w:rPr>
          <w:rFonts w:ascii="Arial" w:hAnsi="Arial" w:cs="Arial"/>
          <w:sz w:val="22"/>
          <w:szCs w:val="22"/>
        </w:rPr>
        <w:t xml:space="preserve">. </w:t>
      </w:r>
    </w:p>
    <w:p w14:paraId="2108C547" w14:textId="77777777" w:rsidR="005E14F8" w:rsidRDefault="005E14F8" w:rsidP="0032582C">
      <w:pPr>
        <w:spacing w:line="360" w:lineRule="auto"/>
        <w:jc w:val="both"/>
        <w:rPr>
          <w:rFonts w:ascii="Arial" w:hAnsi="Arial" w:cs="Arial"/>
          <w:sz w:val="22"/>
          <w:szCs w:val="22"/>
        </w:rPr>
      </w:pPr>
    </w:p>
    <w:p w14:paraId="688501AB" w14:textId="77777777" w:rsidR="005E14F8" w:rsidRPr="00B946EF" w:rsidRDefault="005E14F8" w:rsidP="0032582C">
      <w:pPr>
        <w:spacing w:line="360" w:lineRule="auto"/>
        <w:jc w:val="both"/>
        <w:rPr>
          <w:rFonts w:ascii="Arial" w:hAnsi="Arial" w:cs="Arial"/>
          <w:i/>
          <w:iCs/>
          <w:sz w:val="22"/>
          <w:szCs w:val="22"/>
          <w:u w:val="single"/>
        </w:rPr>
      </w:pPr>
      <w:r w:rsidRPr="00B946EF">
        <w:rPr>
          <w:rFonts w:ascii="Arial" w:hAnsi="Arial" w:cs="Arial"/>
          <w:i/>
          <w:iCs/>
          <w:sz w:val="22"/>
          <w:szCs w:val="22"/>
          <w:u w:val="single"/>
        </w:rPr>
        <w:t>3.6 If there are exceptional circumstances justifying use of a non-standard approach, should the 2018 based projections be used as more up to date than the 2016 based projections? What should the dpa figure be then? If the 2016 rather than 2018 based projections are to be used, what would be the justification for this?</w:t>
      </w:r>
    </w:p>
    <w:p w14:paraId="519DE4E5" w14:textId="77777777" w:rsidR="005E14F8" w:rsidRDefault="005E14F8" w:rsidP="0032582C">
      <w:pPr>
        <w:spacing w:line="360" w:lineRule="auto"/>
        <w:jc w:val="both"/>
        <w:rPr>
          <w:rFonts w:ascii="Arial" w:hAnsi="Arial" w:cs="Arial"/>
          <w:sz w:val="22"/>
          <w:szCs w:val="22"/>
        </w:rPr>
      </w:pPr>
    </w:p>
    <w:p w14:paraId="316314FC" w14:textId="61FAEB71" w:rsidR="005E14F8" w:rsidRDefault="005E14F8" w:rsidP="0032582C">
      <w:pPr>
        <w:spacing w:line="360" w:lineRule="auto"/>
        <w:jc w:val="both"/>
        <w:rPr>
          <w:rFonts w:ascii="Arial" w:hAnsi="Arial" w:cs="Arial"/>
          <w:sz w:val="22"/>
          <w:szCs w:val="22"/>
        </w:rPr>
      </w:pPr>
      <w:r>
        <w:rPr>
          <w:rFonts w:ascii="Arial" w:hAnsi="Arial" w:cs="Arial"/>
          <w:sz w:val="22"/>
          <w:szCs w:val="22"/>
        </w:rPr>
        <w:t xml:space="preserve">Logic would suggest that if the use an alternate set of projections is justified then the 2018 based projections would be the more appropriate set of projections to use given that they are the most recent set of projections available to the </w:t>
      </w:r>
      <w:r w:rsidR="00AD1E6A">
        <w:rPr>
          <w:rFonts w:ascii="Arial" w:hAnsi="Arial" w:cs="Arial"/>
          <w:sz w:val="22"/>
          <w:szCs w:val="22"/>
        </w:rPr>
        <w:t>Council and</w:t>
      </w:r>
      <w:r>
        <w:rPr>
          <w:rFonts w:ascii="Arial" w:hAnsi="Arial" w:cs="Arial"/>
          <w:sz w:val="22"/>
          <w:szCs w:val="22"/>
        </w:rPr>
        <w:t xml:space="preserve"> were available at the point of submission. However, as with all projections there are difficulties in that this data set is based on only two years of migration data and as such </w:t>
      </w:r>
      <w:r w:rsidR="00C02BCD">
        <w:rPr>
          <w:rFonts w:ascii="Arial" w:hAnsi="Arial" w:cs="Arial"/>
          <w:sz w:val="22"/>
          <w:szCs w:val="22"/>
        </w:rPr>
        <w:t>provides a l</w:t>
      </w:r>
      <w:r w:rsidR="003044A2">
        <w:rPr>
          <w:rFonts w:ascii="Arial" w:hAnsi="Arial" w:cs="Arial"/>
          <w:sz w:val="22"/>
          <w:szCs w:val="22"/>
        </w:rPr>
        <w:t xml:space="preserve">imited trend data from which to accurately predict future growth. </w:t>
      </w:r>
      <w:r w:rsidR="00C02BCD">
        <w:rPr>
          <w:rFonts w:ascii="Arial" w:hAnsi="Arial" w:cs="Arial"/>
          <w:sz w:val="22"/>
          <w:szCs w:val="22"/>
        </w:rPr>
        <w:t xml:space="preserve"> </w:t>
      </w:r>
      <w:r w:rsidR="00424A83">
        <w:rPr>
          <w:rFonts w:ascii="Arial" w:hAnsi="Arial" w:cs="Arial"/>
          <w:sz w:val="22"/>
          <w:szCs w:val="22"/>
        </w:rPr>
        <w:t>However, as stated above t</w:t>
      </w:r>
      <w:r>
        <w:rPr>
          <w:rFonts w:ascii="Arial" w:hAnsi="Arial" w:cs="Arial"/>
          <w:sz w:val="22"/>
          <w:szCs w:val="22"/>
        </w:rPr>
        <w:t xml:space="preserve">he </w:t>
      </w:r>
      <w:r w:rsidR="003B32D2">
        <w:rPr>
          <w:rFonts w:ascii="Arial" w:hAnsi="Arial" w:cs="Arial"/>
          <w:sz w:val="22"/>
          <w:szCs w:val="22"/>
        </w:rPr>
        <w:t xml:space="preserve">HBF do not consider there to be the exceptional circumstances present to support the use of </w:t>
      </w:r>
      <w:r w:rsidR="003E57AF">
        <w:rPr>
          <w:rFonts w:ascii="Arial" w:hAnsi="Arial" w:cs="Arial"/>
          <w:sz w:val="22"/>
          <w:szCs w:val="22"/>
        </w:rPr>
        <w:t>an alternative approach to assessing housing needs</w:t>
      </w:r>
      <w:r w:rsidR="003B32D2">
        <w:rPr>
          <w:rFonts w:ascii="Arial" w:hAnsi="Arial" w:cs="Arial"/>
          <w:sz w:val="22"/>
          <w:szCs w:val="22"/>
        </w:rPr>
        <w:t>.</w:t>
      </w:r>
      <w:r>
        <w:rPr>
          <w:rFonts w:ascii="Arial" w:hAnsi="Arial" w:cs="Arial"/>
          <w:sz w:val="22"/>
          <w:szCs w:val="22"/>
        </w:rPr>
        <w:t xml:space="preserve"> </w:t>
      </w:r>
    </w:p>
    <w:p w14:paraId="630B7B5B" w14:textId="77777777" w:rsidR="005E14F8" w:rsidRDefault="005E14F8" w:rsidP="0032582C">
      <w:pPr>
        <w:spacing w:line="360" w:lineRule="auto"/>
        <w:jc w:val="both"/>
        <w:rPr>
          <w:rFonts w:ascii="Arial" w:hAnsi="Arial" w:cs="Arial"/>
          <w:sz w:val="22"/>
          <w:szCs w:val="22"/>
        </w:rPr>
      </w:pPr>
    </w:p>
    <w:p w14:paraId="4A883317" w14:textId="77777777" w:rsidR="005E14F8" w:rsidRPr="00BA25E4" w:rsidRDefault="005E14F8" w:rsidP="0032582C">
      <w:pPr>
        <w:spacing w:line="360" w:lineRule="auto"/>
        <w:jc w:val="both"/>
        <w:rPr>
          <w:rFonts w:ascii="Arial" w:hAnsi="Arial" w:cs="Arial"/>
          <w:i/>
          <w:iCs/>
          <w:sz w:val="22"/>
          <w:szCs w:val="22"/>
          <w:u w:val="single"/>
        </w:rPr>
      </w:pPr>
      <w:r w:rsidRPr="00BA25E4">
        <w:rPr>
          <w:rFonts w:ascii="Arial" w:hAnsi="Arial" w:cs="Arial"/>
          <w:i/>
          <w:iCs/>
          <w:sz w:val="22"/>
          <w:szCs w:val="22"/>
          <w:u w:val="single"/>
        </w:rPr>
        <w:t>3.7 Would it be appropriate to increase the housing need figure for the district to take account of economic growth strategies, infrastructure improvements, to address the</w:t>
      </w:r>
    </w:p>
    <w:p w14:paraId="661CDBCF" w14:textId="77777777" w:rsidR="005E14F8" w:rsidRPr="00BA25E4" w:rsidRDefault="005E14F8" w:rsidP="0032582C">
      <w:pPr>
        <w:spacing w:line="360" w:lineRule="auto"/>
        <w:jc w:val="both"/>
        <w:rPr>
          <w:rFonts w:ascii="Arial" w:hAnsi="Arial" w:cs="Arial"/>
          <w:i/>
          <w:iCs/>
          <w:sz w:val="22"/>
          <w:szCs w:val="22"/>
          <w:u w:val="single"/>
        </w:rPr>
      </w:pPr>
      <w:r w:rsidRPr="00BA25E4">
        <w:rPr>
          <w:rFonts w:ascii="Arial" w:hAnsi="Arial" w:cs="Arial"/>
          <w:i/>
          <w:iCs/>
          <w:sz w:val="22"/>
          <w:szCs w:val="22"/>
          <w:u w:val="single"/>
        </w:rPr>
        <w:t xml:space="preserve">need for more affordable housing or to provide for the unmet needs of neighbouring local authorities? </w:t>
      </w:r>
    </w:p>
    <w:p w14:paraId="7C2987F6" w14:textId="77777777" w:rsidR="005E14F8" w:rsidRDefault="005E14F8" w:rsidP="0032582C">
      <w:pPr>
        <w:spacing w:line="360" w:lineRule="auto"/>
        <w:jc w:val="both"/>
        <w:rPr>
          <w:rFonts w:ascii="Arial" w:hAnsi="Arial" w:cs="Arial"/>
          <w:sz w:val="22"/>
          <w:szCs w:val="22"/>
        </w:rPr>
      </w:pPr>
    </w:p>
    <w:p w14:paraId="6051DA8E" w14:textId="77777777" w:rsidR="005E14F8" w:rsidRDefault="005E14F8" w:rsidP="0032582C">
      <w:pPr>
        <w:spacing w:line="360" w:lineRule="auto"/>
        <w:jc w:val="both"/>
        <w:rPr>
          <w:rFonts w:ascii="Arial" w:hAnsi="Arial" w:cs="Arial"/>
          <w:sz w:val="22"/>
          <w:szCs w:val="22"/>
        </w:rPr>
      </w:pPr>
      <w:r>
        <w:rPr>
          <w:rFonts w:ascii="Arial" w:hAnsi="Arial" w:cs="Arial"/>
          <w:sz w:val="22"/>
          <w:szCs w:val="22"/>
        </w:rPr>
        <w:t>No comment.</w:t>
      </w:r>
    </w:p>
    <w:p w14:paraId="3F3A72E5" w14:textId="77777777" w:rsidR="005E14F8" w:rsidRPr="00D22BDE" w:rsidRDefault="005E14F8" w:rsidP="0032582C">
      <w:pPr>
        <w:spacing w:line="360" w:lineRule="auto"/>
        <w:jc w:val="both"/>
        <w:rPr>
          <w:rFonts w:ascii="Arial" w:hAnsi="Arial" w:cs="Arial"/>
          <w:sz w:val="22"/>
          <w:szCs w:val="22"/>
        </w:rPr>
      </w:pPr>
    </w:p>
    <w:p w14:paraId="405697F4" w14:textId="77777777" w:rsidR="005E14F8" w:rsidRPr="00465899" w:rsidRDefault="005E14F8" w:rsidP="0032582C">
      <w:pPr>
        <w:spacing w:line="360" w:lineRule="auto"/>
        <w:jc w:val="both"/>
        <w:rPr>
          <w:rFonts w:ascii="Arial" w:hAnsi="Arial" w:cs="Arial"/>
          <w:i/>
          <w:iCs/>
          <w:sz w:val="22"/>
          <w:szCs w:val="22"/>
          <w:u w:val="single"/>
        </w:rPr>
      </w:pPr>
      <w:r w:rsidRPr="00465899">
        <w:rPr>
          <w:rFonts w:ascii="Arial" w:hAnsi="Arial" w:cs="Arial"/>
          <w:i/>
          <w:iCs/>
          <w:sz w:val="22"/>
          <w:szCs w:val="22"/>
          <w:u w:val="single"/>
        </w:rPr>
        <w:t xml:space="preserve">3.8 Are there national policies that protect areas or assets of particular importance in the district that provide a strong reason for reducing the overall provision of housing in the plan below the housing need figure (NPPF paragraph 11b)? If so, is this conclusion supported by the Housing Land Availability Assessment, and have discussions taken place with neighbouring authorities to seek to address the unmet needs? </w:t>
      </w:r>
    </w:p>
    <w:p w14:paraId="55104089" w14:textId="77777777" w:rsidR="005E14F8" w:rsidRDefault="005E14F8" w:rsidP="0032582C">
      <w:pPr>
        <w:spacing w:line="360" w:lineRule="auto"/>
        <w:jc w:val="both"/>
        <w:rPr>
          <w:rFonts w:ascii="Arial" w:hAnsi="Arial" w:cs="Arial"/>
          <w:sz w:val="22"/>
          <w:szCs w:val="22"/>
        </w:rPr>
      </w:pPr>
    </w:p>
    <w:p w14:paraId="6B8899E3" w14:textId="77777777" w:rsidR="005E14F8" w:rsidRDefault="005E14F8" w:rsidP="0032582C">
      <w:pPr>
        <w:spacing w:line="360" w:lineRule="auto"/>
        <w:jc w:val="both"/>
        <w:rPr>
          <w:rFonts w:ascii="Arial" w:hAnsi="Arial" w:cs="Arial"/>
          <w:sz w:val="22"/>
          <w:szCs w:val="22"/>
        </w:rPr>
      </w:pPr>
      <w:r>
        <w:rPr>
          <w:rFonts w:ascii="Arial" w:hAnsi="Arial" w:cs="Arial"/>
          <w:sz w:val="22"/>
          <w:szCs w:val="22"/>
        </w:rPr>
        <w:t xml:space="preserve">No. </w:t>
      </w:r>
    </w:p>
    <w:p w14:paraId="72849CA9" w14:textId="77777777" w:rsidR="005E14F8" w:rsidRDefault="005E14F8" w:rsidP="0032582C">
      <w:pPr>
        <w:spacing w:line="360" w:lineRule="auto"/>
        <w:jc w:val="both"/>
        <w:rPr>
          <w:rFonts w:ascii="Arial" w:hAnsi="Arial" w:cs="Arial"/>
          <w:sz w:val="22"/>
          <w:szCs w:val="22"/>
        </w:rPr>
      </w:pPr>
    </w:p>
    <w:p w14:paraId="647B01B1" w14:textId="77777777" w:rsidR="005E14F8" w:rsidRPr="00465899" w:rsidRDefault="005E14F8" w:rsidP="0032582C">
      <w:pPr>
        <w:spacing w:line="360" w:lineRule="auto"/>
        <w:jc w:val="both"/>
        <w:rPr>
          <w:rFonts w:ascii="Arial" w:hAnsi="Arial" w:cs="Arial"/>
          <w:i/>
          <w:iCs/>
          <w:sz w:val="22"/>
          <w:szCs w:val="22"/>
          <w:u w:val="single"/>
        </w:rPr>
      </w:pPr>
      <w:r w:rsidRPr="00465899">
        <w:rPr>
          <w:rFonts w:ascii="Arial" w:hAnsi="Arial" w:cs="Arial"/>
          <w:i/>
          <w:iCs/>
          <w:sz w:val="22"/>
          <w:szCs w:val="22"/>
          <w:u w:val="single"/>
        </w:rPr>
        <w:t xml:space="preserve">3.9 Given the local housing need figure for the plan period, however assessed, what level of housing provision should be made in the plan to take account of unforeseen circumstances such as allocations or planning permissions not being implemented, or completions on allocated sites being slower than currently anticipated? On the basis of the Council’s local housing need figure of 9,600 dwellings, is the provision of 10,968 dwellings for 2016-36 or 10,633 for 2020-40 appropriate? (Updated HOU1 figures in EX006) </w:t>
      </w:r>
    </w:p>
    <w:p w14:paraId="5DFCDEB5" w14:textId="77777777" w:rsidR="005E14F8" w:rsidRDefault="005E14F8" w:rsidP="0032582C">
      <w:pPr>
        <w:spacing w:line="360" w:lineRule="auto"/>
        <w:jc w:val="both"/>
        <w:rPr>
          <w:rFonts w:ascii="Arial" w:hAnsi="Arial" w:cs="Arial"/>
          <w:sz w:val="22"/>
          <w:szCs w:val="22"/>
        </w:rPr>
      </w:pPr>
    </w:p>
    <w:p w14:paraId="6EC2F52B" w14:textId="01E60CA1" w:rsidR="00900C17" w:rsidRDefault="00C779CA" w:rsidP="0032582C">
      <w:pPr>
        <w:spacing w:line="360" w:lineRule="auto"/>
        <w:jc w:val="both"/>
        <w:rPr>
          <w:rFonts w:ascii="Arial" w:hAnsi="Arial" w:cs="Arial"/>
          <w:sz w:val="22"/>
          <w:szCs w:val="22"/>
        </w:rPr>
      </w:pPr>
      <w:r>
        <w:rPr>
          <w:rFonts w:ascii="Arial" w:hAnsi="Arial" w:cs="Arial"/>
          <w:sz w:val="22"/>
          <w:szCs w:val="22"/>
        </w:rPr>
        <w:t>T</w:t>
      </w:r>
      <w:r w:rsidR="005E14F8">
        <w:rPr>
          <w:rFonts w:ascii="Arial" w:hAnsi="Arial" w:cs="Arial"/>
          <w:sz w:val="22"/>
          <w:szCs w:val="22"/>
        </w:rPr>
        <w:t>here is no hard and fast rule as to the level of housing supply that is necessary to ensure that needs are met in full. In general, the HBF recommend that a buffer of at least 10% is required to take account of unforeseen circumstances that may delay the delivery of key sites. If the housing requirement remains at 480 dpa, 9</w:t>
      </w:r>
      <w:r w:rsidR="00861A96">
        <w:rPr>
          <w:rFonts w:ascii="Arial" w:hAnsi="Arial" w:cs="Arial"/>
          <w:sz w:val="22"/>
          <w:szCs w:val="22"/>
        </w:rPr>
        <w:t>,</w:t>
      </w:r>
      <w:r w:rsidR="005E14F8">
        <w:rPr>
          <w:rFonts w:ascii="Arial" w:hAnsi="Arial" w:cs="Arial"/>
          <w:sz w:val="22"/>
          <w:szCs w:val="22"/>
        </w:rPr>
        <w:t xml:space="preserve">600 homes over the plan period, then the buffer between 2020 and 2040 will be just 3% and offer very little room for error should development not come forward as expected. </w:t>
      </w:r>
    </w:p>
    <w:p w14:paraId="05FDF129" w14:textId="77777777" w:rsidR="005E14F8" w:rsidRDefault="005E14F8" w:rsidP="0032582C">
      <w:pPr>
        <w:spacing w:line="360" w:lineRule="auto"/>
        <w:jc w:val="both"/>
        <w:rPr>
          <w:rFonts w:ascii="Arial" w:hAnsi="Arial" w:cs="Arial"/>
          <w:sz w:val="22"/>
          <w:szCs w:val="22"/>
        </w:rPr>
      </w:pPr>
    </w:p>
    <w:p w14:paraId="7A196824" w14:textId="77777777" w:rsidR="005E14F8" w:rsidRPr="00465899" w:rsidRDefault="005E14F8" w:rsidP="0032582C">
      <w:pPr>
        <w:spacing w:line="360" w:lineRule="auto"/>
        <w:jc w:val="both"/>
        <w:rPr>
          <w:rFonts w:ascii="Arial" w:hAnsi="Arial" w:cs="Arial"/>
          <w:i/>
          <w:iCs/>
          <w:sz w:val="22"/>
          <w:szCs w:val="22"/>
          <w:u w:val="single"/>
        </w:rPr>
      </w:pPr>
      <w:r w:rsidRPr="00465899">
        <w:rPr>
          <w:rFonts w:ascii="Arial" w:hAnsi="Arial" w:cs="Arial"/>
          <w:i/>
          <w:iCs/>
          <w:sz w:val="22"/>
          <w:szCs w:val="22"/>
          <w:u w:val="single"/>
        </w:rPr>
        <w:t xml:space="preserve">3.10 Given the updated monitoring figures in EX006, if the local housing need is assessed as 10,610 dwellings or some other figure, what level of provision would be appropriate for 2016-36 or 2020-40? </w:t>
      </w:r>
    </w:p>
    <w:p w14:paraId="3BBD1A66" w14:textId="77777777" w:rsidR="005E14F8" w:rsidRDefault="005E14F8" w:rsidP="0032582C">
      <w:pPr>
        <w:spacing w:line="360" w:lineRule="auto"/>
        <w:jc w:val="both"/>
        <w:rPr>
          <w:rFonts w:ascii="Arial" w:hAnsi="Arial" w:cs="Arial"/>
          <w:sz w:val="22"/>
          <w:szCs w:val="22"/>
        </w:rPr>
      </w:pPr>
    </w:p>
    <w:p w14:paraId="60AA957E" w14:textId="2DE96C0E" w:rsidR="005E14F8" w:rsidRDefault="005E14F8" w:rsidP="0032582C">
      <w:pPr>
        <w:spacing w:line="360" w:lineRule="auto"/>
        <w:jc w:val="both"/>
        <w:rPr>
          <w:rFonts w:ascii="Arial" w:hAnsi="Arial" w:cs="Arial"/>
          <w:sz w:val="22"/>
          <w:szCs w:val="22"/>
        </w:rPr>
      </w:pPr>
      <w:r>
        <w:rPr>
          <w:rFonts w:ascii="Arial" w:hAnsi="Arial" w:cs="Arial"/>
          <w:sz w:val="22"/>
          <w:szCs w:val="22"/>
        </w:rPr>
        <w:lastRenderedPageBreak/>
        <w:t>Meeting needs in full on the basis of the standard method at the point at which the local plan was published would see a shortfall of around 38 dwellings per annum for the plan period 2020 and 2040</w:t>
      </w:r>
      <w:r w:rsidR="00BE59C6">
        <w:rPr>
          <w:rFonts w:ascii="Arial" w:hAnsi="Arial" w:cs="Arial"/>
          <w:sz w:val="22"/>
          <w:szCs w:val="22"/>
        </w:rPr>
        <w:t>, based on the supply expectation in the revised housing trajectory</w:t>
      </w:r>
      <w:r>
        <w:rPr>
          <w:rFonts w:ascii="Arial" w:hAnsi="Arial" w:cs="Arial"/>
          <w:sz w:val="22"/>
          <w:szCs w:val="22"/>
        </w:rPr>
        <w:t xml:space="preserve">. The NPPF states that as minimum that housing needs must be met in full. However, the tests of soundness in paragraph 35 also </w:t>
      </w:r>
      <w:r w:rsidR="009A24BC">
        <w:rPr>
          <w:rFonts w:ascii="Arial" w:hAnsi="Arial" w:cs="Arial"/>
          <w:sz w:val="22"/>
          <w:szCs w:val="22"/>
        </w:rPr>
        <w:t>require local plans to</w:t>
      </w:r>
      <w:r>
        <w:rPr>
          <w:rFonts w:ascii="Arial" w:hAnsi="Arial" w:cs="Arial"/>
          <w:sz w:val="22"/>
          <w:szCs w:val="22"/>
        </w:rPr>
        <w:t xml:space="preserve"> be deliverable over the plan period. To achieve this the plan must be flexible and take into account the inherent uncertainties with regard to bringing forward new development. </w:t>
      </w:r>
      <w:r w:rsidR="00956700">
        <w:rPr>
          <w:rFonts w:ascii="Arial" w:hAnsi="Arial" w:cs="Arial"/>
          <w:sz w:val="22"/>
          <w:szCs w:val="22"/>
        </w:rPr>
        <w:t>As set out above t</w:t>
      </w:r>
      <w:r>
        <w:rPr>
          <w:rFonts w:ascii="Arial" w:hAnsi="Arial" w:cs="Arial"/>
          <w:sz w:val="22"/>
          <w:szCs w:val="22"/>
        </w:rPr>
        <w:t>he HBF consider a 10% buffer to offer an appropriate level of flexibility appropriate and consider that the council should be identifying sufficient site and land to deliver around 12,000 homes over the plan period.</w:t>
      </w:r>
    </w:p>
    <w:p w14:paraId="0B35E5D5" w14:textId="77777777" w:rsidR="005E14F8" w:rsidRDefault="005E14F8" w:rsidP="0032582C">
      <w:pPr>
        <w:spacing w:line="360" w:lineRule="auto"/>
        <w:jc w:val="both"/>
        <w:rPr>
          <w:rFonts w:ascii="Arial" w:hAnsi="Arial" w:cs="Arial"/>
          <w:sz w:val="22"/>
          <w:szCs w:val="22"/>
        </w:rPr>
      </w:pPr>
    </w:p>
    <w:p w14:paraId="54F879F7" w14:textId="77777777" w:rsidR="009A24BC" w:rsidRDefault="005E14F8" w:rsidP="0032582C">
      <w:pPr>
        <w:spacing w:line="360" w:lineRule="auto"/>
        <w:jc w:val="both"/>
        <w:rPr>
          <w:rFonts w:ascii="Arial" w:hAnsi="Arial" w:cs="Arial"/>
          <w:i/>
          <w:iCs/>
          <w:sz w:val="22"/>
          <w:szCs w:val="22"/>
          <w:u w:val="single"/>
        </w:rPr>
      </w:pPr>
      <w:r w:rsidRPr="00465899">
        <w:rPr>
          <w:rFonts w:ascii="Arial" w:hAnsi="Arial" w:cs="Arial"/>
          <w:i/>
          <w:iCs/>
          <w:sz w:val="22"/>
          <w:szCs w:val="22"/>
          <w:u w:val="single"/>
        </w:rPr>
        <w:t xml:space="preserve">3.11 Should the number of dwellings with deliverable planning permission at 31.3.23 in Policy HOU1 be reduced to take account of potential non-implementation? If so, by how much? </w:t>
      </w:r>
    </w:p>
    <w:p w14:paraId="52A23AE6" w14:textId="77777777" w:rsidR="009A24BC" w:rsidRDefault="009A24BC" w:rsidP="0032582C">
      <w:pPr>
        <w:spacing w:line="360" w:lineRule="auto"/>
        <w:jc w:val="both"/>
        <w:rPr>
          <w:rFonts w:ascii="Arial" w:hAnsi="Arial" w:cs="Arial"/>
          <w:i/>
          <w:iCs/>
          <w:sz w:val="22"/>
          <w:szCs w:val="22"/>
          <w:u w:val="single"/>
        </w:rPr>
      </w:pPr>
    </w:p>
    <w:p w14:paraId="4C82BEA5" w14:textId="5B6BD39E" w:rsidR="009A24BC" w:rsidRPr="009A24BC" w:rsidRDefault="009A24BC" w:rsidP="0032582C">
      <w:pPr>
        <w:spacing w:line="360" w:lineRule="auto"/>
        <w:jc w:val="both"/>
        <w:rPr>
          <w:rFonts w:ascii="Arial" w:hAnsi="Arial" w:cs="Arial"/>
          <w:i/>
          <w:iCs/>
          <w:sz w:val="22"/>
          <w:szCs w:val="22"/>
          <w:u w:val="single"/>
        </w:rPr>
      </w:pPr>
      <w:r>
        <w:rPr>
          <w:rFonts w:ascii="Arial" w:hAnsi="Arial" w:cs="Arial"/>
          <w:sz w:val="22"/>
          <w:szCs w:val="22"/>
        </w:rPr>
        <w:t>No comment.</w:t>
      </w:r>
    </w:p>
    <w:p w14:paraId="6D80B6E6" w14:textId="77777777" w:rsidR="009A24BC" w:rsidRDefault="009A24BC" w:rsidP="0032582C">
      <w:pPr>
        <w:spacing w:line="360" w:lineRule="auto"/>
        <w:jc w:val="both"/>
        <w:rPr>
          <w:rFonts w:ascii="Arial" w:hAnsi="Arial" w:cs="Arial"/>
          <w:sz w:val="22"/>
          <w:szCs w:val="22"/>
        </w:rPr>
      </w:pPr>
    </w:p>
    <w:p w14:paraId="69A6BB9B" w14:textId="77777777" w:rsidR="005E14F8" w:rsidRPr="00465899" w:rsidRDefault="005E14F8" w:rsidP="0032582C">
      <w:pPr>
        <w:pStyle w:val="Default"/>
        <w:spacing w:line="360" w:lineRule="auto"/>
        <w:jc w:val="both"/>
        <w:rPr>
          <w:i/>
          <w:iCs/>
          <w:sz w:val="23"/>
          <w:szCs w:val="23"/>
          <w:u w:val="single"/>
        </w:rPr>
      </w:pPr>
      <w:r w:rsidRPr="00465899">
        <w:rPr>
          <w:i/>
          <w:iCs/>
          <w:sz w:val="23"/>
          <w:szCs w:val="23"/>
          <w:u w:val="single"/>
        </w:rPr>
        <w:t xml:space="preserve">3.12 How has the contribution of future windfall sites been calculated? What is the evidence for the past level of delivery from windfall sites? Should the past contribution be discounted by 50% (paragraph 7.1.7) or some other figure? Why? </w:t>
      </w:r>
    </w:p>
    <w:p w14:paraId="3C781043" w14:textId="77777777" w:rsidR="005E14F8" w:rsidRDefault="005E14F8" w:rsidP="0032582C">
      <w:pPr>
        <w:pStyle w:val="Default"/>
        <w:spacing w:line="360" w:lineRule="auto"/>
        <w:rPr>
          <w:sz w:val="23"/>
          <w:szCs w:val="23"/>
        </w:rPr>
      </w:pPr>
    </w:p>
    <w:p w14:paraId="18C4A12A" w14:textId="4A679090" w:rsidR="009A24BC" w:rsidRPr="00D862A9" w:rsidRDefault="005E14F8" w:rsidP="0032582C">
      <w:pPr>
        <w:spacing w:line="360" w:lineRule="auto"/>
        <w:jc w:val="both"/>
        <w:rPr>
          <w:rFonts w:ascii="Arial" w:hAnsi="Arial" w:cs="Arial"/>
          <w:sz w:val="22"/>
          <w:szCs w:val="22"/>
        </w:rPr>
      </w:pPr>
      <w:r>
        <w:rPr>
          <w:rFonts w:ascii="Arial" w:hAnsi="Arial" w:cs="Arial"/>
          <w:sz w:val="22"/>
          <w:szCs w:val="22"/>
        </w:rPr>
        <w:t>The HBF is concerned that there may be double counting with regard to windfall. The Council include windfall from 2024/25 and we would suggest that much of the windfall expected to come forward in the first two to three years after adoption will already have permission and is already accounted for in the housing trajectory. To ensure there is no double counting during this period the council should not include any windfalls in the trajectory until 2026/27 at the earliest.</w:t>
      </w:r>
    </w:p>
    <w:p w14:paraId="39A607BD" w14:textId="77777777" w:rsidR="009A24BC" w:rsidRDefault="009A24BC" w:rsidP="0032582C">
      <w:pPr>
        <w:spacing w:line="360" w:lineRule="auto"/>
        <w:rPr>
          <w:rFonts w:ascii="Arial" w:hAnsi="Arial" w:cs="Arial"/>
          <w:sz w:val="22"/>
          <w:szCs w:val="22"/>
        </w:rPr>
      </w:pPr>
    </w:p>
    <w:p w14:paraId="459AA6ED" w14:textId="77777777" w:rsidR="009A24BC" w:rsidRDefault="009A24BC" w:rsidP="0032582C">
      <w:pPr>
        <w:spacing w:line="360" w:lineRule="auto"/>
        <w:rPr>
          <w:rFonts w:ascii="Arial" w:hAnsi="Arial" w:cs="Arial"/>
          <w:sz w:val="22"/>
          <w:szCs w:val="22"/>
        </w:rPr>
      </w:pPr>
    </w:p>
    <w:p w14:paraId="5746644B" w14:textId="4403171E" w:rsidR="005E14F8" w:rsidRPr="00D862A9" w:rsidRDefault="005E14F8" w:rsidP="0032582C">
      <w:pPr>
        <w:spacing w:line="360" w:lineRule="auto"/>
        <w:rPr>
          <w:rFonts w:ascii="Arial" w:hAnsi="Arial" w:cs="Arial"/>
          <w:sz w:val="22"/>
          <w:szCs w:val="22"/>
        </w:rPr>
      </w:pPr>
      <w:r w:rsidRPr="00D862A9">
        <w:rPr>
          <w:rFonts w:ascii="Arial" w:hAnsi="Arial" w:cs="Arial"/>
          <w:sz w:val="22"/>
          <w:szCs w:val="22"/>
        </w:rPr>
        <w:t>Mark Behrendt</w:t>
      </w:r>
      <w:r>
        <w:rPr>
          <w:rFonts w:ascii="Arial" w:hAnsi="Arial" w:cs="Arial"/>
          <w:sz w:val="22"/>
          <w:szCs w:val="22"/>
        </w:rPr>
        <w:t xml:space="preserve"> MRTPI</w:t>
      </w:r>
    </w:p>
    <w:p w14:paraId="428283D0" w14:textId="364EB257" w:rsidR="009A24BC" w:rsidRDefault="005E14F8" w:rsidP="0032582C">
      <w:pPr>
        <w:spacing w:line="360" w:lineRule="auto"/>
        <w:rPr>
          <w:rFonts w:ascii="Arial" w:hAnsi="Arial" w:cs="Arial"/>
          <w:sz w:val="22"/>
          <w:szCs w:val="22"/>
        </w:rPr>
      </w:pPr>
      <w:r w:rsidRPr="00D862A9">
        <w:rPr>
          <w:rFonts w:ascii="Arial" w:hAnsi="Arial" w:cs="Arial"/>
          <w:sz w:val="22"/>
          <w:szCs w:val="22"/>
        </w:rPr>
        <w:t>Planning Manager – Local Plans</w:t>
      </w:r>
      <w:r>
        <w:rPr>
          <w:rFonts w:ascii="Arial" w:hAnsi="Arial" w:cs="Arial"/>
          <w:sz w:val="22"/>
          <w:szCs w:val="22"/>
        </w:rPr>
        <w:t xml:space="preserve"> SE and E</w:t>
      </w:r>
    </w:p>
    <w:p w14:paraId="041C84FB" w14:textId="77777777" w:rsidR="009A24BC" w:rsidRDefault="009A24BC" w:rsidP="0032582C">
      <w:pPr>
        <w:spacing w:line="360" w:lineRule="auto"/>
        <w:rPr>
          <w:rFonts w:ascii="Arial" w:hAnsi="Arial" w:cs="Arial"/>
          <w:sz w:val="22"/>
          <w:szCs w:val="22"/>
        </w:rPr>
      </w:pPr>
      <w:r>
        <w:rPr>
          <w:rFonts w:ascii="Arial" w:hAnsi="Arial" w:cs="Arial"/>
          <w:sz w:val="22"/>
          <w:szCs w:val="22"/>
        </w:rPr>
        <w:br w:type="page"/>
      </w:r>
    </w:p>
    <w:p w14:paraId="29C2EEC5" w14:textId="77777777" w:rsidR="009A24BC" w:rsidRDefault="009A24BC" w:rsidP="0032582C">
      <w:pPr>
        <w:spacing w:line="360" w:lineRule="auto"/>
        <w:rPr>
          <w:rFonts w:ascii="Arial" w:hAnsi="Arial" w:cs="Arial"/>
          <w:sz w:val="22"/>
          <w:szCs w:val="22"/>
        </w:rPr>
      </w:pPr>
    </w:p>
    <w:p w14:paraId="32BF8BD4" w14:textId="796401D4" w:rsidR="009A24BC" w:rsidRDefault="009A24BC" w:rsidP="0032582C">
      <w:pPr>
        <w:spacing w:line="360" w:lineRule="auto"/>
        <w:rPr>
          <w:rFonts w:ascii="Arial" w:hAnsi="Arial" w:cs="Arial"/>
          <w:sz w:val="22"/>
          <w:szCs w:val="22"/>
        </w:rPr>
      </w:pPr>
    </w:p>
    <w:p w14:paraId="65297D16" w14:textId="77777777" w:rsidR="009A24BC" w:rsidRDefault="009A24BC" w:rsidP="0032582C">
      <w:pPr>
        <w:spacing w:line="360" w:lineRule="auto"/>
        <w:rPr>
          <w:rFonts w:ascii="Arial" w:hAnsi="Arial" w:cs="Arial"/>
          <w:sz w:val="22"/>
          <w:szCs w:val="22"/>
        </w:rPr>
      </w:pPr>
    </w:p>
    <w:p w14:paraId="403FD4C0" w14:textId="0221C905" w:rsidR="00AA1F29" w:rsidRDefault="00AA1F29" w:rsidP="0032582C">
      <w:pPr>
        <w:spacing w:line="360" w:lineRule="auto"/>
        <w:rPr>
          <w:rFonts w:ascii="Arial" w:hAnsi="Arial" w:cs="Arial"/>
          <w:sz w:val="24"/>
        </w:rPr>
      </w:pPr>
      <w:r>
        <w:rPr>
          <w:rFonts w:ascii="Arial" w:hAnsi="Arial" w:cs="Arial"/>
          <w:noProof/>
          <w:sz w:val="24"/>
          <w:lang w:eastAsia="en-GB"/>
        </w:rPr>
        <w:drawing>
          <wp:anchor distT="0" distB="0" distL="114300" distR="114300" simplePos="0" relativeHeight="251658244" behindDoc="0" locked="0" layoutInCell="1" allowOverlap="1" wp14:anchorId="74B5E139" wp14:editId="008E30C3">
            <wp:simplePos x="0" y="0"/>
            <wp:positionH relativeFrom="column">
              <wp:posOffset>4505325</wp:posOffset>
            </wp:positionH>
            <wp:positionV relativeFrom="paragraph">
              <wp:posOffset>-533400</wp:posOffset>
            </wp:positionV>
            <wp:extent cx="876300" cy="876300"/>
            <wp:effectExtent l="0" t="0" r="0" b="0"/>
            <wp:wrapNone/>
            <wp:docPr id="972369055" name="Picture 972369055" descr="A logo with a cast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797782" name="Picture 906797782" descr="A logo with a castle and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D1AC94" w14:textId="77777777" w:rsidR="00AA1F29" w:rsidRDefault="00AA1F29" w:rsidP="0032582C">
      <w:pPr>
        <w:spacing w:line="360" w:lineRule="auto"/>
        <w:rPr>
          <w:rFonts w:ascii="Arial" w:hAnsi="Arial" w:cs="Arial"/>
          <w:sz w:val="24"/>
        </w:rPr>
      </w:pPr>
    </w:p>
    <w:p w14:paraId="5D9E662F" w14:textId="77777777" w:rsidR="00AA1F29" w:rsidRDefault="00AA1F29" w:rsidP="0032582C">
      <w:pPr>
        <w:spacing w:line="360" w:lineRule="auto"/>
        <w:rPr>
          <w:rFonts w:ascii="Arial" w:hAnsi="Arial" w:cs="Arial"/>
          <w:sz w:val="24"/>
        </w:rPr>
      </w:pPr>
    </w:p>
    <w:p w14:paraId="20C308B8" w14:textId="77777777" w:rsidR="00AA1F29" w:rsidRPr="00A6394A" w:rsidRDefault="00AA1F29" w:rsidP="0032582C">
      <w:pPr>
        <w:spacing w:line="360" w:lineRule="auto"/>
        <w:jc w:val="right"/>
        <w:rPr>
          <w:rFonts w:ascii="Arial" w:hAnsi="Arial" w:cs="Arial"/>
          <w:b/>
          <w:sz w:val="24"/>
          <w:szCs w:val="24"/>
        </w:rPr>
      </w:pPr>
      <w:r w:rsidRPr="00A6394A">
        <w:rPr>
          <w:rFonts w:ascii="Arial" w:hAnsi="Arial" w:cs="Arial"/>
          <w:b/>
          <w:sz w:val="24"/>
          <w:szCs w:val="24"/>
        </w:rPr>
        <w:t>Home Builders Federation</w:t>
      </w:r>
    </w:p>
    <w:p w14:paraId="7532470B" w14:textId="77777777" w:rsidR="00AA1F29" w:rsidRPr="00A6394A" w:rsidRDefault="00AA1F29" w:rsidP="0032582C">
      <w:pPr>
        <w:spacing w:line="360" w:lineRule="auto"/>
        <w:rPr>
          <w:rFonts w:ascii="Arial" w:hAnsi="Arial" w:cs="Arial"/>
          <w:b/>
          <w:sz w:val="24"/>
          <w:szCs w:val="24"/>
        </w:rPr>
      </w:pPr>
    </w:p>
    <w:p w14:paraId="24DC66C9" w14:textId="6980F757" w:rsidR="00AA1F29" w:rsidRPr="00A6394A" w:rsidRDefault="00AA1F29" w:rsidP="0032582C">
      <w:pPr>
        <w:spacing w:line="360" w:lineRule="auto"/>
        <w:ind w:firstLine="720"/>
        <w:jc w:val="right"/>
        <w:rPr>
          <w:rFonts w:ascii="Arial" w:hAnsi="Arial" w:cs="Arial"/>
          <w:b/>
          <w:sz w:val="24"/>
          <w:szCs w:val="24"/>
        </w:rPr>
      </w:pPr>
      <w:r w:rsidRPr="00A6394A">
        <w:rPr>
          <w:rFonts w:ascii="Arial" w:hAnsi="Arial" w:cs="Arial"/>
          <w:b/>
          <w:sz w:val="24"/>
          <w:szCs w:val="24"/>
        </w:rPr>
        <w:t xml:space="preserve">Matter </w:t>
      </w:r>
      <w:r>
        <w:rPr>
          <w:rFonts w:ascii="Arial" w:hAnsi="Arial" w:cs="Arial"/>
          <w:b/>
          <w:sz w:val="24"/>
          <w:szCs w:val="24"/>
        </w:rPr>
        <w:t>4</w:t>
      </w:r>
    </w:p>
    <w:p w14:paraId="365FF52D" w14:textId="77777777" w:rsidR="00AA1F29" w:rsidRPr="00A6394A" w:rsidRDefault="00AA1F29" w:rsidP="0032582C">
      <w:pPr>
        <w:spacing w:line="360" w:lineRule="auto"/>
        <w:rPr>
          <w:rFonts w:ascii="Arial" w:hAnsi="Arial" w:cs="Arial"/>
          <w:b/>
          <w:sz w:val="24"/>
          <w:szCs w:val="24"/>
        </w:rPr>
      </w:pPr>
    </w:p>
    <w:p w14:paraId="1A4D961E" w14:textId="77777777" w:rsidR="00AA1F29" w:rsidRPr="00A6394A" w:rsidRDefault="00AA1F29" w:rsidP="0032582C">
      <w:pPr>
        <w:spacing w:line="360" w:lineRule="auto"/>
        <w:jc w:val="both"/>
        <w:rPr>
          <w:rFonts w:ascii="Arial" w:hAnsi="Arial" w:cs="Arial"/>
          <w:b/>
          <w:caps/>
          <w:sz w:val="24"/>
          <w:szCs w:val="24"/>
        </w:rPr>
      </w:pPr>
      <w:r>
        <w:rPr>
          <w:rFonts w:ascii="Arial" w:hAnsi="Arial" w:cs="Arial"/>
          <w:b/>
          <w:caps/>
          <w:sz w:val="24"/>
          <w:szCs w:val="24"/>
        </w:rPr>
        <w:t>North norfolk</w:t>
      </w:r>
      <w:r w:rsidRPr="00A6394A">
        <w:rPr>
          <w:rFonts w:ascii="Arial" w:hAnsi="Arial" w:cs="Arial"/>
          <w:b/>
          <w:caps/>
          <w:sz w:val="24"/>
          <w:szCs w:val="24"/>
        </w:rPr>
        <w:t xml:space="preserve"> Local Plan Examination</w:t>
      </w:r>
    </w:p>
    <w:p w14:paraId="2D84BD6A" w14:textId="77777777" w:rsidR="00AA1F29" w:rsidRPr="00A6394A" w:rsidRDefault="00AA1F29" w:rsidP="0032582C">
      <w:pPr>
        <w:spacing w:line="360" w:lineRule="auto"/>
        <w:jc w:val="both"/>
        <w:rPr>
          <w:rFonts w:ascii="Arial" w:hAnsi="Arial" w:cs="Arial"/>
          <w:b/>
          <w:sz w:val="24"/>
          <w:szCs w:val="24"/>
        </w:rPr>
      </w:pPr>
    </w:p>
    <w:p w14:paraId="72783E9C" w14:textId="77777777" w:rsidR="00B62C96" w:rsidRPr="00B107E9" w:rsidRDefault="00B62C96" w:rsidP="0032582C">
      <w:pPr>
        <w:spacing w:line="360" w:lineRule="auto"/>
        <w:jc w:val="both"/>
        <w:rPr>
          <w:rFonts w:ascii="Arial" w:hAnsi="Arial" w:cs="Arial"/>
          <w:b/>
          <w:bCs/>
          <w:sz w:val="22"/>
          <w:szCs w:val="22"/>
        </w:rPr>
      </w:pPr>
      <w:r w:rsidRPr="00B107E9">
        <w:rPr>
          <w:rFonts w:ascii="Arial" w:hAnsi="Arial" w:cs="Arial"/>
          <w:b/>
          <w:bCs/>
          <w:sz w:val="22"/>
          <w:szCs w:val="22"/>
        </w:rPr>
        <w:t>Matter 4: Delivering the Right Mix of Housing (Policy HOU2)</w:t>
      </w:r>
    </w:p>
    <w:p w14:paraId="1DF84FC0" w14:textId="77777777" w:rsidR="00B107E9" w:rsidRDefault="00B107E9" w:rsidP="0032582C">
      <w:pPr>
        <w:spacing w:line="360" w:lineRule="auto"/>
        <w:rPr>
          <w:rFonts w:ascii="Arial" w:hAnsi="Arial" w:cs="Arial"/>
          <w:sz w:val="22"/>
          <w:szCs w:val="22"/>
        </w:rPr>
      </w:pPr>
    </w:p>
    <w:p w14:paraId="0A06CBC1" w14:textId="33109386" w:rsidR="00B62C96" w:rsidRPr="00B107E9" w:rsidRDefault="00B62C96" w:rsidP="0032582C">
      <w:pPr>
        <w:spacing w:line="360" w:lineRule="auto"/>
        <w:jc w:val="both"/>
        <w:rPr>
          <w:rFonts w:ascii="Arial" w:hAnsi="Arial" w:cs="Arial"/>
          <w:b/>
          <w:bCs/>
          <w:i/>
          <w:iCs/>
          <w:sz w:val="22"/>
          <w:szCs w:val="22"/>
        </w:rPr>
      </w:pPr>
      <w:r w:rsidRPr="00B107E9">
        <w:rPr>
          <w:rFonts w:ascii="Arial" w:hAnsi="Arial" w:cs="Arial"/>
          <w:b/>
          <w:bCs/>
          <w:i/>
          <w:iCs/>
          <w:sz w:val="22"/>
          <w:szCs w:val="22"/>
        </w:rPr>
        <w:t>Issue: Whether the policies of the plan are justified, effective, positively prepared and consistent with national policy to deliver the right mix of housing.</w:t>
      </w:r>
    </w:p>
    <w:p w14:paraId="26129C00" w14:textId="77777777" w:rsidR="00B62C96" w:rsidRDefault="00B62C96" w:rsidP="0032582C">
      <w:pPr>
        <w:spacing w:line="360" w:lineRule="auto"/>
        <w:rPr>
          <w:rFonts w:ascii="Arial" w:hAnsi="Arial" w:cs="Arial"/>
          <w:sz w:val="22"/>
          <w:szCs w:val="22"/>
        </w:rPr>
      </w:pPr>
    </w:p>
    <w:p w14:paraId="41C35FF0" w14:textId="32A2AEA4" w:rsidR="00B62C96" w:rsidRPr="00AA2798" w:rsidRDefault="00B62C96" w:rsidP="00831327">
      <w:pPr>
        <w:spacing w:line="360" w:lineRule="auto"/>
        <w:jc w:val="both"/>
        <w:rPr>
          <w:rFonts w:ascii="Arial" w:hAnsi="Arial" w:cs="Arial"/>
          <w:b/>
          <w:bCs/>
          <w:sz w:val="22"/>
          <w:szCs w:val="22"/>
          <w:u w:val="single"/>
        </w:rPr>
      </w:pPr>
      <w:r w:rsidRPr="00AA2798">
        <w:rPr>
          <w:rFonts w:ascii="Arial" w:hAnsi="Arial" w:cs="Arial"/>
          <w:b/>
          <w:bCs/>
          <w:sz w:val="22"/>
          <w:szCs w:val="22"/>
          <w:u w:val="single"/>
        </w:rPr>
        <w:t>Affordable Housing</w:t>
      </w:r>
    </w:p>
    <w:p w14:paraId="49EA0A87" w14:textId="77777777" w:rsidR="00B62C96" w:rsidRDefault="00B62C96" w:rsidP="00831327">
      <w:pPr>
        <w:spacing w:line="360" w:lineRule="auto"/>
        <w:jc w:val="both"/>
        <w:rPr>
          <w:rFonts w:ascii="Arial" w:hAnsi="Arial" w:cs="Arial"/>
          <w:sz w:val="22"/>
          <w:szCs w:val="22"/>
        </w:rPr>
      </w:pPr>
    </w:p>
    <w:p w14:paraId="7F445632" w14:textId="043D9782" w:rsidR="00B62C96" w:rsidRPr="00F52BDB" w:rsidRDefault="00B62C96" w:rsidP="00831327">
      <w:pPr>
        <w:spacing w:line="360" w:lineRule="auto"/>
        <w:jc w:val="both"/>
        <w:rPr>
          <w:rFonts w:ascii="Arial" w:hAnsi="Arial" w:cs="Arial"/>
          <w:i/>
          <w:iCs/>
          <w:sz w:val="22"/>
          <w:szCs w:val="22"/>
          <w:u w:val="single"/>
        </w:rPr>
      </w:pPr>
      <w:r w:rsidRPr="00F52BDB">
        <w:rPr>
          <w:rFonts w:ascii="Arial" w:hAnsi="Arial" w:cs="Arial"/>
          <w:i/>
          <w:iCs/>
          <w:sz w:val="22"/>
          <w:szCs w:val="22"/>
          <w:u w:val="single"/>
        </w:rPr>
        <w:t>4.1 Is the need for about 2,000 affordable homes over the plan period (paragraph 7.1.5) justified by the evidence, what types are required within this total and would the policies of the plan ensure satisfactory delivery?</w:t>
      </w:r>
    </w:p>
    <w:p w14:paraId="478A94DB" w14:textId="77777777" w:rsidR="00B62C96" w:rsidRDefault="00B62C96" w:rsidP="00831327">
      <w:pPr>
        <w:spacing w:line="360" w:lineRule="auto"/>
        <w:jc w:val="both"/>
        <w:rPr>
          <w:rFonts w:ascii="Arial" w:hAnsi="Arial" w:cs="Arial"/>
          <w:sz w:val="22"/>
          <w:szCs w:val="22"/>
        </w:rPr>
      </w:pPr>
    </w:p>
    <w:p w14:paraId="3ABA9607" w14:textId="4579B171" w:rsidR="00CE69E5" w:rsidRDefault="00CE69E5" w:rsidP="00831327">
      <w:pPr>
        <w:spacing w:line="360" w:lineRule="auto"/>
        <w:jc w:val="both"/>
        <w:rPr>
          <w:rFonts w:ascii="Arial" w:hAnsi="Arial" w:cs="Arial"/>
          <w:sz w:val="22"/>
          <w:szCs w:val="22"/>
        </w:rPr>
      </w:pPr>
      <w:r>
        <w:rPr>
          <w:rFonts w:ascii="Arial" w:hAnsi="Arial" w:cs="Arial"/>
          <w:sz w:val="22"/>
          <w:szCs w:val="22"/>
        </w:rPr>
        <w:t xml:space="preserve">The Council do not appear to have updated their evidence on affordable housing needs since the 2017 SHMA. Given that this evidence is six years old and considers needs only to 2036 it cannot be considered to be a robust evidence base on which to assess affordable housing needs. </w:t>
      </w:r>
    </w:p>
    <w:p w14:paraId="798F01E5" w14:textId="77777777" w:rsidR="00B62C96" w:rsidRDefault="00B62C96" w:rsidP="00831327">
      <w:pPr>
        <w:spacing w:line="360" w:lineRule="auto"/>
        <w:jc w:val="both"/>
        <w:rPr>
          <w:rFonts w:ascii="Arial" w:hAnsi="Arial" w:cs="Arial"/>
          <w:sz w:val="22"/>
          <w:szCs w:val="22"/>
        </w:rPr>
      </w:pPr>
    </w:p>
    <w:p w14:paraId="7BABBE76" w14:textId="7ECE3314" w:rsidR="00B62C96" w:rsidRPr="00F52BDB" w:rsidRDefault="00B62C96" w:rsidP="00831327">
      <w:pPr>
        <w:spacing w:line="360" w:lineRule="auto"/>
        <w:jc w:val="both"/>
        <w:rPr>
          <w:rFonts w:ascii="Arial" w:hAnsi="Arial" w:cs="Arial"/>
          <w:i/>
          <w:iCs/>
          <w:sz w:val="22"/>
          <w:szCs w:val="22"/>
          <w:u w:val="single"/>
        </w:rPr>
      </w:pPr>
      <w:r w:rsidRPr="00F52BDB">
        <w:rPr>
          <w:rFonts w:ascii="Arial" w:hAnsi="Arial" w:cs="Arial"/>
          <w:i/>
          <w:iCs/>
          <w:sz w:val="22"/>
          <w:szCs w:val="22"/>
          <w:u w:val="single"/>
        </w:rPr>
        <w:t>4.2 Is the proposal for 15% of dwellings on qualifying sites to be affordable in housing zone 1 and 35% in housing zone 2 justified by the evidence, and has the effect on viability been properly assessed?</w:t>
      </w:r>
    </w:p>
    <w:p w14:paraId="273903F9" w14:textId="77777777" w:rsidR="00B62C96" w:rsidRDefault="00B62C96" w:rsidP="00831327">
      <w:pPr>
        <w:spacing w:line="360" w:lineRule="auto"/>
        <w:jc w:val="both"/>
        <w:rPr>
          <w:rFonts w:ascii="Arial" w:hAnsi="Arial" w:cs="Arial"/>
          <w:sz w:val="22"/>
          <w:szCs w:val="22"/>
        </w:rPr>
      </w:pPr>
    </w:p>
    <w:p w14:paraId="08F4A110" w14:textId="4B4463A9" w:rsidR="0032582C" w:rsidRDefault="009A24BC" w:rsidP="00831327">
      <w:pPr>
        <w:spacing w:line="360" w:lineRule="auto"/>
        <w:jc w:val="both"/>
        <w:rPr>
          <w:rFonts w:ascii="Arial" w:hAnsi="Arial" w:cs="Arial"/>
          <w:sz w:val="22"/>
          <w:szCs w:val="22"/>
        </w:rPr>
      </w:pPr>
      <w:r>
        <w:rPr>
          <w:rFonts w:ascii="Arial" w:hAnsi="Arial" w:cs="Arial"/>
          <w:sz w:val="22"/>
          <w:szCs w:val="22"/>
        </w:rPr>
        <w:t>The Council have published an updated viability assessment following the regulation 19 consultation</w:t>
      </w:r>
      <w:r w:rsidR="00F447D1">
        <w:rPr>
          <w:rFonts w:ascii="Arial" w:hAnsi="Arial" w:cs="Arial"/>
          <w:sz w:val="22"/>
          <w:szCs w:val="22"/>
        </w:rPr>
        <w:t xml:space="preserve"> which</w:t>
      </w:r>
      <w:r>
        <w:rPr>
          <w:rFonts w:ascii="Arial" w:hAnsi="Arial" w:cs="Arial"/>
          <w:sz w:val="22"/>
          <w:szCs w:val="22"/>
        </w:rPr>
        <w:t xml:space="preserve"> includes those </w:t>
      </w:r>
      <w:r w:rsidR="00F447D1">
        <w:rPr>
          <w:rFonts w:ascii="Arial" w:hAnsi="Arial" w:cs="Arial"/>
          <w:sz w:val="22"/>
          <w:szCs w:val="22"/>
        </w:rPr>
        <w:t>policy</w:t>
      </w:r>
      <w:r>
        <w:rPr>
          <w:rFonts w:ascii="Arial" w:hAnsi="Arial" w:cs="Arial"/>
          <w:sz w:val="22"/>
          <w:szCs w:val="22"/>
        </w:rPr>
        <w:t xml:space="preserve"> costs that were missing from the earlier assessment</w:t>
      </w:r>
      <w:r w:rsidR="00F447D1">
        <w:rPr>
          <w:rFonts w:ascii="Arial" w:hAnsi="Arial" w:cs="Arial"/>
          <w:sz w:val="22"/>
          <w:szCs w:val="22"/>
        </w:rPr>
        <w:t>.</w:t>
      </w:r>
      <w:r>
        <w:rPr>
          <w:rFonts w:ascii="Arial" w:hAnsi="Arial" w:cs="Arial"/>
          <w:sz w:val="22"/>
          <w:szCs w:val="22"/>
        </w:rPr>
        <w:t xml:space="preserve"> </w:t>
      </w:r>
      <w:r w:rsidR="0032582C">
        <w:rPr>
          <w:rFonts w:ascii="Arial" w:hAnsi="Arial" w:cs="Arial"/>
          <w:sz w:val="22"/>
          <w:szCs w:val="22"/>
        </w:rPr>
        <w:t xml:space="preserve">The only consideration not undertaken in the study is the impact of the </w:t>
      </w:r>
      <w:r w:rsidR="0032582C">
        <w:rPr>
          <w:rFonts w:ascii="Arial" w:hAnsi="Arial" w:cs="Arial"/>
          <w:sz w:val="22"/>
          <w:szCs w:val="22"/>
        </w:rPr>
        <w:lastRenderedPageBreak/>
        <w:t xml:space="preserve">Future Homes Standard that is expected to be introduced in 2025. The Government have recently announced a further consultation on these standards and whilst the final detail is not known some degree of sensitivity testing is necessary to ensure that development remains viable across the plan period. </w:t>
      </w:r>
    </w:p>
    <w:p w14:paraId="6E6D4FBC" w14:textId="77777777" w:rsidR="0032582C" w:rsidRDefault="0032582C" w:rsidP="00831327">
      <w:pPr>
        <w:spacing w:line="360" w:lineRule="auto"/>
        <w:jc w:val="both"/>
        <w:rPr>
          <w:rFonts w:ascii="Arial" w:hAnsi="Arial" w:cs="Arial"/>
          <w:sz w:val="22"/>
          <w:szCs w:val="22"/>
        </w:rPr>
      </w:pPr>
    </w:p>
    <w:p w14:paraId="6C363576" w14:textId="276AC9DD" w:rsidR="009E2757" w:rsidRDefault="0032582C" w:rsidP="00831327">
      <w:pPr>
        <w:spacing w:line="360" w:lineRule="auto"/>
        <w:jc w:val="both"/>
        <w:rPr>
          <w:rFonts w:ascii="Arial" w:hAnsi="Arial" w:cs="Arial"/>
          <w:sz w:val="22"/>
          <w:szCs w:val="22"/>
        </w:rPr>
      </w:pPr>
      <w:r w:rsidRPr="0032582C">
        <w:rPr>
          <w:rFonts w:ascii="Arial" w:hAnsi="Arial" w:cs="Arial"/>
          <w:sz w:val="22"/>
          <w:szCs w:val="22"/>
        </w:rPr>
        <w:t xml:space="preserve">The Future Homes Hub has undertaken some work to support and inform the implementation of the Future Homes Standard which is set out in Ready for Zero. This study tests a number of archetypes against a range of specifications from the current standards set out in the 2021 Building Regulations through to </w:t>
      </w:r>
      <w:r w:rsidR="009E2757">
        <w:rPr>
          <w:rFonts w:ascii="Arial" w:hAnsi="Arial" w:cs="Arial"/>
          <w:sz w:val="22"/>
          <w:szCs w:val="22"/>
        </w:rPr>
        <w:t xml:space="preserve">those that deliver zero carbon homes. </w:t>
      </w:r>
      <w:r w:rsidRPr="0032582C">
        <w:rPr>
          <w:rFonts w:ascii="Arial" w:hAnsi="Arial" w:cs="Arial"/>
          <w:sz w:val="22"/>
          <w:szCs w:val="22"/>
        </w:rPr>
        <w:t xml:space="preserve">This evidence indicates that in order to deliver </w:t>
      </w:r>
      <w:r w:rsidR="009E2757">
        <w:rPr>
          <w:rFonts w:ascii="Arial" w:hAnsi="Arial" w:cs="Arial"/>
          <w:sz w:val="22"/>
          <w:szCs w:val="22"/>
        </w:rPr>
        <w:t xml:space="preserve">the Future Homes Standard </w:t>
      </w:r>
      <w:r w:rsidRPr="0032582C">
        <w:rPr>
          <w:rFonts w:ascii="Arial" w:hAnsi="Arial" w:cs="Arial"/>
          <w:sz w:val="22"/>
          <w:szCs w:val="22"/>
        </w:rPr>
        <w:t xml:space="preserve">would be around a </w:t>
      </w:r>
      <w:r w:rsidR="009E2757">
        <w:rPr>
          <w:rFonts w:ascii="Arial" w:hAnsi="Arial" w:cs="Arial"/>
          <w:sz w:val="22"/>
          <w:szCs w:val="22"/>
        </w:rPr>
        <w:t xml:space="preserve">5% </w:t>
      </w:r>
      <w:r w:rsidRPr="0032582C">
        <w:rPr>
          <w:rFonts w:ascii="Arial" w:hAnsi="Arial" w:cs="Arial"/>
          <w:sz w:val="22"/>
          <w:szCs w:val="22"/>
        </w:rPr>
        <w:t xml:space="preserve">increase in per unit costs compared to the 2021 Building Regulations. </w:t>
      </w:r>
    </w:p>
    <w:p w14:paraId="5D42111D" w14:textId="77777777" w:rsidR="009E2757" w:rsidRDefault="009E2757" w:rsidP="00831327">
      <w:pPr>
        <w:spacing w:line="360" w:lineRule="auto"/>
        <w:jc w:val="both"/>
        <w:rPr>
          <w:rFonts w:ascii="Arial" w:hAnsi="Arial" w:cs="Arial"/>
          <w:sz w:val="22"/>
          <w:szCs w:val="22"/>
        </w:rPr>
      </w:pPr>
    </w:p>
    <w:p w14:paraId="2C667538" w14:textId="0BDC3B7C" w:rsidR="009E2757" w:rsidRDefault="009E2757" w:rsidP="00831327">
      <w:pPr>
        <w:spacing w:line="360" w:lineRule="auto"/>
        <w:jc w:val="both"/>
        <w:rPr>
          <w:rFonts w:ascii="Arial" w:hAnsi="Arial" w:cs="Arial"/>
          <w:sz w:val="22"/>
          <w:szCs w:val="22"/>
        </w:rPr>
      </w:pPr>
      <w:r>
        <w:rPr>
          <w:rFonts w:ascii="Arial" w:hAnsi="Arial" w:cs="Arial"/>
          <w:sz w:val="22"/>
          <w:szCs w:val="22"/>
        </w:rPr>
        <w:t>What is notable from the conclusions of the viability assessment is impact of the policy costs on brownfield development. The table on page 4</w:t>
      </w:r>
      <w:r w:rsidR="00D5449E">
        <w:rPr>
          <w:rFonts w:ascii="Arial" w:hAnsi="Arial" w:cs="Arial"/>
          <w:sz w:val="22"/>
          <w:szCs w:val="22"/>
        </w:rPr>
        <w:t>0</w:t>
      </w:r>
      <w:r>
        <w:rPr>
          <w:rFonts w:ascii="Arial" w:hAnsi="Arial" w:cs="Arial"/>
          <w:sz w:val="22"/>
          <w:szCs w:val="22"/>
        </w:rPr>
        <w:t xml:space="preserve"> provides a helpful summary and shows that in Zones 1 brownfield development</w:t>
      </w:r>
      <w:r w:rsidR="00D5449E">
        <w:rPr>
          <w:rFonts w:ascii="Arial" w:hAnsi="Arial" w:cs="Arial"/>
          <w:sz w:val="22"/>
          <w:szCs w:val="22"/>
        </w:rPr>
        <w:t>, with the exception of village infill,</w:t>
      </w:r>
      <w:r>
        <w:rPr>
          <w:rFonts w:ascii="Arial" w:hAnsi="Arial" w:cs="Arial"/>
          <w:sz w:val="22"/>
          <w:szCs w:val="22"/>
        </w:rPr>
        <w:t xml:space="preserve"> cannot viably deliver all the policies required by this local plan. </w:t>
      </w:r>
      <w:r w:rsidR="00D5449E">
        <w:rPr>
          <w:rFonts w:ascii="Arial" w:hAnsi="Arial" w:cs="Arial"/>
          <w:sz w:val="22"/>
          <w:szCs w:val="22"/>
        </w:rPr>
        <w:t xml:space="preserve">The table also shows that whilst </w:t>
      </w:r>
      <w:r>
        <w:rPr>
          <w:rFonts w:ascii="Arial" w:hAnsi="Arial" w:cs="Arial"/>
          <w:sz w:val="22"/>
          <w:szCs w:val="22"/>
        </w:rPr>
        <w:t>greenfield sites</w:t>
      </w:r>
      <w:r w:rsidR="00D5449E">
        <w:rPr>
          <w:rFonts w:ascii="Arial" w:hAnsi="Arial" w:cs="Arial"/>
          <w:sz w:val="22"/>
          <w:szCs w:val="22"/>
        </w:rPr>
        <w:t xml:space="preserve"> in zone 1 and brownfield sites in zone 2</w:t>
      </w:r>
      <w:r>
        <w:rPr>
          <w:rFonts w:ascii="Arial" w:hAnsi="Arial" w:cs="Arial"/>
          <w:sz w:val="22"/>
          <w:szCs w:val="22"/>
        </w:rPr>
        <w:t xml:space="preserve"> </w:t>
      </w:r>
      <w:r w:rsidR="00D5449E">
        <w:rPr>
          <w:rFonts w:ascii="Arial" w:hAnsi="Arial" w:cs="Arial"/>
          <w:sz w:val="22"/>
          <w:szCs w:val="22"/>
        </w:rPr>
        <w:t>are only marginally viable. This means that any</w:t>
      </w:r>
      <w:r>
        <w:rPr>
          <w:rFonts w:ascii="Arial" w:hAnsi="Arial" w:cs="Arial"/>
          <w:sz w:val="22"/>
          <w:szCs w:val="22"/>
        </w:rPr>
        <w:t xml:space="preserve"> extra costs</w:t>
      </w:r>
      <w:r w:rsidR="00D5449E">
        <w:rPr>
          <w:rFonts w:ascii="Arial" w:hAnsi="Arial" w:cs="Arial"/>
          <w:sz w:val="22"/>
          <w:szCs w:val="22"/>
        </w:rPr>
        <w:t>,</w:t>
      </w:r>
      <w:r>
        <w:rPr>
          <w:rFonts w:ascii="Arial" w:hAnsi="Arial" w:cs="Arial"/>
          <w:sz w:val="22"/>
          <w:szCs w:val="22"/>
        </w:rPr>
        <w:t xml:space="preserve"> such as those from the higher building standards being proposed by Government</w:t>
      </w:r>
      <w:r w:rsidR="00D5449E">
        <w:rPr>
          <w:rFonts w:ascii="Arial" w:hAnsi="Arial" w:cs="Arial"/>
          <w:sz w:val="22"/>
          <w:szCs w:val="22"/>
        </w:rPr>
        <w:t>,</w:t>
      </w:r>
      <w:r>
        <w:rPr>
          <w:rFonts w:ascii="Arial" w:hAnsi="Arial" w:cs="Arial"/>
          <w:sz w:val="22"/>
          <w:szCs w:val="22"/>
        </w:rPr>
        <w:t xml:space="preserve"> could impact on </w:t>
      </w:r>
      <w:r w:rsidR="00D5449E">
        <w:rPr>
          <w:rFonts w:ascii="Arial" w:hAnsi="Arial" w:cs="Arial"/>
          <w:sz w:val="22"/>
          <w:szCs w:val="22"/>
        </w:rPr>
        <w:t xml:space="preserve">their deliverability. </w:t>
      </w:r>
    </w:p>
    <w:p w14:paraId="19FBB0B1" w14:textId="77777777" w:rsidR="00694D5A" w:rsidRDefault="00694D5A" w:rsidP="00831327">
      <w:pPr>
        <w:spacing w:line="360" w:lineRule="auto"/>
        <w:jc w:val="both"/>
        <w:rPr>
          <w:rFonts w:ascii="Arial" w:hAnsi="Arial" w:cs="Arial"/>
          <w:sz w:val="22"/>
          <w:szCs w:val="22"/>
        </w:rPr>
      </w:pPr>
    </w:p>
    <w:p w14:paraId="7957B209" w14:textId="6EE065F4" w:rsidR="00694D5A" w:rsidRDefault="00694D5A" w:rsidP="00831327">
      <w:pPr>
        <w:spacing w:line="360" w:lineRule="auto"/>
        <w:jc w:val="both"/>
        <w:rPr>
          <w:rFonts w:ascii="Arial" w:hAnsi="Arial" w:cs="Arial"/>
          <w:sz w:val="22"/>
          <w:szCs w:val="22"/>
        </w:rPr>
      </w:pPr>
      <w:r>
        <w:rPr>
          <w:rFonts w:ascii="Arial" w:hAnsi="Arial" w:cs="Arial"/>
          <w:sz w:val="22"/>
          <w:szCs w:val="22"/>
        </w:rPr>
        <w:t xml:space="preserve">Therefore, whilst the HBF are supportive of the Council’s decision to reduce the affordable housing provision in zone 1 from the previous plan we would question whether his is sufficient or whether there needs to be a further variation to reduce the contribution required on brownfield land to ensure that these come forward without the need for negotiation. At the very least the council should include within policy that they are willing to reduce the affordable housing requirements where this makes development unviable. At present this is mentioned in paragraph 7.2.5 but given the fact that the viability assessment indicates a number of different site typologies will be made unviable by the policies in the local plan a more robust statement in HOU2 </w:t>
      </w:r>
      <w:r w:rsidR="00CE69E5">
        <w:rPr>
          <w:rFonts w:ascii="Arial" w:hAnsi="Arial" w:cs="Arial"/>
          <w:sz w:val="22"/>
          <w:szCs w:val="22"/>
        </w:rPr>
        <w:t>is</w:t>
      </w:r>
      <w:r>
        <w:rPr>
          <w:rFonts w:ascii="Arial" w:hAnsi="Arial" w:cs="Arial"/>
          <w:sz w:val="22"/>
          <w:szCs w:val="22"/>
        </w:rPr>
        <w:t xml:space="preserve"> required.</w:t>
      </w:r>
    </w:p>
    <w:p w14:paraId="0B7435B8" w14:textId="77777777" w:rsidR="00B62C96" w:rsidRDefault="00B62C96" w:rsidP="00831327">
      <w:pPr>
        <w:spacing w:line="360" w:lineRule="auto"/>
        <w:jc w:val="both"/>
        <w:rPr>
          <w:rFonts w:ascii="Arial" w:hAnsi="Arial" w:cs="Arial"/>
          <w:sz w:val="22"/>
          <w:szCs w:val="22"/>
        </w:rPr>
      </w:pPr>
    </w:p>
    <w:p w14:paraId="06B6B047" w14:textId="515A2CC4" w:rsidR="00B62C96" w:rsidRPr="00260270" w:rsidRDefault="00B62C96" w:rsidP="00831327">
      <w:pPr>
        <w:spacing w:line="360" w:lineRule="auto"/>
        <w:jc w:val="both"/>
        <w:rPr>
          <w:rFonts w:ascii="Arial" w:hAnsi="Arial" w:cs="Arial"/>
          <w:i/>
          <w:iCs/>
          <w:sz w:val="22"/>
          <w:szCs w:val="22"/>
          <w:u w:val="single"/>
        </w:rPr>
      </w:pPr>
      <w:r w:rsidRPr="00260270">
        <w:rPr>
          <w:rFonts w:ascii="Arial" w:hAnsi="Arial" w:cs="Arial"/>
          <w:i/>
          <w:iCs/>
          <w:sz w:val="22"/>
          <w:szCs w:val="22"/>
          <w:u w:val="single"/>
        </w:rPr>
        <w:t>4.3 How does this policy compare to the existing policy for the provision of affordable housing on large sites, and how are any changes justified or explained?</w:t>
      </w:r>
    </w:p>
    <w:p w14:paraId="5BB6E7B5" w14:textId="77777777" w:rsidR="00B62C96" w:rsidRDefault="00B62C96" w:rsidP="00831327">
      <w:pPr>
        <w:spacing w:line="360" w:lineRule="auto"/>
        <w:jc w:val="both"/>
        <w:rPr>
          <w:rFonts w:ascii="Arial" w:hAnsi="Arial" w:cs="Arial"/>
          <w:sz w:val="22"/>
          <w:szCs w:val="22"/>
        </w:rPr>
      </w:pPr>
    </w:p>
    <w:p w14:paraId="029F6930" w14:textId="5080BAFF" w:rsidR="00B62C96" w:rsidRDefault="00CE69E5" w:rsidP="00831327">
      <w:pPr>
        <w:spacing w:line="360" w:lineRule="auto"/>
        <w:jc w:val="both"/>
        <w:rPr>
          <w:rFonts w:ascii="Arial" w:hAnsi="Arial" w:cs="Arial"/>
          <w:sz w:val="22"/>
          <w:szCs w:val="22"/>
        </w:rPr>
      </w:pPr>
      <w:r>
        <w:rPr>
          <w:rFonts w:ascii="Arial" w:hAnsi="Arial" w:cs="Arial"/>
          <w:sz w:val="22"/>
          <w:szCs w:val="22"/>
        </w:rPr>
        <w:t>For Council.</w:t>
      </w:r>
    </w:p>
    <w:p w14:paraId="4FF87C86" w14:textId="77777777" w:rsidR="00B62C96" w:rsidRDefault="00B62C96" w:rsidP="00831327">
      <w:pPr>
        <w:spacing w:line="360" w:lineRule="auto"/>
        <w:jc w:val="both"/>
        <w:rPr>
          <w:rFonts w:ascii="Arial" w:hAnsi="Arial" w:cs="Arial"/>
          <w:sz w:val="22"/>
          <w:szCs w:val="22"/>
        </w:rPr>
      </w:pPr>
    </w:p>
    <w:p w14:paraId="29954D90" w14:textId="12E4009F" w:rsidR="00B62C96" w:rsidRPr="00260270" w:rsidRDefault="00B62C96" w:rsidP="00831327">
      <w:pPr>
        <w:spacing w:line="360" w:lineRule="auto"/>
        <w:jc w:val="both"/>
        <w:rPr>
          <w:rFonts w:ascii="Arial" w:hAnsi="Arial" w:cs="Arial"/>
          <w:i/>
          <w:iCs/>
          <w:sz w:val="22"/>
          <w:szCs w:val="22"/>
          <w:u w:val="single"/>
        </w:rPr>
      </w:pPr>
      <w:r w:rsidRPr="00260270">
        <w:rPr>
          <w:rFonts w:ascii="Arial" w:hAnsi="Arial" w:cs="Arial"/>
          <w:i/>
          <w:iCs/>
          <w:sz w:val="22"/>
          <w:szCs w:val="22"/>
          <w:u w:val="single"/>
        </w:rPr>
        <w:t>4.4 Are the two housing zones, and the boundary between them, justified by viability or other evidence?</w:t>
      </w:r>
    </w:p>
    <w:p w14:paraId="19FC9E68" w14:textId="77777777" w:rsidR="00B62C96" w:rsidRDefault="00B62C96" w:rsidP="00831327">
      <w:pPr>
        <w:spacing w:line="360" w:lineRule="auto"/>
        <w:jc w:val="both"/>
        <w:rPr>
          <w:rFonts w:ascii="Arial" w:hAnsi="Arial" w:cs="Arial"/>
          <w:sz w:val="22"/>
          <w:szCs w:val="22"/>
        </w:rPr>
      </w:pPr>
    </w:p>
    <w:p w14:paraId="72EBF4BB" w14:textId="381CCDBF" w:rsidR="00B62C96" w:rsidRDefault="00831327" w:rsidP="00831327">
      <w:pPr>
        <w:spacing w:line="360" w:lineRule="auto"/>
        <w:jc w:val="both"/>
        <w:rPr>
          <w:rFonts w:ascii="Arial" w:hAnsi="Arial" w:cs="Arial"/>
          <w:sz w:val="22"/>
          <w:szCs w:val="22"/>
        </w:rPr>
      </w:pPr>
      <w:r>
        <w:rPr>
          <w:rFonts w:ascii="Arial" w:hAnsi="Arial" w:cs="Arial"/>
          <w:sz w:val="22"/>
          <w:szCs w:val="22"/>
        </w:rPr>
        <w:t>For Council.</w:t>
      </w:r>
    </w:p>
    <w:p w14:paraId="07137732" w14:textId="77777777" w:rsidR="00B62C96" w:rsidRDefault="00B62C96" w:rsidP="00831327">
      <w:pPr>
        <w:spacing w:line="360" w:lineRule="auto"/>
        <w:jc w:val="both"/>
        <w:rPr>
          <w:rFonts w:ascii="Arial" w:hAnsi="Arial" w:cs="Arial"/>
          <w:sz w:val="22"/>
          <w:szCs w:val="22"/>
        </w:rPr>
      </w:pPr>
    </w:p>
    <w:p w14:paraId="5FCD68E0" w14:textId="611894DB" w:rsidR="00B62C96" w:rsidRPr="00260270" w:rsidRDefault="00B62C96" w:rsidP="00831327">
      <w:pPr>
        <w:spacing w:line="360" w:lineRule="auto"/>
        <w:jc w:val="both"/>
        <w:rPr>
          <w:rFonts w:ascii="Arial" w:hAnsi="Arial" w:cs="Arial"/>
          <w:i/>
          <w:iCs/>
          <w:sz w:val="22"/>
          <w:szCs w:val="22"/>
          <w:u w:val="single"/>
        </w:rPr>
      </w:pPr>
      <w:r w:rsidRPr="00260270">
        <w:rPr>
          <w:rFonts w:ascii="Arial" w:hAnsi="Arial" w:cs="Arial"/>
          <w:i/>
          <w:iCs/>
          <w:sz w:val="22"/>
          <w:szCs w:val="22"/>
          <w:u w:val="single"/>
        </w:rPr>
        <w:t>4.5 How would the policy requirement for ‘at least’ 15% or 35% be interpreted and applied, and the statement in paragraph 7.2.5 that the Council will seek to deliver the highest proportion of homes that is viable. How will this be established and does this provide sufficient clarity for the policy to be effective?</w:t>
      </w:r>
    </w:p>
    <w:p w14:paraId="250A5697" w14:textId="77777777" w:rsidR="00B62C96" w:rsidRDefault="00B62C96" w:rsidP="00831327">
      <w:pPr>
        <w:spacing w:line="360" w:lineRule="auto"/>
        <w:jc w:val="both"/>
        <w:rPr>
          <w:rFonts w:ascii="Arial" w:hAnsi="Arial" w:cs="Arial"/>
          <w:sz w:val="22"/>
          <w:szCs w:val="22"/>
        </w:rPr>
      </w:pPr>
    </w:p>
    <w:p w14:paraId="3D8A8DD1" w14:textId="2794F318" w:rsidR="00AF436C" w:rsidRDefault="00831327" w:rsidP="00831327">
      <w:pPr>
        <w:spacing w:line="360" w:lineRule="auto"/>
        <w:jc w:val="both"/>
        <w:rPr>
          <w:rFonts w:ascii="Arial" w:hAnsi="Arial" w:cs="Arial"/>
          <w:sz w:val="22"/>
          <w:szCs w:val="22"/>
        </w:rPr>
      </w:pPr>
      <w:r>
        <w:rPr>
          <w:rFonts w:ascii="Arial" w:hAnsi="Arial" w:cs="Arial"/>
          <w:sz w:val="22"/>
          <w:szCs w:val="22"/>
        </w:rPr>
        <w:t xml:space="preserve">The use of </w:t>
      </w:r>
      <w:r w:rsidR="001D005E">
        <w:rPr>
          <w:rFonts w:ascii="Arial" w:hAnsi="Arial" w:cs="Arial"/>
          <w:sz w:val="22"/>
          <w:szCs w:val="22"/>
        </w:rPr>
        <w:t>“</w:t>
      </w:r>
      <w:r w:rsidRPr="001D005E">
        <w:rPr>
          <w:rFonts w:ascii="Arial" w:hAnsi="Arial" w:cs="Arial"/>
          <w:i/>
          <w:iCs/>
          <w:sz w:val="22"/>
          <w:szCs w:val="22"/>
        </w:rPr>
        <w:t>at least</w:t>
      </w:r>
      <w:r w:rsidR="001D005E">
        <w:rPr>
          <w:rFonts w:ascii="Arial" w:hAnsi="Arial" w:cs="Arial"/>
          <w:sz w:val="22"/>
          <w:szCs w:val="22"/>
        </w:rPr>
        <w:t>”</w:t>
      </w:r>
      <w:r>
        <w:rPr>
          <w:rFonts w:ascii="Arial" w:hAnsi="Arial" w:cs="Arial"/>
          <w:sz w:val="22"/>
          <w:szCs w:val="22"/>
        </w:rPr>
        <w:t xml:space="preserve"> can lead to uncertainty amongst decision makers who may seek to require higher levels of affordable housing provision where they think there is potential to achieve more. Given that paragraph 16 of the NPPF highlights </w:t>
      </w:r>
      <w:r w:rsidR="00325A72">
        <w:rPr>
          <w:rFonts w:ascii="Arial" w:hAnsi="Arial" w:cs="Arial"/>
          <w:sz w:val="22"/>
          <w:szCs w:val="22"/>
        </w:rPr>
        <w:t xml:space="preserve">that policies should be clearly written and unambiguous we would </w:t>
      </w:r>
      <w:r w:rsidR="005338DC">
        <w:rPr>
          <w:rFonts w:ascii="Arial" w:hAnsi="Arial" w:cs="Arial"/>
          <w:sz w:val="22"/>
          <w:szCs w:val="22"/>
        </w:rPr>
        <w:t>suggest</w:t>
      </w:r>
      <w:r w:rsidR="00325A72">
        <w:rPr>
          <w:rFonts w:ascii="Arial" w:hAnsi="Arial" w:cs="Arial"/>
          <w:sz w:val="22"/>
          <w:szCs w:val="22"/>
        </w:rPr>
        <w:t xml:space="preserve"> the prefix “</w:t>
      </w:r>
      <w:r w:rsidR="00325A72" w:rsidRPr="005338DC">
        <w:rPr>
          <w:rFonts w:ascii="Arial" w:hAnsi="Arial" w:cs="Arial"/>
          <w:i/>
          <w:iCs/>
          <w:sz w:val="22"/>
          <w:szCs w:val="22"/>
        </w:rPr>
        <w:t>at least</w:t>
      </w:r>
      <w:r w:rsidR="00325A72">
        <w:rPr>
          <w:rFonts w:ascii="Arial" w:hAnsi="Arial" w:cs="Arial"/>
          <w:sz w:val="22"/>
          <w:szCs w:val="22"/>
        </w:rPr>
        <w:t>” is deleted</w:t>
      </w:r>
      <w:r w:rsidR="005338DC">
        <w:rPr>
          <w:rFonts w:ascii="Arial" w:hAnsi="Arial" w:cs="Arial"/>
          <w:sz w:val="22"/>
          <w:szCs w:val="22"/>
        </w:rPr>
        <w:t xml:space="preserve"> as it is unsound</w:t>
      </w:r>
      <w:r w:rsidR="00325A72">
        <w:rPr>
          <w:rFonts w:ascii="Arial" w:hAnsi="Arial" w:cs="Arial"/>
          <w:sz w:val="22"/>
          <w:szCs w:val="22"/>
        </w:rPr>
        <w:t>.</w:t>
      </w:r>
    </w:p>
    <w:p w14:paraId="394C449A" w14:textId="77777777" w:rsidR="00325A72" w:rsidRDefault="00325A72" w:rsidP="00831327">
      <w:pPr>
        <w:spacing w:line="360" w:lineRule="auto"/>
        <w:jc w:val="both"/>
        <w:rPr>
          <w:rFonts w:ascii="Arial" w:hAnsi="Arial" w:cs="Arial"/>
          <w:sz w:val="22"/>
          <w:szCs w:val="22"/>
        </w:rPr>
      </w:pPr>
    </w:p>
    <w:p w14:paraId="52957809" w14:textId="12898EB5" w:rsidR="00325A72" w:rsidRDefault="00325A72" w:rsidP="00593D56">
      <w:pPr>
        <w:spacing w:line="360" w:lineRule="auto"/>
        <w:jc w:val="both"/>
        <w:rPr>
          <w:rFonts w:ascii="Arial" w:hAnsi="Arial" w:cs="Arial"/>
          <w:sz w:val="22"/>
          <w:szCs w:val="22"/>
        </w:rPr>
      </w:pPr>
      <w:r>
        <w:rPr>
          <w:rFonts w:ascii="Arial" w:hAnsi="Arial" w:cs="Arial"/>
          <w:sz w:val="22"/>
          <w:szCs w:val="22"/>
        </w:rPr>
        <w:t xml:space="preserve">The </w:t>
      </w:r>
      <w:r w:rsidR="00E74515">
        <w:rPr>
          <w:rFonts w:ascii="Arial" w:hAnsi="Arial" w:cs="Arial"/>
          <w:sz w:val="22"/>
          <w:szCs w:val="22"/>
        </w:rPr>
        <w:t>final sentence</w:t>
      </w:r>
      <w:r>
        <w:rPr>
          <w:rFonts w:ascii="Arial" w:hAnsi="Arial" w:cs="Arial"/>
          <w:sz w:val="22"/>
          <w:szCs w:val="22"/>
        </w:rPr>
        <w:t xml:space="preserve"> in paragraph 7.2.5 also creates uncertainty as to the intentions of the Council. This could be read as the Council recognising that some development will not be able to deliver affordable housing and that they are open to negotiation, equally it </w:t>
      </w:r>
      <w:r w:rsidR="00EC051F">
        <w:rPr>
          <w:rFonts w:ascii="Arial" w:hAnsi="Arial" w:cs="Arial"/>
          <w:sz w:val="22"/>
          <w:szCs w:val="22"/>
        </w:rPr>
        <w:t>could</w:t>
      </w:r>
      <w:r>
        <w:rPr>
          <w:rFonts w:ascii="Arial" w:hAnsi="Arial" w:cs="Arial"/>
          <w:sz w:val="22"/>
          <w:szCs w:val="22"/>
        </w:rPr>
        <w:t xml:space="preserve"> be seen as an intention to seek more than the policy requirment. Given the </w:t>
      </w:r>
      <w:r w:rsidR="00EC051F">
        <w:rPr>
          <w:rFonts w:ascii="Arial" w:hAnsi="Arial" w:cs="Arial"/>
          <w:sz w:val="22"/>
          <w:szCs w:val="22"/>
        </w:rPr>
        <w:t>viability</w:t>
      </w:r>
      <w:r>
        <w:rPr>
          <w:rFonts w:ascii="Arial" w:hAnsi="Arial" w:cs="Arial"/>
          <w:sz w:val="22"/>
          <w:szCs w:val="22"/>
        </w:rPr>
        <w:t xml:space="preserve"> assessment indicates </w:t>
      </w:r>
      <w:r w:rsidR="00EC051F">
        <w:rPr>
          <w:rFonts w:ascii="Arial" w:hAnsi="Arial" w:cs="Arial"/>
          <w:sz w:val="22"/>
          <w:szCs w:val="22"/>
        </w:rPr>
        <w:t xml:space="preserve">that a number of typologies will be made unviable by the policies in this plan the HBF recommend the </w:t>
      </w:r>
      <w:r w:rsidR="00E74515">
        <w:rPr>
          <w:rFonts w:ascii="Arial" w:hAnsi="Arial" w:cs="Arial"/>
          <w:sz w:val="22"/>
          <w:szCs w:val="22"/>
        </w:rPr>
        <w:t>final sentence</w:t>
      </w:r>
      <w:r w:rsidR="00EC051F">
        <w:rPr>
          <w:rFonts w:ascii="Arial" w:hAnsi="Arial" w:cs="Arial"/>
          <w:sz w:val="22"/>
          <w:szCs w:val="22"/>
        </w:rPr>
        <w:t xml:space="preserve"> in 7.2.5 is deleted and </w:t>
      </w:r>
      <w:r w:rsidR="00CA6925">
        <w:rPr>
          <w:rFonts w:ascii="Arial" w:hAnsi="Arial" w:cs="Arial"/>
          <w:sz w:val="22"/>
          <w:szCs w:val="22"/>
        </w:rPr>
        <w:t xml:space="preserve">replaced with </w:t>
      </w:r>
      <w:r w:rsidR="00C74F33">
        <w:rPr>
          <w:rFonts w:ascii="Arial" w:hAnsi="Arial" w:cs="Arial"/>
          <w:sz w:val="22"/>
          <w:szCs w:val="22"/>
        </w:rPr>
        <w:t>alternative wording</w:t>
      </w:r>
      <w:r w:rsidR="002F5CE4">
        <w:rPr>
          <w:rFonts w:ascii="Arial" w:hAnsi="Arial" w:cs="Arial"/>
          <w:sz w:val="22"/>
          <w:szCs w:val="22"/>
        </w:rPr>
        <w:t xml:space="preserve"> such as:</w:t>
      </w:r>
      <w:r w:rsidR="00E74515">
        <w:rPr>
          <w:rFonts w:ascii="Arial" w:hAnsi="Arial" w:cs="Arial"/>
          <w:sz w:val="22"/>
          <w:szCs w:val="22"/>
        </w:rPr>
        <w:t xml:space="preserve"> </w:t>
      </w:r>
      <w:r w:rsidR="00593D56">
        <w:rPr>
          <w:rFonts w:ascii="Arial" w:hAnsi="Arial" w:cs="Arial"/>
          <w:sz w:val="22"/>
          <w:szCs w:val="22"/>
        </w:rPr>
        <w:t>“</w:t>
      </w:r>
      <w:r w:rsidR="00C9529F" w:rsidRPr="00593D56">
        <w:rPr>
          <w:rFonts w:ascii="Arial" w:hAnsi="Arial" w:cs="Arial"/>
          <w:i/>
          <w:iCs/>
          <w:sz w:val="22"/>
          <w:szCs w:val="22"/>
        </w:rPr>
        <w:t>The Council will expect residential development to mee</w:t>
      </w:r>
      <w:r w:rsidR="00593D56" w:rsidRPr="00593D56">
        <w:rPr>
          <w:rFonts w:ascii="Arial" w:hAnsi="Arial" w:cs="Arial"/>
          <w:i/>
          <w:iCs/>
          <w:sz w:val="22"/>
          <w:szCs w:val="22"/>
        </w:rPr>
        <w:t>t t</w:t>
      </w:r>
      <w:r w:rsidR="00C9529F" w:rsidRPr="00593D56">
        <w:rPr>
          <w:rFonts w:ascii="Arial" w:hAnsi="Arial" w:cs="Arial"/>
          <w:i/>
          <w:iCs/>
          <w:sz w:val="22"/>
          <w:szCs w:val="22"/>
        </w:rPr>
        <w:t>he</w:t>
      </w:r>
      <w:r w:rsidR="00593D56" w:rsidRPr="00593D56">
        <w:rPr>
          <w:rFonts w:ascii="Arial" w:hAnsi="Arial" w:cs="Arial"/>
          <w:i/>
          <w:iCs/>
          <w:sz w:val="22"/>
          <w:szCs w:val="22"/>
        </w:rPr>
        <w:t xml:space="preserve"> </w:t>
      </w:r>
      <w:r w:rsidR="00C9529F" w:rsidRPr="00593D56">
        <w:rPr>
          <w:rFonts w:ascii="Arial" w:hAnsi="Arial" w:cs="Arial"/>
          <w:i/>
          <w:iCs/>
          <w:sz w:val="22"/>
          <w:szCs w:val="22"/>
        </w:rPr>
        <w:t>pol</w:t>
      </w:r>
      <w:r w:rsidR="00593D56" w:rsidRPr="00593D56">
        <w:rPr>
          <w:rFonts w:ascii="Arial" w:hAnsi="Arial" w:cs="Arial"/>
          <w:i/>
          <w:iCs/>
          <w:sz w:val="22"/>
          <w:szCs w:val="22"/>
        </w:rPr>
        <w:t>icy</w:t>
      </w:r>
      <w:r w:rsidR="00C9529F" w:rsidRPr="00593D56">
        <w:rPr>
          <w:rFonts w:ascii="Arial" w:hAnsi="Arial" w:cs="Arial"/>
          <w:i/>
          <w:iCs/>
          <w:sz w:val="22"/>
          <w:szCs w:val="22"/>
        </w:rPr>
        <w:t xml:space="preserve"> </w:t>
      </w:r>
      <w:r w:rsidR="00593D56" w:rsidRPr="00593D56">
        <w:rPr>
          <w:rFonts w:ascii="Arial" w:hAnsi="Arial" w:cs="Arial"/>
          <w:i/>
          <w:iCs/>
          <w:sz w:val="22"/>
          <w:szCs w:val="22"/>
        </w:rPr>
        <w:t>requirements</w:t>
      </w:r>
      <w:r w:rsidR="00C9529F" w:rsidRPr="00593D56">
        <w:rPr>
          <w:rFonts w:ascii="Arial" w:hAnsi="Arial" w:cs="Arial"/>
          <w:i/>
          <w:iCs/>
          <w:sz w:val="22"/>
          <w:szCs w:val="22"/>
        </w:rPr>
        <w:t xml:space="preserve"> </w:t>
      </w:r>
      <w:r w:rsidR="00593D56">
        <w:rPr>
          <w:rFonts w:ascii="Arial" w:hAnsi="Arial" w:cs="Arial"/>
          <w:i/>
          <w:iCs/>
          <w:sz w:val="22"/>
          <w:szCs w:val="22"/>
        </w:rPr>
        <w:t>for</w:t>
      </w:r>
      <w:r w:rsidR="00C9529F" w:rsidRPr="00593D56">
        <w:rPr>
          <w:rFonts w:ascii="Arial" w:hAnsi="Arial" w:cs="Arial"/>
          <w:i/>
          <w:iCs/>
          <w:sz w:val="22"/>
          <w:szCs w:val="22"/>
        </w:rPr>
        <w:t xml:space="preserve"> affordable housing</w:t>
      </w:r>
      <w:r w:rsidR="00593D56">
        <w:rPr>
          <w:rFonts w:ascii="Arial" w:hAnsi="Arial" w:cs="Arial"/>
          <w:i/>
          <w:iCs/>
          <w:sz w:val="22"/>
          <w:szCs w:val="22"/>
        </w:rPr>
        <w:t xml:space="preserve"> in full</w:t>
      </w:r>
      <w:r w:rsidR="00C9529F" w:rsidRPr="00593D56">
        <w:rPr>
          <w:rFonts w:ascii="Arial" w:hAnsi="Arial" w:cs="Arial"/>
          <w:i/>
          <w:iCs/>
          <w:sz w:val="22"/>
          <w:szCs w:val="22"/>
        </w:rPr>
        <w:t xml:space="preserve">. </w:t>
      </w:r>
      <w:r w:rsidR="00593D56" w:rsidRPr="00593D56">
        <w:rPr>
          <w:rFonts w:ascii="Arial" w:hAnsi="Arial" w:cs="Arial"/>
          <w:i/>
          <w:iCs/>
          <w:sz w:val="22"/>
          <w:szCs w:val="22"/>
        </w:rPr>
        <w:t>Where</w:t>
      </w:r>
      <w:r w:rsidR="00F315F7" w:rsidRPr="00593D56">
        <w:rPr>
          <w:rFonts w:ascii="Arial" w:hAnsi="Arial" w:cs="Arial"/>
          <w:i/>
          <w:iCs/>
          <w:sz w:val="22"/>
          <w:szCs w:val="22"/>
        </w:rPr>
        <w:t xml:space="preserve"> </w:t>
      </w:r>
      <w:r w:rsidR="00110644">
        <w:rPr>
          <w:rFonts w:ascii="Arial" w:hAnsi="Arial" w:cs="Arial"/>
          <w:i/>
          <w:iCs/>
          <w:sz w:val="22"/>
          <w:szCs w:val="22"/>
        </w:rPr>
        <w:t xml:space="preserve">a </w:t>
      </w:r>
      <w:r w:rsidR="00816591">
        <w:rPr>
          <w:rFonts w:ascii="Arial" w:hAnsi="Arial" w:cs="Arial"/>
          <w:i/>
          <w:iCs/>
          <w:sz w:val="22"/>
          <w:szCs w:val="22"/>
        </w:rPr>
        <w:t>viability</w:t>
      </w:r>
      <w:r w:rsidR="00110644">
        <w:rPr>
          <w:rFonts w:ascii="Arial" w:hAnsi="Arial" w:cs="Arial"/>
          <w:i/>
          <w:iCs/>
          <w:sz w:val="22"/>
          <w:szCs w:val="22"/>
        </w:rPr>
        <w:t xml:space="preserve"> assessment </w:t>
      </w:r>
      <w:r w:rsidR="00F315F7" w:rsidRPr="00593D56">
        <w:rPr>
          <w:rFonts w:ascii="Arial" w:hAnsi="Arial" w:cs="Arial"/>
          <w:i/>
          <w:iCs/>
          <w:sz w:val="22"/>
          <w:szCs w:val="22"/>
        </w:rPr>
        <w:t xml:space="preserve">it can be shown that </w:t>
      </w:r>
      <w:r w:rsidR="00593D56" w:rsidRPr="00593D56">
        <w:rPr>
          <w:rFonts w:ascii="Arial" w:hAnsi="Arial" w:cs="Arial"/>
          <w:i/>
          <w:iCs/>
          <w:sz w:val="22"/>
          <w:szCs w:val="22"/>
        </w:rPr>
        <w:t>these requirements</w:t>
      </w:r>
      <w:r w:rsidR="00F315F7" w:rsidRPr="00593D56">
        <w:rPr>
          <w:rFonts w:ascii="Arial" w:hAnsi="Arial" w:cs="Arial"/>
          <w:i/>
          <w:iCs/>
          <w:sz w:val="22"/>
          <w:szCs w:val="22"/>
        </w:rPr>
        <w:t xml:space="preserve"> cannot be addressed the Council </w:t>
      </w:r>
      <w:r w:rsidR="00593D56" w:rsidRPr="00593D56">
        <w:rPr>
          <w:rFonts w:ascii="Arial" w:hAnsi="Arial" w:cs="Arial"/>
          <w:i/>
          <w:iCs/>
          <w:sz w:val="22"/>
          <w:szCs w:val="22"/>
        </w:rPr>
        <w:t>will consider off-site delivery, an alternate tenure mix or a reduction in provision</w:t>
      </w:r>
      <w:r w:rsidR="00593D56">
        <w:rPr>
          <w:rFonts w:ascii="Arial" w:hAnsi="Arial" w:cs="Arial"/>
          <w:sz w:val="22"/>
          <w:szCs w:val="22"/>
        </w:rPr>
        <w:t>”.</w:t>
      </w:r>
    </w:p>
    <w:p w14:paraId="1A1BC959" w14:textId="77777777" w:rsidR="00B62C96" w:rsidRDefault="00B62C96" w:rsidP="00831327">
      <w:pPr>
        <w:spacing w:line="360" w:lineRule="auto"/>
        <w:jc w:val="both"/>
        <w:rPr>
          <w:rFonts w:ascii="Arial" w:hAnsi="Arial" w:cs="Arial"/>
          <w:sz w:val="22"/>
          <w:szCs w:val="22"/>
        </w:rPr>
      </w:pPr>
    </w:p>
    <w:p w14:paraId="663D31DD" w14:textId="2704B84D" w:rsidR="00B62C96" w:rsidRPr="00B62C96" w:rsidRDefault="00B62C96" w:rsidP="00831327">
      <w:pPr>
        <w:spacing w:line="360" w:lineRule="auto"/>
        <w:jc w:val="both"/>
        <w:rPr>
          <w:rFonts w:ascii="Arial" w:hAnsi="Arial" w:cs="Arial"/>
          <w:sz w:val="22"/>
          <w:szCs w:val="22"/>
        </w:rPr>
      </w:pPr>
      <w:r w:rsidRPr="007B29BA">
        <w:rPr>
          <w:rFonts w:ascii="Arial" w:hAnsi="Arial" w:cs="Arial"/>
          <w:i/>
          <w:iCs/>
          <w:sz w:val="22"/>
          <w:szCs w:val="22"/>
          <w:u w:val="single"/>
        </w:rPr>
        <w:t>4.6 Is the required affordable housing mix for 25% of affordable housing to be first homes and the remainder rented in a mix of one, two and three bed with the majority two bed justified by the evidence of local need, consistent with national policy and has its effect on viability been properly assessed? With 15% or 35% affordable</w:t>
      </w:r>
      <w:r w:rsidR="00AA2798">
        <w:rPr>
          <w:rFonts w:ascii="Arial" w:hAnsi="Arial" w:cs="Arial"/>
          <w:sz w:val="22"/>
          <w:szCs w:val="22"/>
        </w:rPr>
        <w:t xml:space="preserve"> </w:t>
      </w:r>
      <w:r w:rsidRPr="00AA2798">
        <w:rPr>
          <w:rFonts w:ascii="Arial" w:hAnsi="Arial" w:cs="Arial"/>
          <w:i/>
          <w:iCs/>
          <w:sz w:val="22"/>
          <w:szCs w:val="22"/>
          <w:u w:val="single"/>
        </w:rPr>
        <w:t>housing, is the policy consistent with national policy for 10% of the total number of homes on large sites to be for affordable home ownership (NPPF paragraph 65), and if not is any conflict justified?</w:t>
      </w:r>
    </w:p>
    <w:p w14:paraId="31C8D62F" w14:textId="77777777" w:rsidR="00B62C96" w:rsidRDefault="00B62C96" w:rsidP="00831327">
      <w:pPr>
        <w:spacing w:line="360" w:lineRule="auto"/>
        <w:jc w:val="both"/>
        <w:rPr>
          <w:rFonts w:ascii="Arial" w:hAnsi="Arial" w:cs="Arial"/>
          <w:sz w:val="22"/>
          <w:szCs w:val="22"/>
        </w:rPr>
      </w:pPr>
    </w:p>
    <w:p w14:paraId="1E99BE97" w14:textId="44DA657B" w:rsidR="00EC051F" w:rsidRDefault="00EC051F" w:rsidP="00831327">
      <w:pPr>
        <w:spacing w:line="360" w:lineRule="auto"/>
        <w:jc w:val="both"/>
        <w:rPr>
          <w:rFonts w:ascii="Arial" w:hAnsi="Arial" w:cs="Arial"/>
          <w:sz w:val="22"/>
          <w:szCs w:val="22"/>
        </w:rPr>
      </w:pPr>
      <w:r>
        <w:rPr>
          <w:rFonts w:ascii="Arial" w:hAnsi="Arial" w:cs="Arial"/>
          <w:sz w:val="22"/>
          <w:szCs w:val="22"/>
        </w:rPr>
        <w:t xml:space="preserve">First homes </w:t>
      </w:r>
      <w:r w:rsidR="009F4C14">
        <w:rPr>
          <w:rFonts w:ascii="Arial" w:hAnsi="Arial" w:cs="Arial"/>
          <w:sz w:val="22"/>
          <w:szCs w:val="22"/>
        </w:rPr>
        <w:t>should</w:t>
      </w:r>
      <w:r>
        <w:rPr>
          <w:rFonts w:ascii="Arial" w:hAnsi="Arial" w:cs="Arial"/>
          <w:sz w:val="22"/>
          <w:szCs w:val="22"/>
        </w:rPr>
        <w:t xml:space="preserve"> be treated as </w:t>
      </w:r>
      <w:r w:rsidR="009F4C14">
        <w:rPr>
          <w:rFonts w:ascii="Arial" w:hAnsi="Arial" w:cs="Arial"/>
          <w:sz w:val="22"/>
          <w:szCs w:val="22"/>
        </w:rPr>
        <w:t xml:space="preserve">market housing with regard to returns given that it is the developer will market and sell these units. This means that the costs and profit margins relating to market homes should be used in relation to first homes. </w:t>
      </w:r>
      <w:r w:rsidR="003612DC">
        <w:rPr>
          <w:rFonts w:ascii="Arial" w:hAnsi="Arial" w:cs="Arial"/>
          <w:sz w:val="22"/>
          <w:szCs w:val="22"/>
        </w:rPr>
        <w:t xml:space="preserve">It </w:t>
      </w:r>
      <w:r w:rsidR="00CD0ECE">
        <w:rPr>
          <w:rFonts w:ascii="Arial" w:hAnsi="Arial" w:cs="Arial"/>
          <w:sz w:val="22"/>
          <w:szCs w:val="22"/>
        </w:rPr>
        <w:t>would</w:t>
      </w:r>
      <w:r w:rsidR="003612DC">
        <w:rPr>
          <w:rFonts w:ascii="Arial" w:hAnsi="Arial" w:cs="Arial"/>
          <w:sz w:val="22"/>
          <w:szCs w:val="22"/>
        </w:rPr>
        <w:t xml:space="preserve"> appear from the </w:t>
      </w:r>
      <w:r w:rsidR="004B4213">
        <w:rPr>
          <w:rFonts w:ascii="Arial" w:hAnsi="Arial" w:cs="Arial"/>
          <w:sz w:val="22"/>
          <w:szCs w:val="22"/>
        </w:rPr>
        <w:t>viability</w:t>
      </w:r>
      <w:r w:rsidR="003612DC">
        <w:rPr>
          <w:rFonts w:ascii="Arial" w:hAnsi="Arial" w:cs="Arial"/>
          <w:sz w:val="22"/>
          <w:szCs w:val="22"/>
        </w:rPr>
        <w:t xml:space="preserve"> assessment that these have been </w:t>
      </w:r>
      <w:r w:rsidR="004B4213">
        <w:rPr>
          <w:rFonts w:ascii="Arial" w:hAnsi="Arial" w:cs="Arial"/>
          <w:sz w:val="22"/>
          <w:szCs w:val="22"/>
        </w:rPr>
        <w:t xml:space="preserve">treated the same as </w:t>
      </w:r>
      <w:r w:rsidR="00CD0ECE">
        <w:rPr>
          <w:rFonts w:ascii="Arial" w:hAnsi="Arial" w:cs="Arial"/>
          <w:sz w:val="22"/>
          <w:szCs w:val="22"/>
        </w:rPr>
        <w:t>affordable</w:t>
      </w:r>
      <w:r w:rsidR="004B4213">
        <w:rPr>
          <w:rFonts w:ascii="Arial" w:hAnsi="Arial" w:cs="Arial"/>
          <w:sz w:val="22"/>
          <w:szCs w:val="22"/>
        </w:rPr>
        <w:t xml:space="preserve"> housing that is provided by an RSL </w:t>
      </w:r>
      <w:r w:rsidR="00EB1971">
        <w:rPr>
          <w:rFonts w:ascii="Arial" w:hAnsi="Arial" w:cs="Arial"/>
          <w:sz w:val="22"/>
          <w:szCs w:val="22"/>
        </w:rPr>
        <w:t xml:space="preserve">with a 6% return included and </w:t>
      </w:r>
      <w:r w:rsidR="00E03061">
        <w:rPr>
          <w:rFonts w:ascii="Arial" w:hAnsi="Arial" w:cs="Arial"/>
          <w:sz w:val="22"/>
          <w:szCs w:val="22"/>
        </w:rPr>
        <w:t xml:space="preserve">no marketing fees being applied to </w:t>
      </w:r>
      <w:r w:rsidR="006D54AF">
        <w:rPr>
          <w:rFonts w:ascii="Arial" w:hAnsi="Arial" w:cs="Arial"/>
          <w:sz w:val="22"/>
          <w:szCs w:val="22"/>
        </w:rPr>
        <w:t>the affordable housing element.</w:t>
      </w:r>
    </w:p>
    <w:p w14:paraId="2CAD530D" w14:textId="42BCCDB3" w:rsidR="00325A72" w:rsidRDefault="00325A72" w:rsidP="00831327">
      <w:pPr>
        <w:spacing w:line="360" w:lineRule="auto"/>
        <w:jc w:val="both"/>
        <w:rPr>
          <w:rFonts w:ascii="Arial" w:hAnsi="Arial" w:cs="Arial"/>
          <w:sz w:val="22"/>
          <w:szCs w:val="22"/>
        </w:rPr>
      </w:pPr>
    </w:p>
    <w:p w14:paraId="19989D1B" w14:textId="2CE4F9BD" w:rsidR="009F4C14" w:rsidRDefault="009F4C14" w:rsidP="00831327">
      <w:pPr>
        <w:spacing w:line="360" w:lineRule="auto"/>
        <w:jc w:val="both"/>
        <w:rPr>
          <w:rFonts w:ascii="Arial" w:hAnsi="Arial" w:cs="Arial"/>
          <w:sz w:val="22"/>
          <w:szCs w:val="22"/>
        </w:rPr>
      </w:pPr>
      <w:r>
        <w:rPr>
          <w:rFonts w:ascii="Arial" w:hAnsi="Arial" w:cs="Arial"/>
          <w:sz w:val="22"/>
          <w:szCs w:val="22"/>
        </w:rPr>
        <w:t xml:space="preserve">The policy does not reference the requirement of national policy for 10% of all homes on major development to be delivered as affordable home ownership. Whilst 25% of the affordable housing provision is required to be First Homes </w:t>
      </w:r>
      <w:r w:rsidR="006D54AF">
        <w:rPr>
          <w:rFonts w:ascii="Arial" w:hAnsi="Arial" w:cs="Arial"/>
          <w:sz w:val="22"/>
          <w:szCs w:val="22"/>
        </w:rPr>
        <w:t>this</w:t>
      </w:r>
      <w:r>
        <w:rPr>
          <w:rFonts w:ascii="Arial" w:hAnsi="Arial" w:cs="Arial"/>
          <w:sz w:val="22"/>
          <w:szCs w:val="22"/>
        </w:rPr>
        <w:t xml:space="preserve"> will mean that even sites delivering there full affordable housing requirement will not deliver 10% of their homes as affordable home ownership. The tenure </w:t>
      </w:r>
      <w:r w:rsidR="006D54AF">
        <w:rPr>
          <w:rFonts w:ascii="Arial" w:hAnsi="Arial" w:cs="Arial"/>
          <w:sz w:val="22"/>
          <w:szCs w:val="22"/>
        </w:rPr>
        <w:t>mix</w:t>
      </w:r>
      <w:r>
        <w:rPr>
          <w:rFonts w:ascii="Arial" w:hAnsi="Arial" w:cs="Arial"/>
          <w:sz w:val="22"/>
          <w:szCs w:val="22"/>
        </w:rPr>
        <w:t xml:space="preserve"> in</w:t>
      </w:r>
      <w:r w:rsidR="006D54AF">
        <w:rPr>
          <w:rFonts w:ascii="Arial" w:hAnsi="Arial" w:cs="Arial"/>
          <w:sz w:val="22"/>
          <w:szCs w:val="22"/>
        </w:rPr>
        <w:t xml:space="preserve"> policy</w:t>
      </w:r>
      <w:r>
        <w:rPr>
          <w:rFonts w:ascii="Arial" w:hAnsi="Arial" w:cs="Arial"/>
          <w:sz w:val="22"/>
          <w:szCs w:val="22"/>
        </w:rPr>
        <w:t xml:space="preserve"> HOU2 requires all housing other than first homes to be rented accommodation </w:t>
      </w:r>
      <w:r w:rsidR="008D2924">
        <w:rPr>
          <w:rFonts w:ascii="Arial" w:hAnsi="Arial" w:cs="Arial"/>
          <w:sz w:val="22"/>
          <w:szCs w:val="22"/>
        </w:rPr>
        <w:t xml:space="preserve">and </w:t>
      </w:r>
      <w:r>
        <w:rPr>
          <w:rFonts w:ascii="Arial" w:hAnsi="Arial" w:cs="Arial"/>
          <w:sz w:val="22"/>
          <w:szCs w:val="22"/>
        </w:rPr>
        <w:t xml:space="preserve">should be amended to support the requirement for affordable home ownership in paragraph </w:t>
      </w:r>
      <w:r w:rsidR="00E42761">
        <w:rPr>
          <w:rFonts w:ascii="Arial" w:hAnsi="Arial" w:cs="Arial"/>
          <w:sz w:val="22"/>
          <w:szCs w:val="22"/>
        </w:rPr>
        <w:t>65</w:t>
      </w:r>
      <w:r>
        <w:rPr>
          <w:rFonts w:ascii="Arial" w:hAnsi="Arial" w:cs="Arial"/>
          <w:sz w:val="22"/>
          <w:szCs w:val="22"/>
        </w:rPr>
        <w:t xml:space="preserve"> of the NPPF. </w:t>
      </w:r>
    </w:p>
    <w:p w14:paraId="1AA359B4" w14:textId="77777777" w:rsidR="009F4C14" w:rsidRDefault="009F4C14" w:rsidP="00831327">
      <w:pPr>
        <w:spacing w:line="360" w:lineRule="auto"/>
        <w:jc w:val="both"/>
        <w:rPr>
          <w:rFonts w:ascii="Arial" w:hAnsi="Arial" w:cs="Arial"/>
          <w:sz w:val="22"/>
          <w:szCs w:val="22"/>
        </w:rPr>
      </w:pPr>
    </w:p>
    <w:p w14:paraId="54AED8FB" w14:textId="49ED5AFF" w:rsidR="00B62C96" w:rsidRPr="00AA2798" w:rsidRDefault="00B62C96" w:rsidP="00831327">
      <w:pPr>
        <w:spacing w:line="360" w:lineRule="auto"/>
        <w:jc w:val="both"/>
        <w:rPr>
          <w:rFonts w:ascii="Arial" w:hAnsi="Arial" w:cs="Arial"/>
          <w:i/>
          <w:iCs/>
          <w:sz w:val="22"/>
          <w:szCs w:val="22"/>
          <w:u w:val="single"/>
        </w:rPr>
      </w:pPr>
      <w:r w:rsidRPr="00AA2798">
        <w:rPr>
          <w:rFonts w:ascii="Arial" w:hAnsi="Arial" w:cs="Arial"/>
          <w:i/>
          <w:iCs/>
          <w:sz w:val="22"/>
          <w:szCs w:val="22"/>
          <w:u w:val="single"/>
        </w:rPr>
        <w:t>4.7 Would it be clearer to have a separate line in the policy for sites of 6-10 in the designated rural area? Is the policy overall sufficiency clear?</w:t>
      </w:r>
    </w:p>
    <w:p w14:paraId="696619E8" w14:textId="77777777" w:rsidR="00B62C96" w:rsidRDefault="00B62C96" w:rsidP="00831327">
      <w:pPr>
        <w:spacing w:line="360" w:lineRule="auto"/>
        <w:jc w:val="both"/>
        <w:rPr>
          <w:rFonts w:ascii="Arial" w:hAnsi="Arial" w:cs="Arial"/>
          <w:sz w:val="22"/>
          <w:szCs w:val="22"/>
        </w:rPr>
      </w:pPr>
    </w:p>
    <w:p w14:paraId="56F777CF" w14:textId="5A65F2A5" w:rsidR="00B62C96" w:rsidRDefault="00AA2798" w:rsidP="00831327">
      <w:pPr>
        <w:spacing w:line="360" w:lineRule="auto"/>
        <w:jc w:val="both"/>
        <w:rPr>
          <w:rFonts w:ascii="Arial" w:hAnsi="Arial" w:cs="Arial"/>
          <w:sz w:val="22"/>
          <w:szCs w:val="22"/>
        </w:rPr>
      </w:pPr>
      <w:r>
        <w:rPr>
          <w:rFonts w:ascii="Arial" w:hAnsi="Arial" w:cs="Arial"/>
          <w:sz w:val="22"/>
          <w:szCs w:val="22"/>
        </w:rPr>
        <w:t xml:space="preserve">Yes. </w:t>
      </w:r>
      <w:r w:rsidR="00EA21AE">
        <w:rPr>
          <w:rFonts w:ascii="Arial" w:hAnsi="Arial" w:cs="Arial"/>
          <w:sz w:val="22"/>
          <w:szCs w:val="22"/>
        </w:rPr>
        <w:t xml:space="preserve">It is not at first apparent that this will be the case. In order to be consistent with need for policies to be written clearly a separate line specifying the requirement in designated rural areas is necessary.  </w:t>
      </w:r>
    </w:p>
    <w:p w14:paraId="4239D80E" w14:textId="77777777" w:rsidR="00B62C96" w:rsidRDefault="00B62C96" w:rsidP="00831327">
      <w:pPr>
        <w:spacing w:line="360" w:lineRule="auto"/>
        <w:jc w:val="both"/>
        <w:rPr>
          <w:rFonts w:ascii="Arial" w:hAnsi="Arial" w:cs="Arial"/>
          <w:sz w:val="22"/>
          <w:szCs w:val="22"/>
        </w:rPr>
      </w:pPr>
    </w:p>
    <w:p w14:paraId="52C6EC06" w14:textId="6EBC208E" w:rsidR="00B62C96" w:rsidRPr="00AA2798" w:rsidRDefault="00B62C96" w:rsidP="00831327">
      <w:pPr>
        <w:spacing w:line="360" w:lineRule="auto"/>
        <w:jc w:val="both"/>
        <w:rPr>
          <w:rFonts w:ascii="Arial" w:hAnsi="Arial" w:cs="Arial"/>
          <w:i/>
          <w:iCs/>
          <w:sz w:val="22"/>
          <w:szCs w:val="22"/>
          <w:u w:val="single"/>
        </w:rPr>
      </w:pPr>
      <w:r w:rsidRPr="00AA2798">
        <w:rPr>
          <w:rFonts w:ascii="Arial" w:hAnsi="Arial" w:cs="Arial"/>
          <w:i/>
          <w:iCs/>
          <w:sz w:val="22"/>
          <w:szCs w:val="22"/>
          <w:u w:val="single"/>
        </w:rPr>
        <w:t>4.8 How would the alternative to on-site provision of a financial contribution on sites of 6-10 dwellings be assessed?</w:t>
      </w:r>
    </w:p>
    <w:p w14:paraId="66DAA9A0" w14:textId="77777777" w:rsidR="00B62C96" w:rsidRDefault="00B62C96" w:rsidP="0032582C">
      <w:pPr>
        <w:spacing w:line="360" w:lineRule="auto"/>
        <w:rPr>
          <w:rFonts w:ascii="Arial" w:hAnsi="Arial" w:cs="Arial"/>
          <w:sz w:val="22"/>
          <w:szCs w:val="22"/>
        </w:rPr>
      </w:pPr>
    </w:p>
    <w:p w14:paraId="5838693D" w14:textId="4D35D495" w:rsidR="00EA21AE" w:rsidRDefault="00EA21AE" w:rsidP="0032582C">
      <w:pPr>
        <w:spacing w:line="360" w:lineRule="auto"/>
        <w:rPr>
          <w:rFonts w:ascii="Arial" w:hAnsi="Arial" w:cs="Arial"/>
          <w:sz w:val="22"/>
          <w:szCs w:val="22"/>
        </w:rPr>
      </w:pPr>
      <w:r>
        <w:rPr>
          <w:rFonts w:ascii="Arial" w:hAnsi="Arial" w:cs="Arial"/>
          <w:sz w:val="22"/>
          <w:szCs w:val="22"/>
        </w:rPr>
        <w:t>For council.</w:t>
      </w:r>
    </w:p>
    <w:p w14:paraId="7A0E6052" w14:textId="77777777" w:rsidR="00EA21AE" w:rsidRDefault="00EA21AE" w:rsidP="0032582C">
      <w:pPr>
        <w:spacing w:line="360" w:lineRule="auto"/>
        <w:rPr>
          <w:rFonts w:ascii="Arial" w:hAnsi="Arial" w:cs="Arial"/>
          <w:sz w:val="22"/>
          <w:szCs w:val="22"/>
        </w:rPr>
      </w:pPr>
    </w:p>
    <w:p w14:paraId="34599007" w14:textId="2B39E388" w:rsidR="00B62C96" w:rsidRPr="00AA2798" w:rsidRDefault="00B62C96" w:rsidP="0032582C">
      <w:pPr>
        <w:spacing w:line="360" w:lineRule="auto"/>
        <w:rPr>
          <w:rFonts w:ascii="Arial" w:hAnsi="Arial" w:cs="Arial"/>
          <w:b/>
          <w:bCs/>
          <w:sz w:val="22"/>
          <w:szCs w:val="22"/>
          <w:u w:val="single"/>
        </w:rPr>
      </w:pPr>
      <w:r w:rsidRPr="00AA2798">
        <w:rPr>
          <w:rFonts w:ascii="Arial" w:hAnsi="Arial" w:cs="Arial"/>
          <w:b/>
          <w:bCs/>
          <w:sz w:val="22"/>
          <w:szCs w:val="22"/>
          <w:u w:val="single"/>
        </w:rPr>
        <w:t>Market Housing Mix</w:t>
      </w:r>
    </w:p>
    <w:p w14:paraId="0161AF50" w14:textId="77777777" w:rsidR="00B62C96" w:rsidRDefault="00B62C96" w:rsidP="0032582C">
      <w:pPr>
        <w:spacing w:line="360" w:lineRule="auto"/>
        <w:rPr>
          <w:rFonts w:ascii="Arial" w:hAnsi="Arial" w:cs="Arial"/>
          <w:sz w:val="22"/>
          <w:szCs w:val="22"/>
        </w:rPr>
      </w:pPr>
    </w:p>
    <w:p w14:paraId="6AF71AF5" w14:textId="1B8F31DC" w:rsidR="00B62C96" w:rsidRPr="00B107E9" w:rsidRDefault="00B62C96" w:rsidP="0032582C">
      <w:pPr>
        <w:spacing w:line="360" w:lineRule="auto"/>
        <w:jc w:val="both"/>
        <w:rPr>
          <w:rFonts w:ascii="Arial" w:hAnsi="Arial" w:cs="Arial"/>
          <w:i/>
          <w:iCs/>
          <w:sz w:val="22"/>
          <w:szCs w:val="22"/>
          <w:u w:val="single"/>
        </w:rPr>
      </w:pPr>
      <w:r w:rsidRPr="00B107E9">
        <w:rPr>
          <w:rFonts w:ascii="Arial" w:hAnsi="Arial" w:cs="Arial"/>
          <w:i/>
          <w:iCs/>
          <w:sz w:val="22"/>
          <w:szCs w:val="22"/>
          <w:u w:val="single"/>
        </w:rPr>
        <w:t>4.9 Is the required market housing mix on sites of 6 or more dwellings – not less than 50% two or three-bedroom properties in a mix comprising approx. 20% two-bed and 80% three-bed – justified by evidence of local need and has its effect on viability been properly assessed? Does this allow sufficient flexibility to meet locally specific needs?</w:t>
      </w:r>
    </w:p>
    <w:p w14:paraId="6BBC2D70" w14:textId="77777777" w:rsidR="00B62C96" w:rsidRDefault="00B62C96" w:rsidP="0032582C">
      <w:pPr>
        <w:spacing w:line="360" w:lineRule="auto"/>
        <w:rPr>
          <w:rFonts w:ascii="Arial" w:hAnsi="Arial" w:cs="Arial"/>
          <w:sz w:val="22"/>
          <w:szCs w:val="22"/>
        </w:rPr>
      </w:pPr>
    </w:p>
    <w:p w14:paraId="377D53A1" w14:textId="41F6481A" w:rsidR="00EA21AE" w:rsidRDefault="00EA21AE" w:rsidP="0032582C">
      <w:pPr>
        <w:spacing w:line="360" w:lineRule="auto"/>
        <w:rPr>
          <w:rFonts w:ascii="Arial" w:hAnsi="Arial" w:cs="Arial"/>
          <w:sz w:val="22"/>
          <w:szCs w:val="22"/>
        </w:rPr>
      </w:pPr>
      <w:r>
        <w:rPr>
          <w:rFonts w:ascii="Arial" w:hAnsi="Arial" w:cs="Arial"/>
          <w:sz w:val="22"/>
          <w:szCs w:val="22"/>
        </w:rPr>
        <w:lastRenderedPageBreak/>
        <w:t>No comment</w:t>
      </w:r>
    </w:p>
    <w:p w14:paraId="7302EF1D" w14:textId="77777777" w:rsidR="00B62C96" w:rsidRDefault="00B62C96" w:rsidP="0032582C">
      <w:pPr>
        <w:spacing w:line="360" w:lineRule="auto"/>
        <w:rPr>
          <w:rFonts w:ascii="Arial" w:hAnsi="Arial" w:cs="Arial"/>
          <w:sz w:val="22"/>
          <w:szCs w:val="22"/>
        </w:rPr>
      </w:pPr>
    </w:p>
    <w:p w14:paraId="24D20E9C" w14:textId="2D2802DF" w:rsidR="00B62C96" w:rsidRPr="00324380" w:rsidRDefault="00B62C96" w:rsidP="0032582C">
      <w:pPr>
        <w:spacing w:line="360" w:lineRule="auto"/>
        <w:rPr>
          <w:rFonts w:ascii="Arial" w:hAnsi="Arial" w:cs="Arial"/>
          <w:b/>
          <w:bCs/>
          <w:i/>
          <w:iCs/>
          <w:sz w:val="22"/>
          <w:szCs w:val="22"/>
          <w:u w:val="single"/>
        </w:rPr>
      </w:pPr>
      <w:r w:rsidRPr="00324380">
        <w:rPr>
          <w:rFonts w:ascii="Arial" w:hAnsi="Arial" w:cs="Arial"/>
          <w:b/>
          <w:bCs/>
          <w:i/>
          <w:iCs/>
          <w:sz w:val="22"/>
          <w:szCs w:val="22"/>
          <w:u w:val="single"/>
        </w:rPr>
        <w:t>Custom &amp; Self Build Housing</w:t>
      </w:r>
    </w:p>
    <w:p w14:paraId="4A38BB00" w14:textId="77777777" w:rsidR="00B62C96" w:rsidRDefault="00B62C96" w:rsidP="0032582C">
      <w:pPr>
        <w:spacing w:line="360" w:lineRule="auto"/>
        <w:rPr>
          <w:rFonts w:ascii="Arial" w:hAnsi="Arial" w:cs="Arial"/>
          <w:sz w:val="22"/>
          <w:szCs w:val="22"/>
        </w:rPr>
      </w:pPr>
    </w:p>
    <w:p w14:paraId="4534FD7A" w14:textId="615CC6B3" w:rsidR="003F0537" w:rsidRPr="003F0537" w:rsidRDefault="00B62C96" w:rsidP="0032582C">
      <w:pPr>
        <w:spacing w:line="360" w:lineRule="auto"/>
        <w:jc w:val="both"/>
        <w:rPr>
          <w:rFonts w:ascii="Arial" w:hAnsi="Arial" w:cs="Arial"/>
          <w:i/>
          <w:iCs/>
          <w:sz w:val="22"/>
          <w:szCs w:val="22"/>
          <w:u w:val="single"/>
        </w:rPr>
      </w:pPr>
      <w:r w:rsidRPr="00F52BDB">
        <w:rPr>
          <w:rFonts w:ascii="Arial" w:hAnsi="Arial" w:cs="Arial"/>
          <w:i/>
          <w:iCs/>
          <w:sz w:val="22"/>
          <w:szCs w:val="22"/>
          <w:u w:val="single"/>
        </w:rPr>
        <w:t>4.10 Is the requirement on sites of 26 dwellings/4 ha or more for at least one serviced self-build plot or 2% of the number of units (whichever is the greater) justified by the evidence, including the number of applicants on the Council’s self-build register? How</w:t>
      </w:r>
      <w:r w:rsidR="003F0537" w:rsidRPr="003F0537">
        <w:t xml:space="preserve"> </w:t>
      </w:r>
      <w:r w:rsidR="003F0537" w:rsidRPr="003F0537">
        <w:rPr>
          <w:rFonts w:ascii="Arial" w:hAnsi="Arial" w:cs="Arial"/>
          <w:i/>
          <w:iCs/>
          <w:sz w:val="22"/>
          <w:szCs w:val="22"/>
          <w:u w:val="single"/>
        </w:rPr>
        <w:t>would the requirement operate in practice to be sensitive to demand in any particular settlement over time and if the sites are not taken up?</w:t>
      </w:r>
    </w:p>
    <w:p w14:paraId="5583D032" w14:textId="77777777" w:rsidR="00324380" w:rsidRDefault="00324380" w:rsidP="0032582C">
      <w:pPr>
        <w:spacing w:line="360" w:lineRule="auto"/>
        <w:jc w:val="both"/>
        <w:rPr>
          <w:rFonts w:ascii="Arial" w:hAnsi="Arial" w:cs="Arial"/>
          <w:sz w:val="22"/>
          <w:szCs w:val="22"/>
          <w:u w:val="single"/>
        </w:rPr>
      </w:pPr>
    </w:p>
    <w:p w14:paraId="415492EA" w14:textId="05800ADB" w:rsidR="005F5057" w:rsidRDefault="009B3887" w:rsidP="005F5057">
      <w:pPr>
        <w:spacing w:line="360" w:lineRule="auto"/>
        <w:jc w:val="both"/>
        <w:rPr>
          <w:rFonts w:ascii="Arial" w:hAnsi="Arial" w:cs="Arial"/>
          <w:sz w:val="22"/>
          <w:szCs w:val="22"/>
        </w:rPr>
      </w:pPr>
      <w:r>
        <w:rPr>
          <w:rFonts w:ascii="Arial" w:hAnsi="Arial" w:cs="Arial"/>
          <w:sz w:val="22"/>
          <w:szCs w:val="22"/>
        </w:rPr>
        <w:t xml:space="preserve">The only evidence </w:t>
      </w:r>
      <w:r w:rsidR="00376067">
        <w:rPr>
          <w:rFonts w:ascii="Arial" w:hAnsi="Arial" w:cs="Arial"/>
          <w:sz w:val="22"/>
          <w:szCs w:val="22"/>
        </w:rPr>
        <w:t xml:space="preserve">we could find in relation to the need for </w:t>
      </w:r>
      <w:r w:rsidR="002E123D">
        <w:rPr>
          <w:rFonts w:ascii="Arial" w:hAnsi="Arial" w:cs="Arial"/>
          <w:sz w:val="22"/>
          <w:szCs w:val="22"/>
        </w:rPr>
        <w:t>self-build</w:t>
      </w:r>
      <w:r w:rsidR="00376067">
        <w:rPr>
          <w:rFonts w:ascii="Arial" w:hAnsi="Arial" w:cs="Arial"/>
          <w:sz w:val="22"/>
          <w:szCs w:val="22"/>
        </w:rPr>
        <w:t xml:space="preserve"> </w:t>
      </w:r>
      <w:r w:rsidR="002E123D">
        <w:rPr>
          <w:rFonts w:ascii="Arial" w:hAnsi="Arial" w:cs="Arial"/>
          <w:sz w:val="22"/>
          <w:szCs w:val="22"/>
        </w:rPr>
        <w:t>and custom housebuilding</w:t>
      </w:r>
      <w:r w:rsidR="00376067">
        <w:rPr>
          <w:rFonts w:ascii="Arial" w:hAnsi="Arial" w:cs="Arial"/>
          <w:sz w:val="22"/>
          <w:szCs w:val="22"/>
        </w:rPr>
        <w:t xml:space="preserve"> is that set out at paragraph 7.2.13 which states that there are </w:t>
      </w:r>
      <w:r w:rsidR="002E123D">
        <w:rPr>
          <w:rFonts w:ascii="Arial" w:hAnsi="Arial" w:cs="Arial"/>
          <w:sz w:val="22"/>
          <w:szCs w:val="22"/>
        </w:rPr>
        <w:t xml:space="preserve">14 people on the self-build register. </w:t>
      </w:r>
      <w:r w:rsidR="00797322">
        <w:rPr>
          <w:rFonts w:ascii="Arial" w:hAnsi="Arial" w:cs="Arial"/>
          <w:sz w:val="22"/>
          <w:szCs w:val="22"/>
        </w:rPr>
        <w:t xml:space="preserve">No further information appears </w:t>
      </w:r>
      <w:r w:rsidR="00E02CAB">
        <w:rPr>
          <w:rFonts w:ascii="Arial" w:hAnsi="Arial" w:cs="Arial"/>
          <w:sz w:val="22"/>
          <w:szCs w:val="22"/>
        </w:rPr>
        <w:t>to</w:t>
      </w:r>
      <w:r w:rsidR="00797322">
        <w:rPr>
          <w:rFonts w:ascii="Arial" w:hAnsi="Arial" w:cs="Arial"/>
          <w:sz w:val="22"/>
          <w:szCs w:val="22"/>
        </w:rPr>
        <w:t xml:space="preserve"> have been submitted with the local plan </w:t>
      </w:r>
      <w:r w:rsidR="00B47DD1">
        <w:rPr>
          <w:rFonts w:ascii="Arial" w:hAnsi="Arial" w:cs="Arial"/>
          <w:sz w:val="22"/>
          <w:szCs w:val="22"/>
        </w:rPr>
        <w:t xml:space="preserve">to justify the proposed requirement in HOU2. </w:t>
      </w:r>
      <w:r w:rsidR="00E02CAB">
        <w:rPr>
          <w:rFonts w:ascii="Arial" w:hAnsi="Arial" w:cs="Arial"/>
          <w:sz w:val="22"/>
          <w:szCs w:val="22"/>
        </w:rPr>
        <w:t>In order to justify the approach taken by the Council they s</w:t>
      </w:r>
      <w:r w:rsidR="008930D7">
        <w:rPr>
          <w:rFonts w:ascii="Arial" w:hAnsi="Arial" w:cs="Arial"/>
          <w:sz w:val="22"/>
          <w:szCs w:val="22"/>
        </w:rPr>
        <w:t>hould</w:t>
      </w:r>
      <w:r w:rsidR="00E02CAB">
        <w:rPr>
          <w:rFonts w:ascii="Arial" w:hAnsi="Arial" w:cs="Arial"/>
          <w:sz w:val="22"/>
          <w:szCs w:val="22"/>
        </w:rPr>
        <w:t xml:space="preserve"> have a clear idea as to the </w:t>
      </w:r>
      <w:r w:rsidR="003F6684">
        <w:rPr>
          <w:rFonts w:ascii="Arial" w:hAnsi="Arial" w:cs="Arial"/>
          <w:sz w:val="22"/>
          <w:szCs w:val="22"/>
        </w:rPr>
        <w:t xml:space="preserve">demand for </w:t>
      </w:r>
      <w:r w:rsidR="008B063E">
        <w:rPr>
          <w:rFonts w:ascii="Arial" w:hAnsi="Arial" w:cs="Arial"/>
          <w:sz w:val="22"/>
          <w:szCs w:val="22"/>
        </w:rPr>
        <w:t>self-build</w:t>
      </w:r>
      <w:r w:rsidR="003F6684">
        <w:rPr>
          <w:rFonts w:ascii="Arial" w:hAnsi="Arial" w:cs="Arial"/>
          <w:sz w:val="22"/>
          <w:szCs w:val="22"/>
        </w:rPr>
        <w:t xml:space="preserve"> housing, the type and location of sites that </w:t>
      </w:r>
      <w:r w:rsidR="003F160A">
        <w:rPr>
          <w:rFonts w:ascii="Arial" w:hAnsi="Arial" w:cs="Arial"/>
          <w:sz w:val="22"/>
          <w:szCs w:val="22"/>
        </w:rPr>
        <w:t>self-builders</w:t>
      </w:r>
      <w:r w:rsidR="00F4150B">
        <w:rPr>
          <w:rFonts w:ascii="Arial" w:hAnsi="Arial" w:cs="Arial"/>
          <w:sz w:val="22"/>
          <w:szCs w:val="22"/>
        </w:rPr>
        <w:t xml:space="preserve"> are</w:t>
      </w:r>
      <w:r w:rsidR="003F160A">
        <w:rPr>
          <w:rFonts w:ascii="Arial" w:hAnsi="Arial" w:cs="Arial"/>
          <w:sz w:val="22"/>
          <w:szCs w:val="22"/>
        </w:rPr>
        <w:t xml:space="preserve"> looking</w:t>
      </w:r>
      <w:r w:rsidR="00F4150B">
        <w:rPr>
          <w:rFonts w:ascii="Arial" w:hAnsi="Arial" w:cs="Arial"/>
          <w:sz w:val="22"/>
          <w:szCs w:val="22"/>
        </w:rPr>
        <w:t xml:space="preserve"> to </w:t>
      </w:r>
      <w:r w:rsidR="008B063E">
        <w:rPr>
          <w:rFonts w:ascii="Arial" w:hAnsi="Arial" w:cs="Arial"/>
          <w:sz w:val="22"/>
          <w:szCs w:val="22"/>
        </w:rPr>
        <w:t>acquire</w:t>
      </w:r>
      <w:r w:rsidR="00F4150B">
        <w:rPr>
          <w:rFonts w:ascii="Arial" w:hAnsi="Arial" w:cs="Arial"/>
          <w:sz w:val="22"/>
          <w:szCs w:val="22"/>
        </w:rPr>
        <w:t xml:space="preserve">. </w:t>
      </w:r>
      <w:r w:rsidR="008B063E">
        <w:rPr>
          <w:rFonts w:ascii="Arial" w:hAnsi="Arial" w:cs="Arial"/>
          <w:sz w:val="22"/>
          <w:szCs w:val="22"/>
        </w:rPr>
        <w:t>Alongside</w:t>
      </w:r>
      <w:r w:rsidR="00F4150B">
        <w:rPr>
          <w:rFonts w:ascii="Arial" w:hAnsi="Arial" w:cs="Arial"/>
          <w:sz w:val="22"/>
          <w:szCs w:val="22"/>
        </w:rPr>
        <w:t xml:space="preserve"> the assessment of needs we would also have expected some consideration as to the number of plots that the Council expect to be </w:t>
      </w:r>
      <w:r w:rsidR="00AD6BBE">
        <w:rPr>
          <w:rFonts w:ascii="Arial" w:hAnsi="Arial" w:cs="Arial"/>
          <w:sz w:val="22"/>
          <w:szCs w:val="22"/>
        </w:rPr>
        <w:t>delivered</w:t>
      </w:r>
      <w:r w:rsidR="00F4150B">
        <w:rPr>
          <w:rFonts w:ascii="Arial" w:hAnsi="Arial" w:cs="Arial"/>
          <w:sz w:val="22"/>
          <w:szCs w:val="22"/>
        </w:rPr>
        <w:t xml:space="preserve"> through the </w:t>
      </w:r>
      <w:r w:rsidR="00AD6BBE">
        <w:rPr>
          <w:rFonts w:ascii="Arial" w:hAnsi="Arial" w:cs="Arial"/>
          <w:sz w:val="22"/>
          <w:szCs w:val="22"/>
        </w:rPr>
        <w:t>policy</w:t>
      </w:r>
      <w:r w:rsidR="00F4150B">
        <w:rPr>
          <w:rFonts w:ascii="Arial" w:hAnsi="Arial" w:cs="Arial"/>
          <w:sz w:val="22"/>
          <w:szCs w:val="22"/>
        </w:rPr>
        <w:t xml:space="preserve"> and </w:t>
      </w:r>
      <w:r w:rsidR="003F160A">
        <w:rPr>
          <w:rFonts w:ascii="Arial" w:hAnsi="Arial" w:cs="Arial"/>
          <w:sz w:val="22"/>
          <w:szCs w:val="22"/>
        </w:rPr>
        <w:t xml:space="preserve">how this relates to the demand for self-build plots. </w:t>
      </w:r>
      <w:r w:rsidR="002227D6">
        <w:rPr>
          <w:rFonts w:ascii="Arial" w:hAnsi="Arial" w:cs="Arial"/>
          <w:sz w:val="22"/>
          <w:szCs w:val="22"/>
        </w:rPr>
        <w:t>The Counci</w:t>
      </w:r>
      <w:r w:rsidR="007E7600">
        <w:rPr>
          <w:rFonts w:ascii="Arial" w:hAnsi="Arial" w:cs="Arial"/>
          <w:sz w:val="22"/>
          <w:szCs w:val="22"/>
        </w:rPr>
        <w:t>l s</w:t>
      </w:r>
      <w:r w:rsidR="006F35A0">
        <w:rPr>
          <w:rFonts w:ascii="Arial" w:hAnsi="Arial" w:cs="Arial"/>
          <w:sz w:val="22"/>
          <w:szCs w:val="22"/>
        </w:rPr>
        <w:t>hould</w:t>
      </w:r>
      <w:r w:rsidR="007E7600">
        <w:rPr>
          <w:rFonts w:ascii="Arial" w:hAnsi="Arial" w:cs="Arial"/>
          <w:sz w:val="22"/>
          <w:szCs w:val="22"/>
        </w:rPr>
        <w:t xml:space="preserve"> also have examined other mechanism</w:t>
      </w:r>
      <w:r w:rsidR="000D7D97">
        <w:rPr>
          <w:rFonts w:ascii="Arial" w:hAnsi="Arial" w:cs="Arial"/>
          <w:sz w:val="22"/>
          <w:szCs w:val="22"/>
        </w:rPr>
        <w:t xml:space="preserve">, as suggested in PPG, </w:t>
      </w:r>
      <w:r w:rsidR="007E7600">
        <w:rPr>
          <w:rFonts w:ascii="Arial" w:hAnsi="Arial" w:cs="Arial"/>
          <w:sz w:val="22"/>
          <w:szCs w:val="22"/>
        </w:rPr>
        <w:t xml:space="preserve">aside from the </w:t>
      </w:r>
      <w:r w:rsidR="006F35A0">
        <w:rPr>
          <w:rFonts w:ascii="Arial" w:hAnsi="Arial" w:cs="Arial"/>
          <w:sz w:val="22"/>
          <w:szCs w:val="22"/>
        </w:rPr>
        <w:t>proposed</w:t>
      </w:r>
      <w:r w:rsidR="007E7600">
        <w:rPr>
          <w:rFonts w:ascii="Arial" w:hAnsi="Arial" w:cs="Arial"/>
          <w:sz w:val="22"/>
          <w:szCs w:val="22"/>
        </w:rPr>
        <w:t xml:space="preserve"> </w:t>
      </w:r>
      <w:r w:rsidR="006F35A0">
        <w:rPr>
          <w:rFonts w:ascii="Arial" w:hAnsi="Arial" w:cs="Arial"/>
          <w:sz w:val="22"/>
          <w:szCs w:val="22"/>
        </w:rPr>
        <w:t>policy</w:t>
      </w:r>
      <w:r w:rsidR="007E7600">
        <w:rPr>
          <w:rFonts w:ascii="Arial" w:hAnsi="Arial" w:cs="Arial"/>
          <w:sz w:val="22"/>
          <w:szCs w:val="22"/>
        </w:rPr>
        <w:t xml:space="preserve"> as to how the demand for self-build plots co</w:t>
      </w:r>
      <w:r w:rsidR="008A08C3">
        <w:rPr>
          <w:rFonts w:ascii="Arial" w:hAnsi="Arial" w:cs="Arial"/>
          <w:sz w:val="22"/>
          <w:szCs w:val="22"/>
        </w:rPr>
        <w:t>u</w:t>
      </w:r>
      <w:r w:rsidR="007E7600">
        <w:rPr>
          <w:rFonts w:ascii="Arial" w:hAnsi="Arial" w:cs="Arial"/>
          <w:sz w:val="22"/>
          <w:szCs w:val="22"/>
        </w:rPr>
        <w:t>ld</w:t>
      </w:r>
      <w:r w:rsidR="00835BF7">
        <w:rPr>
          <w:rFonts w:ascii="Arial" w:hAnsi="Arial" w:cs="Arial"/>
          <w:sz w:val="22"/>
          <w:szCs w:val="22"/>
        </w:rPr>
        <w:t xml:space="preserve"> </w:t>
      </w:r>
      <w:r w:rsidR="007E7600">
        <w:rPr>
          <w:rFonts w:ascii="Arial" w:hAnsi="Arial" w:cs="Arial"/>
          <w:sz w:val="22"/>
          <w:szCs w:val="22"/>
        </w:rPr>
        <w:t>have been met</w:t>
      </w:r>
      <w:r w:rsidR="00835BF7">
        <w:rPr>
          <w:rFonts w:ascii="Arial" w:hAnsi="Arial" w:cs="Arial"/>
          <w:sz w:val="22"/>
          <w:szCs w:val="22"/>
        </w:rPr>
        <w:t xml:space="preserve">. Examples in PPG </w:t>
      </w:r>
      <w:r w:rsidR="00114CD3">
        <w:rPr>
          <w:rFonts w:ascii="Arial" w:hAnsi="Arial" w:cs="Arial"/>
          <w:sz w:val="22"/>
          <w:szCs w:val="22"/>
        </w:rPr>
        <w:t>include</w:t>
      </w:r>
      <w:r w:rsidR="007E7600">
        <w:rPr>
          <w:rFonts w:ascii="Arial" w:hAnsi="Arial" w:cs="Arial"/>
          <w:sz w:val="22"/>
          <w:szCs w:val="22"/>
        </w:rPr>
        <w:t xml:space="preserve"> </w:t>
      </w:r>
      <w:r w:rsidR="00835BF7">
        <w:rPr>
          <w:rFonts w:ascii="Arial" w:hAnsi="Arial" w:cs="Arial"/>
          <w:sz w:val="22"/>
          <w:szCs w:val="22"/>
        </w:rPr>
        <w:t>consideration of the</w:t>
      </w:r>
      <w:r w:rsidR="007E7600">
        <w:rPr>
          <w:rFonts w:ascii="Arial" w:hAnsi="Arial" w:cs="Arial"/>
          <w:sz w:val="22"/>
          <w:szCs w:val="22"/>
        </w:rPr>
        <w:t xml:space="preserve"> Council’s own land </w:t>
      </w:r>
      <w:r w:rsidR="00114CD3">
        <w:rPr>
          <w:rFonts w:ascii="Arial" w:hAnsi="Arial" w:cs="Arial"/>
          <w:sz w:val="22"/>
          <w:szCs w:val="22"/>
        </w:rPr>
        <w:t>and identification of opportunities through the Council’s housing strategy.</w:t>
      </w:r>
      <w:r w:rsidR="007E7600">
        <w:rPr>
          <w:rFonts w:ascii="Arial" w:hAnsi="Arial" w:cs="Arial"/>
          <w:sz w:val="22"/>
          <w:szCs w:val="22"/>
        </w:rPr>
        <w:t xml:space="preserve"> </w:t>
      </w:r>
      <w:r w:rsidR="005F5057">
        <w:rPr>
          <w:rFonts w:ascii="Arial" w:hAnsi="Arial" w:cs="Arial"/>
          <w:sz w:val="22"/>
          <w:szCs w:val="22"/>
        </w:rPr>
        <w:t xml:space="preserve">On the basis of the limited evidence provided the proposed policy is </w:t>
      </w:r>
      <w:r w:rsidR="00B76396">
        <w:rPr>
          <w:rFonts w:ascii="Arial" w:hAnsi="Arial" w:cs="Arial"/>
          <w:sz w:val="22"/>
          <w:szCs w:val="22"/>
        </w:rPr>
        <w:t>un</w:t>
      </w:r>
      <w:r w:rsidR="005F5057">
        <w:rPr>
          <w:rFonts w:ascii="Arial" w:hAnsi="Arial" w:cs="Arial"/>
          <w:sz w:val="22"/>
          <w:szCs w:val="22"/>
        </w:rPr>
        <w:t xml:space="preserve">justified and the requirements </w:t>
      </w:r>
      <w:r w:rsidR="00B76396">
        <w:rPr>
          <w:rFonts w:ascii="Arial" w:hAnsi="Arial" w:cs="Arial"/>
          <w:sz w:val="22"/>
          <w:szCs w:val="22"/>
        </w:rPr>
        <w:t xml:space="preserve">should be </w:t>
      </w:r>
      <w:r w:rsidR="005F5057">
        <w:rPr>
          <w:rFonts w:ascii="Arial" w:hAnsi="Arial" w:cs="Arial"/>
          <w:sz w:val="22"/>
          <w:szCs w:val="22"/>
        </w:rPr>
        <w:t xml:space="preserve">removed from HOU2. </w:t>
      </w:r>
    </w:p>
    <w:p w14:paraId="4A9FA2FE" w14:textId="6494EB7B" w:rsidR="00402E5E" w:rsidRDefault="00402E5E" w:rsidP="0032582C">
      <w:pPr>
        <w:spacing w:line="360" w:lineRule="auto"/>
        <w:jc w:val="both"/>
        <w:rPr>
          <w:rFonts w:ascii="Arial" w:hAnsi="Arial" w:cs="Arial"/>
          <w:sz w:val="22"/>
          <w:szCs w:val="22"/>
        </w:rPr>
      </w:pPr>
    </w:p>
    <w:p w14:paraId="2919220E" w14:textId="7038E3E5" w:rsidR="008930D7" w:rsidRDefault="008930D7" w:rsidP="008930D7">
      <w:pPr>
        <w:spacing w:line="360" w:lineRule="auto"/>
        <w:jc w:val="both"/>
        <w:rPr>
          <w:rFonts w:ascii="Arial" w:hAnsi="Arial" w:cs="Arial"/>
          <w:sz w:val="22"/>
          <w:szCs w:val="22"/>
        </w:rPr>
      </w:pPr>
      <w:r>
        <w:rPr>
          <w:rFonts w:ascii="Arial" w:hAnsi="Arial" w:cs="Arial"/>
          <w:sz w:val="22"/>
          <w:szCs w:val="22"/>
        </w:rPr>
        <w:t>The operation of the policy as proposed would also have a disproportionate effect on smaller developers. A developer bringing forward a site of 26 homes would have to provide at least 1 of those for self-build which his 6% of the market housing coming forward on that site. A scheme of 100 units would be required to provide 2 plots for self-build housing which is just under 3% of the market housing provide on that site.</w:t>
      </w:r>
      <w:r w:rsidR="00AA1DC5">
        <w:rPr>
          <w:rFonts w:ascii="Arial" w:hAnsi="Arial" w:cs="Arial"/>
          <w:sz w:val="22"/>
          <w:szCs w:val="22"/>
        </w:rPr>
        <w:t xml:space="preserve"> </w:t>
      </w:r>
      <w:r w:rsidR="000B03F9">
        <w:rPr>
          <w:rFonts w:ascii="Arial" w:hAnsi="Arial" w:cs="Arial"/>
          <w:sz w:val="22"/>
          <w:szCs w:val="22"/>
        </w:rPr>
        <w:t xml:space="preserve">The impact of </w:t>
      </w:r>
      <w:r w:rsidR="00585368">
        <w:rPr>
          <w:rFonts w:ascii="Arial" w:hAnsi="Arial" w:cs="Arial"/>
          <w:sz w:val="22"/>
          <w:szCs w:val="22"/>
        </w:rPr>
        <w:t xml:space="preserve">providing plots is also likely to be greater with self-builder more likely to be operating alongside main contractors and the attendant difficulties </w:t>
      </w:r>
      <w:r w:rsidR="00437D8C">
        <w:rPr>
          <w:rFonts w:ascii="Arial" w:hAnsi="Arial" w:cs="Arial"/>
          <w:sz w:val="22"/>
          <w:szCs w:val="22"/>
        </w:rPr>
        <w:t xml:space="preserve">from such a situation. </w:t>
      </w:r>
      <w:r w:rsidR="00315E30">
        <w:rPr>
          <w:rFonts w:ascii="Arial" w:hAnsi="Arial" w:cs="Arial"/>
          <w:sz w:val="22"/>
          <w:szCs w:val="22"/>
        </w:rPr>
        <w:t>Therefore,</w:t>
      </w:r>
      <w:r w:rsidR="00437D8C">
        <w:rPr>
          <w:rFonts w:ascii="Arial" w:hAnsi="Arial" w:cs="Arial"/>
          <w:sz w:val="22"/>
          <w:szCs w:val="22"/>
        </w:rPr>
        <w:t xml:space="preserve"> w</w:t>
      </w:r>
      <w:r w:rsidR="000B03F9">
        <w:rPr>
          <w:rFonts w:ascii="Arial" w:hAnsi="Arial" w:cs="Arial"/>
          <w:sz w:val="22"/>
          <w:szCs w:val="22"/>
        </w:rPr>
        <w:t xml:space="preserve">hilst the HBF does not consider the policy </w:t>
      </w:r>
      <w:r w:rsidR="00437D8C">
        <w:rPr>
          <w:rFonts w:ascii="Arial" w:hAnsi="Arial" w:cs="Arial"/>
          <w:sz w:val="22"/>
          <w:szCs w:val="22"/>
        </w:rPr>
        <w:t>to</w:t>
      </w:r>
      <w:r w:rsidR="000B03F9">
        <w:rPr>
          <w:rFonts w:ascii="Arial" w:hAnsi="Arial" w:cs="Arial"/>
          <w:sz w:val="22"/>
          <w:szCs w:val="22"/>
        </w:rPr>
        <w:t xml:space="preserve"> be justified if it were to remain the threshold </w:t>
      </w:r>
      <w:r w:rsidR="00437D8C">
        <w:rPr>
          <w:rFonts w:ascii="Arial" w:hAnsi="Arial" w:cs="Arial"/>
          <w:sz w:val="22"/>
          <w:szCs w:val="22"/>
        </w:rPr>
        <w:t xml:space="preserve">at which </w:t>
      </w:r>
      <w:r w:rsidR="00315E30">
        <w:rPr>
          <w:rFonts w:ascii="Arial" w:hAnsi="Arial" w:cs="Arial"/>
          <w:sz w:val="22"/>
          <w:szCs w:val="22"/>
        </w:rPr>
        <w:t>self-build</w:t>
      </w:r>
      <w:r w:rsidR="00437D8C">
        <w:rPr>
          <w:rFonts w:ascii="Arial" w:hAnsi="Arial" w:cs="Arial"/>
          <w:sz w:val="22"/>
          <w:szCs w:val="22"/>
        </w:rPr>
        <w:t xml:space="preserve"> plots are required </w:t>
      </w:r>
      <w:r w:rsidR="000B03F9">
        <w:rPr>
          <w:rFonts w:ascii="Arial" w:hAnsi="Arial" w:cs="Arial"/>
          <w:sz w:val="22"/>
          <w:szCs w:val="22"/>
        </w:rPr>
        <w:t xml:space="preserve">should be raised. </w:t>
      </w:r>
    </w:p>
    <w:p w14:paraId="5EC6668B" w14:textId="77777777" w:rsidR="00E62544" w:rsidRDefault="00E62544" w:rsidP="008930D7">
      <w:pPr>
        <w:spacing w:line="360" w:lineRule="auto"/>
        <w:jc w:val="both"/>
        <w:rPr>
          <w:rFonts w:ascii="Arial" w:hAnsi="Arial" w:cs="Arial"/>
          <w:sz w:val="22"/>
          <w:szCs w:val="22"/>
        </w:rPr>
      </w:pPr>
    </w:p>
    <w:p w14:paraId="73F04FE5" w14:textId="15E6B04E" w:rsidR="00E62544" w:rsidRPr="00E42761" w:rsidRDefault="00BD12DA" w:rsidP="008930D7">
      <w:pPr>
        <w:spacing w:line="360" w:lineRule="auto"/>
        <w:jc w:val="both"/>
        <w:rPr>
          <w:rFonts w:ascii="Arial" w:hAnsi="Arial" w:cs="Arial"/>
          <w:sz w:val="22"/>
          <w:szCs w:val="22"/>
        </w:rPr>
      </w:pPr>
      <w:r>
        <w:rPr>
          <w:rFonts w:ascii="Arial" w:hAnsi="Arial" w:cs="Arial"/>
          <w:sz w:val="22"/>
          <w:szCs w:val="22"/>
        </w:rPr>
        <w:lastRenderedPageBreak/>
        <w:t xml:space="preserve">Finally the policy is ineffective as there is no mechanism as to when plots would return to the developer should these not be sold. This could leave plots vacant for a </w:t>
      </w:r>
      <w:r w:rsidR="00CD4C10">
        <w:rPr>
          <w:rFonts w:ascii="Arial" w:hAnsi="Arial" w:cs="Arial"/>
          <w:sz w:val="22"/>
          <w:szCs w:val="22"/>
        </w:rPr>
        <w:t>considerable</w:t>
      </w:r>
      <w:r>
        <w:rPr>
          <w:rFonts w:ascii="Arial" w:hAnsi="Arial" w:cs="Arial"/>
          <w:sz w:val="22"/>
          <w:szCs w:val="22"/>
        </w:rPr>
        <w:t xml:space="preserve"> period of time to the detriment of the </w:t>
      </w:r>
      <w:r w:rsidR="00CD4C10">
        <w:rPr>
          <w:rFonts w:ascii="Arial" w:hAnsi="Arial" w:cs="Arial"/>
          <w:sz w:val="22"/>
          <w:szCs w:val="22"/>
        </w:rPr>
        <w:t>homeowners</w:t>
      </w:r>
      <w:r>
        <w:rPr>
          <w:rFonts w:ascii="Arial" w:hAnsi="Arial" w:cs="Arial"/>
          <w:sz w:val="22"/>
          <w:szCs w:val="22"/>
        </w:rPr>
        <w:t xml:space="preserve"> on the </w:t>
      </w:r>
      <w:r w:rsidR="00CD4C10">
        <w:rPr>
          <w:rFonts w:ascii="Arial" w:hAnsi="Arial" w:cs="Arial"/>
          <w:sz w:val="22"/>
          <w:szCs w:val="22"/>
        </w:rPr>
        <w:t xml:space="preserve">rest of the site. </w:t>
      </w:r>
      <w:r w:rsidR="005F5057">
        <w:rPr>
          <w:rFonts w:ascii="Arial" w:hAnsi="Arial" w:cs="Arial"/>
          <w:sz w:val="22"/>
          <w:szCs w:val="22"/>
        </w:rPr>
        <w:t>Therefore,</w:t>
      </w:r>
      <w:r w:rsidR="00CD4C10">
        <w:rPr>
          <w:rFonts w:ascii="Arial" w:hAnsi="Arial" w:cs="Arial"/>
          <w:sz w:val="22"/>
          <w:szCs w:val="22"/>
        </w:rPr>
        <w:t xml:space="preserve"> if the </w:t>
      </w:r>
      <w:r w:rsidR="00EF1879">
        <w:rPr>
          <w:rFonts w:ascii="Arial" w:hAnsi="Arial" w:cs="Arial"/>
          <w:sz w:val="22"/>
          <w:szCs w:val="22"/>
        </w:rPr>
        <w:t xml:space="preserve">policy is maintained then the </w:t>
      </w:r>
      <w:r w:rsidR="00437D8C">
        <w:rPr>
          <w:rFonts w:ascii="Arial" w:hAnsi="Arial" w:cs="Arial"/>
          <w:sz w:val="22"/>
          <w:szCs w:val="22"/>
        </w:rPr>
        <w:t>policy</w:t>
      </w:r>
      <w:r w:rsidR="00EF1879">
        <w:rPr>
          <w:rFonts w:ascii="Arial" w:hAnsi="Arial" w:cs="Arial"/>
          <w:sz w:val="22"/>
          <w:szCs w:val="22"/>
        </w:rPr>
        <w:t xml:space="preserve"> sho</w:t>
      </w:r>
      <w:r w:rsidR="00437D8C">
        <w:rPr>
          <w:rFonts w:ascii="Arial" w:hAnsi="Arial" w:cs="Arial"/>
          <w:sz w:val="22"/>
          <w:szCs w:val="22"/>
        </w:rPr>
        <w:t>ul</w:t>
      </w:r>
      <w:r w:rsidR="00EF1879">
        <w:rPr>
          <w:rFonts w:ascii="Arial" w:hAnsi="Arial" w:cs="Arial"/>
          <w:sz w:val="22"/>
          <w:szCs w:val="22"/>
        </w:rPr>
        <w:t>d state that after a marketing period of 6 months the plots wo</w:t>
      </w:r>
      <w:r w:rsidR="00437D8C">
        <w:rPr>
          <w:rFonts w:ascii="Arial" w:hAnsi="Arial" w:cs="Arial"/>
          <w:sz w:val="22"/>
          <w:szCs w:val="22"/>
        </w:rPr>
        <w:t xml:space="preserve">uld </w:t>
      </w:r>
      <w:r w:rsidR="00EF1879">
        <w:rPr>
          <w:rFonts w:ascii="Arial" w:hAnsi="Arial" w:cs="Arial"/>
          <w:sz w:val="22"/>
          <w:szCs w:val="22"/>
        </w:rPr>
        <w:t>return to the developer to be built out.</w:t>
      </w:r>
    </w:p>
    <w:p w14:paraId="7E5D091A" w14:textId="77777777" w:rsidR="00374E61" w:rsidRPr="00E42761" w:rsidRDefault="00374E61" w:rsidP="0032582C">
      <w:pPr>
        <w:spacing w:line="360" w:lineRule="auto"/>
        <w:jc w:val="both"/>
        <w:rPr>
          <w:rFonts w:ascii="Arial" w:hAnsi="Arial" w:cs="Arial"/>
          <w:sz w:val="22"/>
          <w:szCs w:val="22"/>
          <w:u w:val="single"/>
        </w:rPr>
      </w:pPr>
    </w:p>
    <w:p w14:paraId="1CECFD9A" w14:textId="57B85438" w:rsidR="003F0537" w:rsidRPr="00324380" w:rsidRDefault="003F0537" w:rsidP="0032582C">
      <w:pPr>
        <w:spacing w:line="360" w:lineRule="auto"/>
        <w:jc w:val="both"/>
        <w:rPr>
          <w:rFonts w:ascii="Arial" w:hAnsi="Arial" w:cs="Arial"/>
          <w:b/>
          <w:bCs/>
          <w:i/>
          <w:iCs/>
          <w:sz w:val="22"/>
          <w:szCs w:val="22"/>
          <w:u w:val="single"/>
        </w:rPr>
      </w:pPr>
      <w:r w:rsidRPr="00324380">
        <w:rPr>
          <w:rFonts w:ascii="Arial" w:hAnsi="Arial" w:cs="Arial"/>
          <w:b/>
          <w:bCs/>
          <w:i/>
          <w:iCs/>
          <w:sz w:val="22"/>
          <w:szCs w:val="22"/>
          <w:u w:val="single"/>
        </w:rPr>
        <w:t>Specialist Elderly/Care Provision</w:t>
      </w:r>
    </w:p>
    <w:p w14:paraId="54E84E48" w14:textId="77777777" w:rsidR="003F0537" w:rsidRPr="00324380" w:rsidRDefault="003F0537" w:rsidP="0032582C">
      <w:pPr>
        <w:spacing w:line="360" w:lineRule="auto"/>
        <w:jc w:val="both"/>
        <w:rPr>
          <w:rFonts w:ascii="Arial" w:hAnsi="Arial" w:cs="Arial"/>
          <w:sz w:val="22"/>
          <w:szCs w:val="22"/>
          <w:u w:val="single"/>
        </w:rPr>
      </w:pPr>
    </w:p>
    <w:p w14:paraId="4AC9ACF9" w14:textId="618F637B" w:rsidR="003F0537" w:rsidRPr="003F0537" w:rsidRDefault="003F0537" w:rsidP="0032582C">
      <w:pPr>
        <w:spacing w:line="360" w:lineRule="auto"/>
        <w:jc w:val="both"/>
        <w:rPr>
          <w:rFonts w:ascii="Arial" w:hAnsi="Arial" w:cs="Arial"/>
          <w:i/>
          <w:iCs/>
          <w:sz w:val="22"/>
          <w:szCs w:val="22"/>
          <w:u w:val="single"/>
        </w:rPr>
      </w:pPr>
      <w:r w:rsidRPr="003F0537">
        <w:rPr>
          <w:rFonts w:ascii="Arial" w:hAnsi="Arial" w:cs="Arial"/>
          <w:i/>
          <w:iCs/>
          <w:sz w:val="22"/>
          <w:szCs w:val="22"/>
          <w:u w:val="single"/>
        </w:rPr>
        <w:t>4.11 Is the requirement on sites of 151 dwellings or more for a minimum of 60 specialist elderly/care units and 40 units for each additional 250 dwellings thereafter justified by evidence of local need and has its effect on viability been properly assessed? Are these sized schemes appropriate, does this allow sufficient flexibility to meet locally specific needs and would the sites be appropriately located in all cases? Has this policy been carried through consistently in the proposed allocations in the plan? How would Class 2 residential care homes be assessed in terms of units?</w:t>
      </w:r>
    </w:p>
    <w:p w14:paraId="788B26AD" w14:textId="77777777" w:rsidR="00B107E9" w:rsidRDefault="00B107E9" w:rsidP="0032582C">
      <w:pPr>
        <w:spacing w:line="360" w:lineRule="auto"/>
        <w:jc w:val="both"/>
        <w:rPr>
          <w:rFonts w:ascii="Arial" w:hAnsi="Arial" w:cs="Arial"/>
          <w:sz w:val="22"/>
          <w:szCs w:val="22"/>
        </w:rPr>
      </w:pPr>
    </w:p>
    <w:p w14:paraId="1A251055" w14:textId="2013814E" w:rsidR="00324380" w:rsidRPr="00B107E9" w:rsidRDefault="00324380" w:rsidP="0032582C">
      <w:pPr>
        <w:spacing w:line="360" w:lineRule="auto"/>
        <w:jc w:val="both"/>
        <w:rPr>
          <w:rFonts w:ascii="Arial" w:hAnsi="Arial" w:cs="Arial"/>
          <w:sz w:val="22"/>
          <w:szCs w:val="22"/>
        </w:rPr>
      </w:pPr>
      <w:r>
        <w:rPr>
          <w:rFonts w:ascii="Arial" w:hAnsi="Arial" w:cs="Arial"/>
          <w:sz w:val="22"/>
          <w:szCs w:val="22"/>
        </w:rPr>
        <w:t>No comment</w:t>
      </w:r>
    </w:p>
    <w:p w14:paraId="2362A7A9" w14:textId="77777777" w:rsidR="003F0537" w:rsidRDefault="003F0537" w:rsidP="0032582C">
      <w:pPr>
        <w:spacing w:line="360" w:lineRule="auto"/>
        <w:jc w:val="both"/>
        <w:rPr>
          <w:rFonts w:ascii="Arial" w:hAnsi="Arial" w:cs="Arial"/>
          <w:i/>
          <w:iCs/>
          <w:sz w:val="22"/>
          <w:szCs w:val="22"/>
          <w:u w:val="single"/>
        </w:rPr>
      </w:pPr>
    </w:p>
    <w:p w14:paraId="6801E951" w14:textId="77777777" w:rsidR="00324380" w:rsidRDefault="003F0537" w:rsidP="0032582C">
      <w:pPr>
        <w:spacing w:line="360" w:lineRule="auto"/>
        <w:jc w:val="both"/>
        <w:rPr>
          <w:rFonts w:ascii="Arial" w:hAnsi="Arial" w:cs="Arial"/>
          <w:sz w:val="22"/>
          <w:szCs w:val="22"/>
          <w:u w:val="single"/>
        </w:rPr>
      </w:pPr>
      <w:r w:rsidRPr="003F0537">
        <w:rPr>
          <w:rFonts w:ascii="Arial" w:hAnsi="Arial" w:cs="Arial"/>
          <w:i/>
          <w:iCs/>
          <w:sz w:val="22"/>
          <w:szCs w:val="22"/>
          <w:u w:val="single"/>
        </w:rPr>
        <w:t>4.12 What contribution would the site allocations make towards addressing the need for specialist elderly/care units in North Norfolk? What is the overall level of need for the different types of provision and how would the reminder be delivered? Should the requirement on large housing sites, perhaps greenfield in nature and peripheral to a settlement, be supplemented by a supportive policy for such development on more centrally located, brownfield sites? Would this assist provision in settlements without large housing sites?</w:t>
      </w:r>
    </w:p>
    <w:p w14:paraId="14CD3EE4" w14:textId="77777777" w:rsidR="00324380" w:rsidRDefault="00324380" w:rsidP="0032582C">
      <w:pPr>
        <w:spacing w:line="360" w:lineRule="auto"/>
        <w:jc w:val="both"/>
        <w:rPr>
          <w:rFonts w:ascii="Arial" w:hAnsi="Arial" w:cs="Arial"/>
          <w:sz w:val="22"/>
          <w:szCs w:val="22"/>
          <w:u w:val="single"/>
        </w:rPr>
      </w:pPr>
    </w:p>
    <w:p w14:paraId="22B2CBC4" w14:textId="2C614288" w:rsidR="00AA1F29" w:rsidRDefault="00324380" w:rsidP="0032582C">
      <w:pPr>
        <w:spacing w:line="360" w:lineRule="auto"/>
        <w:jc w:val="both"/>
        <w:rPr>
          <w:rFonts w:ascii="Arial" w:hAnsi="Arial" w:cs="Arial"/>
          <w:sz w:val="22"/>
          <w:szCs w:val="22"/>
        </w:rPr>
      </w:pPr>
      <w:r w:rsidRPr="00324380">
        <w:rPr>
          <w:rFonts w:ascii="Arial" w:hAnsi="Arial" w:cs="Arial"/>
          <w:sz w:val="22"/>
          <w:szCs w:val="22"/>
        </w:rPr>
        <w:t>No comment</w:t>
      </w:r>
    </w:p>
    <w:p w14:paraId="34EE0D1A" w14:textId="77777777" w:rsidR="00E86C14" w:rsidRDefault="00E86C14" w:rsidP="0032582C">
      <w:pPr>
        <w:spacing w:line="360" w:lineRule="auto"/>
        <w:jc w:val="both"/>
        <w:rPr>
          <w:rFonts w:ascii="Arial" w:hAnsi="Arial" w:cs="Arial"/>
          <w:sz w:val="22"/>
          <w:szCs w:val="22"/>
        </w:rPr>
      </w:pPr>
    </w:p>
    <w:p w14:paraId="7E846730" w14:textId="77777777" w:rsidR="00E86C14" w:rsidRPr="00E86C14" w:rsidRDefault="00E86C14" w:rsidP="00E86C14">
      <w:pPr>
        <w:spacing w:line="360" w:lineRule="auto"/>
        <w:jc w:val="both"/>
        <w:rPr>
          <w:rFonts w:ascii="Arial" w:hAnsi="Arial" w:cs="Arial"/>
          <w:sz w:val="22"/>
          <w:szCs w:val="22"/>
        </w:rPr>
      </w:pPr>
      <w:r w:rsidRPr="00E86C14">
        <w:rPr>
          <w:rFonts w:ascii="Arial" w:hAnsi="Arial" w:cs="Arial"/>
          <w:sz w:val="22"/>
          <w:szCs w:val="22"/>
        </w:rPr>
        <w:t>Mark Behrendt MRTPI</w:t>
      </w:r>
    </w:p>
    <w:p w14:paraId="6B08DCB8" w14:textId="53CEF023" w:rsidR="00437D8C" w:rsidRDefault="00E86C14" w:rsidP="00E86C14">
      <w:pPr>
        <w:spacing w:line="360" w:lineRule="auto"/>
        <w:jc w:val="both"/>
        <w:rPr>
          <w:rFonts w:ascii="Arial" w:hAnsi="Arial" w:cs="Arial"/>
          <w:sz w:val="22"/>
          <w:szCs w:val="22"/>
        </w:rPr>
      </w:pPr>
      <w:r w:rsidRPr="00E86C14">
        <w:rPr>
          <w:rFonts w:ascii="Arial" w:hAnsi="Arial" w:cs="Arial"/>
          <w:sz w:val="22"/>
          <w:szCs w:val="22"/>
        </w:rPr>
        <w:t>Planning Manager – Local Plans SE and E</w:t>
      </w:r>
    </w:p>
    <w:p w14:paraId="44DF3E37" w14:textId="77777777" w:rsidR="00437D8C" w:rsidRDefault="00437D8C">
      <w:pPr>
        <w:rPr>
          <w:rFonts w:ascii="Arial" w:hAnsi="Arial" w:cs="Arial"/>
          <w:sz w:val="22"/>
          <w:szCs w:val="22"/>
        </w:rPr>
      </w:pPr>
      <w:r>
        <w:rPr>
          <w:rFonts w:ascii="Arial" w:hAnsi="Arial" w:cs="Arial"/>
          <w:sz w:val="22"/>
          <w:szCs w:val="22"/>
        </w:rPr>
        <w:br w:type="page"/>
      </w:r>
    </w:p>
    <w:p w14:paraId="200AA7AA" w14:textId="77777777" w:rsidR="00E86C14" w:rsidRPr="00E86C14" w:rsidRDefault="00E86C14" w:rsidP="00E86C14">
      <w:pPr>
        <w:spacing w:line="360" w:lineRule="auto"/>
        <w:jc w:val="both"/>
        <w:rPr>
          <w:rFonts w:ascii="Arial" w:hAnsi="Arial" w:cs="Arial"/>
          <w:sz w:val="22"/>
          <w:szCs w:val="22"/>
        </w:rPr>
      </w:pPr>
    </w:p>
    <w:p w14:paraId="48D385A1" w14:textId="76947BB5" w:rsidR="00324380" w:rsidRPr="00E42761" w:rsidRDefault="00324380">
      <w:pPr>
        <w:rPr>
          <w:rFonts w:ascii="Arial" w:hAnsi="Arial" w:cs="Arial"/>
          <w:sz w:val="22"/>
          <w:szCs w:val="22"/>
        </w:rPr>
      </w:pPr>
    </w:p>
    <w:p w14:paraId="05397A97" w14:textId="77777777" w:rsidR="00324380" w:rsidRPr="00324380" w:rsidRDefault="00324380" w:rsidP="0032582C">
      <w:pPr>
        <w:spacing w:line="360" w:lineRule="auto"/>
        <w:jc w:val="both"/>
        <w:rPr>
          <w:rFonts w:ascii="Arial" w:hAnsi="Arial" w:cs="Arial"/>
          <w:sz w:val="22"/>
          <w:szCs w:val="22"/>
        </w:rPr>
      </w:pPr>
    </w:p>
    <w:p w14:paraId="3B4B4BD1" w14:textId="77777777" w:rsidR="0074583A" w:rsidRDefault="0074583A" w:rsidP="0032582C">
      <w:pPr>
        <w:spacing w:line="360" w:lineRule="auto"/>
        <w:rPr>
          <w:rFonts w:ascii="Arial" w:hAnsi="Arial" w:cs="Arial"/>
          <w:sz w:val="22"/>
          <w:szCs w:val="22"/>
        </w:rPr>
      </w:pPr>
    </w:p>
    <w:p w14:paraId="08CD71AF" w14:textId="77777777" w:rsidR="0074583A" w:rsidRDefault="0074583A" w:rsidP="0032582C">
      <w:pPr>
        <w:spacing w:line="360" w:lineRule="auto"/>
        <w:rPr>
          <w:rFonts w:ascii="Arial" w:hAnsi="Arial" w:cs="Arial"/>
          <w:sz w:val="24"/>
        </w:rPr>
      </w:pPr>
      <w:r>
        <w:rPr>
          <w:rFonts w:ascii="Arial" w:hAnsi="Arial" w:cs="Arial"/>
          <w:noProof/>
          <w:sz w:val="24"/>
          <w:lang w:eastAsia="en-GB"/>
        </w:rPr>
        <w:drawing>
          <wp:anchor distT="0" distB="0" distL="114300" distR="114300" simplePos="0" relativeHeight="251658242" behindDoc="0" locked="0" layoutInCell="1" allowOverlap="1" wp14:anchorId="1B3F5100" wp14:editId="67133B4C">
            <wp:simplePos x="0" y="0"/>
            <wp:positionH relativeFrom="column">
              <wp:posOffset>4505325</wp:posOffset>
            </wp:positionH>
            <wp:positionV relativeFrom="paragraph">
              <wp:posOffset>-533400</wp:posOffset>
            </wp:positionV>
            <wp:extent cx="876300" cy="876300"/>
            <wp:effectExtent l="0" t="0" r="0" b="0"/>
            <wp:wrapNone/>
            <wp:docPr id="1368111944" name="Picture 1368111944" descr="A logo with a cast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797782" name="Picture 906797782" descr="A logo with a castle and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D3E6A8" w14:textId="77777777" w:rsidR="0074583A" w:rsidRDefault="0074583A" w:rsidP="0032582C">
      <w:pPr>
        <w:spacing w:line="360" w:lineRule="auto"/>
        <w:rPr>
          <w:rFonts w:ascii="Arial" w:hAnsi="Arial" w:cs="Arial"/>
          <w:sz w:val="24"/>
        </w:rPr>
      </w:pPr>
    </w:p>
    <w:p w14:paraId="67447F24" w14:textId="77777777" w:rsidR="0074583A" w:rsidRPr="00A6394A" w:rsidRDefault="0074583A" w:rsidP="0032582C">
      <w:pPr>
        <w:spacing w:line="360" w:lineRule="auto"/>
        <w:jc w:val="right"/>
        <w:rPr>
          <w:rFonts w:ascii="Arial" w:hAnsi="Arial" w:cs="Arial"/>
          <w:b/>
          <w:sz w:val="24"/>
          <w:szCs w:val="24"/>
        </w:rPr>
      </w:pPr>
      <w:r w:rsidRPr="00A6394A">
        <w:rPr>
          <w:rFonts w:ascii="Arial" w:hAnsi="Arial" w:cs="Arial"/>
          <w:b/>
          <w:sz w:val="24"/>
          <w:szCs w:val="24"/>
        </w:rPr>
        <w:t>Home Builders Federation</w:t>
      </w:r>
    </w:p>
    <w:p w14:paraId="49CE6630" w14:textId="77777777" w:rsidR="0074583A" w:rsidRPr="00A6394A" w:rsidRDefault="0074583A" w:rsidP="0032582C">
      <w:pPr>
        <w:spacing w:line="360" w:lineRule="auto"/>
        <w:rPr>
          <w:rFonts w:ascii="Arial" w:hAnsi="Arial" w:cs="Arial"/>
          <w:b/>
          <w:sz w:val="24"/>
          <w:szCs w:val="24"/>
        </w:rPr>
      </w:pPr>
    </w:p>
    <w:p w14:paraId="0E331EAD" w14:textId="36513385" w:rsidR="0074583A" w:rsidRPr="00A6394A" w:rsidRDefault="0074583A" w:rsidP="0032582C">
      <w:pPr>
        <w:spacing w:line="360" w:lineRule="auto"/>
        <w:ind w:firstLine="720"/>
        <w:jc w:val="right"/>
        <w:rPr>
          <w:rFonts w:ascii="Arial" w:hAnsi="Arial" w:cs="Arial"/>
          <w:b/>
          <w:sz w:val="24"/>
          <w:szCs w:val="24"/>
        </w:rPr>
      </w:pPr>
      <w:r w:rsidRPr="00A6394A">
        <w:rPr>
          <w:rFonts w:ascii="Arial" w:hAnsi="Arial" w:cs="Arial"/>
          <w:b/>
          <w:sz w:val="24"/>
          <w:szCs w:val="24"/>
        </w:rPr>
        <w:t xml:space="preserve">Matter </w:t>
      </w:r>
      <w:r>
        <w:rPr>
          <w:rFonts w:ascii="Arial" w:hAnsi="Arial" w:cs="Arial"/>
          <w:b/>
          <w:sz w:val="24"/>
          <w:szCs w:val="24"/>
        </w:rPr>
        <w:t>7</w:t>
      </w:r>
    </w:p>
    <w:p w14:paraId="5A2C8127" w14:textId="77777777" w:rsidR="0074583A" w:rsidRPr="00A6394A" w:rsidRDefault="0074583A" w:rsidP="0032582C">
      <w:pPr>
        <w:spacing w:line="360" w:lineRule="auto"/>
        <w:rPr>
          <w:rFonts w:ascii="Arial" w:hAnsi="Arial" w:cs="Arial"/>
          <w:b/>
          <w:sz w:val="24"/>
          <w:szCs w:val="24"/>
        </w:rPr>
      </w:pPr>
    </w:p>
    <w:p w14:paraId="786398BF" w14:textId="77777777" w:rsidR="0074583A" w:rsidRPr="00A6394A" w:rsidRDefault="0074583A" w:rsidP="0032582C">
      <w:pPr>
        <w:spacing w:line="360" w:lineRule="auto"/>
        <w:jc w:val="both"/>
        <w:rPr>
          <w:rFonts w:ascii="Arial" w:hAnsi="Arial" w:cs="Arial"/>
          <w:b/>
          <w:caps/>
          <w:sz w:val="24"/>
          <w:szCs w:val="24"/>
        </w:rPr>
      </w:pPr>
      <w:r>
        <w:rPr>
          <w:rFonts w:ascii="Arial" w:hAnsi="Arial" w:cs="Arial"/>
          <w:b/>
          <w:caps/>
          <w:sz w:val="24"/>
          <w:szCs w:val="24"/>
        </w:rPr>
        <w:t>North norfolk</w:t>
      </w:r>
      <w:r w:rsidRPr="00A6394A">
        <w:rPr>
          <w:rFonts w:ascii="Arial" w:hAnsi="Arial" w:cs="Arial"/>
          <w:b/>
          <w:caps/>
          <w:sz w:val="24"/>
          <w:szCs w:val="24"/>
        </w:rPr>
        <w:t xml:space="preserve"> Local Plan Examination</w:t>
      </w:r>
    </w:p>
    <w:p w14:paraId="1FE7C097" w14:textId="77777777" w:rsidR="0074583A" w:rsidRPr="00A6394A" w:rsidRDefault="0074583A" w:rsidP="0032582C">
      <w:pPr>
        <w:spacing w:line="360" w:lineRule="auto"/>
        <w:jc w:val="both"/>
        <w:rPr>
          <w:rFonts w:ascii="Arial" w:hAnsi="Arial" w:cs="Arial"/>
          <w:b/>
          <w:sz w:val="24"/>
          <w:szCs w:val="24"/>
        </w:rPr>
      </w:pPr>
    </w:p>
    <w:p w14:paraId="2500B03A" w14:textId="77777777" w:rsidR="001A41E4" w:rsidRPr="001A41E4" w:rsidRDefault="001A41E4" w:rsidP="0032582C">
      <w:pPr>
        <w:spacing w:line="360" w:lineRule="auto"/>
        <w:rPr>
          <w:rFonts w:ascii="Arial" w:hAnsi="Arial" w:cs="Arial"/>
          <w:b/>
          <w:bCs/>
          <w:sz w:val="22"/>
          <w:szCs w:val="22"/>
        </w:rPr>
      </w:pPr>
      <w:r w:rsidRPr="001A41E4">
        <w:rPr>
          <w:rFonts w:ascii="Arial" w:hAnsi="Arial" w:cs="Arial"/>
          <w:b/>
          <w:bCs/>
          <w:sz w:val="22"/>
          <w:szCs w:val="22"/>
        </w:rPr>
        <w:t>Matter 7: Housing Trajectory, Five Year Supply &amp; HOU Policies 3,4,6-9</w:t>
      </w:r>
    </w:p>
    <w:p w14:paraId="31FE0EF8" w14:textId="77777777" w:rsidR="001A41E4" w:rsidRDefault="001A41E4" w:rsidP="0032582C">
      <w:pPr>
        <w:spacing w:line="360" w:lineRule="auto"/>
        <w:rPr>
          <w:rFonts w:ascii="Arial" w:hAnsi="Arial" w:cs="Arial"/>
          <w:sz w:val="22"/>
          <w:szCs w:val="22"/>
        </w:rPr>
      </w:pPr>
    </w:p>
    <w:p w14:paraId="26756A21" w14:textId="495FF9CD" w:rsidR="001A41E4" w:rsidRPr="001A41E4" w:rsidRDefault="001A41E4" w:rsidP="004A0EF1">
      <w:pPr>
        <w:spacing w:line="360" w:lineRule="auto"/>
        <w:jc w:val="both"/>
        <w:rPr>
          <w:rFonts w:ascii="Arial" w:hAnsi="Arial" w:cs="Arial"/>
          <w:b/>
          <w:bCs/>
          <w:i/>
          <w:iCs/>
          <w:sz w:val="22"/>
          <w:szCs w:val="22"/>
        </w:rPr>
      </w:pPr>
      <w:r w:rsidRPr="001A41E4">
        <w:rPr>
          <w:rFonts w:ascii="Arial" w:hAnsi="Arial" w:cs="Arial"/>
          <w:b/>
          <w:bCs/>
          <w:i/>
          <w:iCs/>
          <w:sz w:val="22"/>
          <w:szCs w:val="22"/>
        </w:rPr>
        <w:t>Issue: Whether the overall housing trajectory is justified, whether a five-year supply of deliverable housing sites would provide on adoption and whether housing policies 3, 4, 6-9 are positively prepared, justified, effective and consistent with national policy.</w:t>
      </w:r>
    </w:p>
    <w:p w14:paraId="27866693" w14:textId="77777777" w:rsidR="001A41E4" w:rsidRDefault="001A41E4" w:rsidP="0032582C">
      <w:pPr>
        <w:spacing w:line="360" w:lineRule="auto"/>
        <w:rPr>
          <w:rFonts w:ascii="Arial" w:hAnsi="Arial" w:cs="Arial"/>
          <w:sz w:val="22"/>
          <w:szCs w:val="22"/>
        </w:rPr>
      </w:pPr>
    </w:p>
    <w:p w14:paraId="01752B4A" w14:textId="6A19CC79" w:rsidR="001A41E4" w:rsidRPr="001A41E4" w:rsidRDefault="001A41E4" w:rsidP="0032582C">
      <w:pPr>
        <w:spacing w:line="360" w:lineRule="auto"/>
        <w:rPr>
          <w:rFonts w:ascii="Arial" w:hAnsi="Arial" w:cs="Arial"/>
          <w:b/>
          <w:bCs/>
          <w:sz w:val="22"/>
          <w:szCs w:val="22"/>
          <w:u w:val="single"/>
        </w:rPr>
      </w:pPr>
      <w:r w:rsidRPr="001A41E4">
        <w:rPr>
          <w:rFonts w:ascii="Arial" w:hAnsi="Arial" w:cs="Arial"/>
          <w:b/>
          <w:bCs/>
          <w:sz w:val="22"/>
          <w:szCs w:val="22"/>
          <w:u w:val="single"/>
        </w:rPr>
        <w:t>Housing Trajectory</w:t>
      </w:r>
    </w:p>
    <w:p w14:paraId="161C718C" w14:textId="77777777" w:rsidR="001A41E4" w:rsidRDefault="001A41E4" w:rsidP="0032582C">
      <w:pPr>
        <w:spacing w:line="360" w:lineRule="auto"/>
        <w:rPr>
          <w:rFonts w:ascii="Arial" w:hAnsi="Arial" w:cs="Arial"/>
          <w:sz w:val="22"/>
          <w:szCs w:val="22"/>
        </w:rPr>
      </w:pPr>
    </w:p>
    <w:p w14:paraId="070A6B4F" w14:textId="3BA3CDD6" w:rsidR="001A41E4" w:rsidRPr="00F52BDB" w:rsidRDefault="001A41E4" w:rsidP="0032582C">
      <w:pPr>
        <w:spacing w:line="360" w:lineRule="auto"/>
        <w:jc w:val="both"/>
        <w:rPr>
          <w:rFonts w:ascii="Arial" w:hAnsi="Arial" w:cs="Arial"/>
          <w:i/>
          <w:iCs/>
          <w:sz w:val="22"/>
          <w:szCs w:val="22"/>
          <w:u w:val="single"/>
        </w:rPr>
      </w:pPr>
      <w:r w:rsidRPr="00F52BDB">
        <w:rPr>
          <w:rFonts w:ascii="Arial" w:hAnsi="Arial" w:cs="Arial"/>
          <w:i/>
          <w:iCs/>
          <w:sz w:val="22"/>
          <w:szCs w:val="22"/>
          <w:u w:val="single"/>
        </w:rPr>
        <w:t>7.1 In the light of the site-by-site discussion, is the overall housing trajectory in the plan justified by the evidence? How has the trajectory for both large and small sites been affected by the need to secure nutrient neutrality and is this realistic?</w:t>
      </w:r>
    </w:p>
    <w:p w14:paraId="7901E4AA" w14:textId="77777777" w:rsidR="005C334D" w:rsidRDefault="005C334D" w:rsidP="0032582C">
      <w:pPr>
        <w:spacing w:line="360" w:lineRule="auto"/>
        <w:jc w:val="both"/>
        <w:rPr>
          <w:rFonts w:ascii="Arial" w:hAnsi="Arial" w:cs="Arial"/>
          <w:sz w:val="22"/>
          <w:szCs w:val="22"/>
        </w:rPr>
      </w:pPr>
    </w:p>
    <w:p w14:paraId="222215F3" w14:textId="2AC0A70F" w:rsidR="001A41E4" w:rsidRDefault="007B254A" w:rsidP="00AA0C14">
      <w:pPr>
        <w:spacing w:line="360" w:lineRule="auto"/>
        <w:jc w:val="both"/>
        <w:rPr>
          <w:rFonts w:ascii="Arial" w:hAnsi="Arial" w:cs="Arial"/>
          <w:sz w:val="22"/>
          <w:szCs w:val="22"/>
        </w:rPr>
      </w:pPr>
      <w:r w:rsidRPr="007B254A">
        <w:rPr>
          <w:rFonts w:ascii="Arial" w:hAnsi="Arial" w:cs="Arial"/>
          <w:sz w:val="22"/>
          <w:szCs w:val="22"/>
        </w:rPr>
        <w:t>As set out in our representations the HBF does not oppose the allocation of any of the sites within the local plan. However, it is important that the expected timescales for the delivery of these sites and the rate at which homes are delivered reasonable.</w:t>
      </w:r>
      <w:r>
        <w:rPr>
          <w:rFonts w:ascii="Arial" w:hAnsi="Arial" w:cs="Arial"/>
          <w:sz w:val="22"/>
          <w:szCs w:val="22"/>
        </w:rPr>
        <w:t xml:space="preserve"> </w:t>
      </w:r>
      <w:r w:rsidR="005C0A20">
        <w:rPr>
          <w:rFonts w:ascii="Arial" w:hAnsi="Arial" w:cs="Arial"/>
          <w:sz w:val="22"/>
          <w:szCs w:val="22"/>
        </w:rPr>
        <w:t xml:space="preserve"> </w:t>
      </w:r>
      <w:r w:rsidR="009A0998">
        <w:rPr>
          <w:rFonts w:ascii="Arial" w:hAnsi="Arial" w:cs="Arial"/>
          <w:sz w:val="22"/>
          <w:szCs w:val="22"/>
        </w:rPr>
        <w:t xml:space="preserve">The HBF </w:t>
      </w:r>
      <w:r w:rsidR="00AA0C14">
        <w:rPr>
          <w:rFonts w:ascii="Arial" w:hAnsi="Arial" w:cs="Arial"/>
          <w:sz w:val="22"/>
          <w:szCs w:val="22"/>
        </w:rPr>
        <w:t xml:space="preserve">is generally concerned that </w:t>
      </w:r>
      <w:r w:rsidR="00DA25DE">
        <w:rPr>
          <w:rFonts w:ascii="Arial" w:hAnsi="Arial" w:cs="Arial"/>
          <w:sz w:val="22"/>
          <w:szCs w:val="22"/>
        </w:rPr>
        <w:t>many</w:t>
      </w:r>
      <w:r w:rsidR="00AA0C14">
        <w:rPr>
          <w:rFonts w:ascii="Arial" w:hAnsi="Arial" w:cs="Arial"/>
          <w:sz w:val="22"/>
          <w:szCs w:val="22"/>
        </w:rPr>
        <w:t xml:space="preserve"> local plan</w:t>
      </w:r>
      <w:r w:rsidR="001F52CC">
        <w:rPr>
          <w:rFonts w:ascii="Arial" w:hAnsi="Arial" w:cs="Arial"/>
          <w:sz w:val="22"/>
          <w:szCs w:val="22"/>
        </w:rPr>
        <w:t>ning authorities</w:t>
      </w:r>
      <w:r w:rsidR="00AA0C14">
        <w:rPr>
          <w:rFonts w:ascii="Arial" w:hAnsi="Arial" w:cs="Arial"/>
          <w:sz w:val="22"/>
          <w:szCs w:val="22"/>
        </w:rPr>
        <w:t xml:space="preserve"> are seeking to rely heavily on strategic development </w:t>
      </w:r>
      <w:r w:rsidR="001F52CC">
        <w:rPr>
          <w:rFonts w:ascii="Arial" w:hAnsi="Arial" w:cs="Arial"/>
          <w:sz w:val="22"/>
          <w:szCs w:val="22"/>
        </w:rPr>
        <w:t>with overly optimistic delivery rates to meet their housing needs</w:t>
      </w:r>
      <w:r w:rsidR="003F3D6B">
        <w:rPr>
          <w:rFonts w:ascii="Arial" w:hAnsi="Arial" w:cs="Arial"/>
          <w:sz w:val="22"/>
          <w:szCs w:val="22"/>
        </w:rPr>
        <w:t xml:space="preserve">. </w:t>
      </w:r>
      <w:r w:rsidR="001B16E8">
        <w:rPr>
          <w:rFonts w:ascii="Arial" w:hAnsi="Arial" w:cs="Arial"/>
          <w:sz w:val="22"/>
          <w:szCs w:val="22"/>
        </w:rPr>
        <w:t xml:space="preserve">These optimistic delivery rates </w:t>
      </w:r>
      <w:r w:rsidR="007605CD">
        <w:rPr>
          <w:rFonts w:ascii="Arial" w:hAnsi="Arial" w:cs="Arial"/>
          <w:sz w:val="22"/>
          <w:szCs w:val="22"/>
        </w:rPr>
        <w:t xml:space="preserve">are clearly a means of meeting more housing needs on fewer sites and </w:t>
      </w:r>
      <w:r w:rsidR="00A33C21">
        <w:rPr>
          <w:rFonts w:ascii="Arial" w:hAnsi="Arial" w:cs="Arial"/>
          <w:sz w:val="22"/>
          <w:szCs w:val="22"/>
        </w:rPr>
        <w:t>whilst</w:t>
      </w:r>
      <w:r w:rsidR="007605CD">
        <w:rPr>
          <w:rFonts w:ascii="Arial" w:hAnsi="Arial" w:cs="Arial"/>
          <w:sz w:val="22"/>
          <w:szCs w:val="22"/>
        </w:rPr>
        <w:t xml:space="preserve"> the HBF does not object to large strategic developments</w:t>
      </w:r>
      <w:r w:rsidR="007236F3">
        <w:rPr>
          <w:rFonts w:ascii="Arial" w:hAnsi="Arial" w:cs="Arial"/>
          <w:sz w:val="22"/>
          <w:szCs w:val="22"/>
        </w:rPr>
        <w:t>,</w:t>
      </w:r>
      <w:r w:rsidR="007605CD">
        <w:rPr>
          <w:rFonts w:ascii="Arial" w:hAnsi="Arial" w:cs="Arial"/>
          <w:sz w:val="22"/>
          <w:szCs w:val="22"/>
        </w:rPr>
        <w:t xml:space="preserve"> by trying to shoehorn</w:t>
      </w:r>
      <w:r w:rsidR="00A207D8">
        <w:rPr>
          <w:rFonts w:ascii="Arial" w:hAnsi="Arial" w:cs="Arial"/>
          <w:sz w:val="22"/>
          <w:szCs w:val="22"/>
        </w:rPr>
        <w:t xml:space="preserve"> as much</w:t>
      </w:r>
      <w:r w:rsidR="007605CD">
        <w:rPr>
          <w:rFonts w:ascii="Arial" w:hAnsi="Arial" w:cs="Arial"/>
          <w:sz w:val="22"/>
          <w:szCs w:val="22"/>
        </w:rPr>
        <w:t xml:space="preserve"> </w:t>
      </w:r>
      <w:r w:rsidR="00A207D8">
        <w:rPr>
          <w:rFonts w:ascii="Arial" w:hAnsi="Arial" w:cs="Arial"/>
          <w:sz w:val="22"/>
          <w:szCs w:val="22"/>
        </w:rPr>
        <w:t xml:space="preserve">delivery as possible into the plan period from </w:t>
      </w:r>
      <w:r w:rsidR="00A33C21">
        <w:rPr>
          <w:rFonts w:ascii="Arial" w:hAnsi="Arial" w:cs="Arial"/>
          <w:sz w:val="22"/>
          <w:szCs w:val="22"/>
        </w:rPr>
        <w:t>such</w:t>
      </w:r>
      <w:r w:rsidR="00A207D8">
        <w:rPr>
          <w:rFonts w:ascii="Arial" w:hAnsi="Arial" w:cs="Arial"/>
          <w:sz w:val="22"/>
          <w:szCs w:val="22"/>
        </w:rPr>
        <w:t xml:space="preserve"> sites means that </w:t>
      </w:r>
      <w:r w:rsidR="00A33C21">
        <w:rPr>
          <w:rFonts w:ascii="Arial" w:hAnsi="Arial" w:cs="Arial"/>
          <w:sz w:val="22"/>
          <w:szCs w:val="22"/>
        </w:rPr>
        <w:t>fewer</w:t>
      </w:r>
      <w:r w:rsidR="00A207D8">
        <w:rPr>
          <w:rFonts w:ascii="Arial" w:hAnsi="Arial" w:cs="Arial"/>
          <w:sz w:val="22"/>
          <w:szCs w:val="22"/>
        </w:rPr>
        <w:t xml:space="preserve"> small sites that </w:t>
      </w:r>
      <w:r w:rsidR="00A33C21">
        <w:rPr>
          <w:rFonts w:ascii="Arial" w:hAnsi="Arial" w:cs="Arial"/>
          <w:sz w:val="22"/>
          <w:szCs w:val="22"/>
        </w:rPr>
        <w:t>could</w:t>
      </w:r>
      <w:r w:rsidR="00A207D8">
        <w:rPr>
          <w:rFonts w:ascii="Arial" w:hAnsi="Arial" w:cs="Arial"/>
          <w:sz w:val="22"/>
          <w:szCs w:val="22"/>
        </w:rPr>
        <w:t xml:space="preserve"> </w:t>
      </w:r>
      <w:r w:rsidR="00A33C21">
        <w:rPr>
          <w:rFonts w:ascii="Arial" w:hAnsi="Arial" w:cs="Arial"/>
          <w:sz w:val="22"/>
          <w:szCs w:val="22"/>
        </w:rPr>
        <w:t>deliver</w:t>
      </w:r>
      <w:r w:rsidR="00A207D8">
        <w:rPr>
          <w:rFonts w:ascii="Arial" w:hAnsi="Arial" w:cs="Arial"/>
          <w:sz w:val="22"/>
          <w:szCs w:val="22"/>
        </w:rPr>
        <w:t xml:space="preserve"> earlier in the plan </w:t>
      </w:r>
      <w:r w:rsidR="00A33C21">
        <w:rPr>
          <w:rFonts w:ascii="Arial" w:hAnsi="Arial" w:cs="Arial"/>
          <w:sz w:val="22"/>
          <w:szCs w:val="22"/>
        </w:rPr>
        <w:t xml:space="preserve">period are not allocated. </w:t>
      </w:r>
    </w:p>
    <w:p w14:paraId="63258943" w14:textId="77777777" w:rsidR="00A33C21" w:rsidRDefault="00A33C21" w:rsidP="00AA0C14">
      <w:pPr>
        <w:spacing w:line="360" w:lineRule="auto"/>
        <w:jc w:val="both"/>
        <w:rPr>
          <w:rFonts w:ascii="Arial" w:hAnsi="Arial" w:cs="Arial"/>
          <w:sz w:val="22"/>
          <w:szCs w:val="22"/>
        </w:rPr>
      </w:pPr>
    </w:p>
    <w:p w14:paraId="7539CC04" w14:textId="77777777" w:rsidR="005C0A20" w:rsidRDefault="00A33C21" w:rsidP="00AA0C14">
      <w:pPr>
        <w:spacing w:line="360" w:lineRule="auto"/>
        <w:jc w:val="both"/>
        <w:rPr>
          <w:rFonts w:ascii="Arial" w:hAnsi="Arial" w:cs="Arial"/>
          <w:sz w:val="22"/>
          <w:szCs w:val="22"/>
        </w:rPr>
      </w:pPr>
      <w:r>
        <w:rPr>
          <w:rFonts w:ascii="Arial" w:hAnsi="Arial" w:cs="Arial"/>
          <w:sz w:val="22"/>
          <w:szCs w:val="22"/>
        </w:rPr>
        <w:lastRenderedPageBreak/>
        <w:t xml:space="preserve">In </w:t>
      </w:r>
      <w:r w:rsidR="005F6121">
        <w:rPr>
          <w:rFonts w:ascii="Arial" w:hAnsi="Arial" w:cs="Arial"/>
          <w:sz w:val="22"/>
          <w:szCs w:val="22"/>
        </w:rPr>
        <w:t xml:space="preserve">the NNLP </w:t>
      </w:r>
      <w:r w:rsidR="00C56DA9">
        <w:rPr>
          <w:rFonts w:ascii="Arial" w:hAnsi="Arial" w:cs="Arial"/>
          <w:sz w:val="22"/>
          <w:szCs w:val="22"/>
        </w:rPr>
        <w:t xml:space="preserve">the strategic allocation at Land West of North Walsham (NW62) is expected to </w:t>
      </w:r>
      <w:r w:rsidR="00983782">
        <w:rPr>
          <w:rFonts w:ascii="Arial" w:hAnsi="Arial" w:cs="Arial"/>
          <w:sz w:val="22"/>
          <w:szCs w:val="22"/>
        </w:rPr>
        <w:t>delivery</w:t>
      </w:r>
      <w:r w:rsidR="00C56DA9">
        <w:rPr>
          <w:rFonts w:ascii="Arial" w:hAnsi="Arial" w:cs="Arial"/>
          <w:sz w:val="22"/>
          <w:szCs w:val="22"/>
        </w:rPr>
        <w:t xml:space="preserve"> </w:t>
      </w:r>
      <w:r w:rsidR="00983782">
        <w:rPr>
          <w:rFonts w:ascii="Arial" w:hAnsi="Arial" w:cs="Arial"/>
          <w:sz w:val="22"/>
          <w:szCs w:val="22"/>
        </w:rPr>
        <w:t>circa</w:t>
      </w:r>
      <w:r w:rsidR="00F262D5">
        <w:rPr>
          <w:rFonts w:ascii="Arial" w:hAnsi="Arial" w:cs="Arial"/>
          <w:sz w:val="22"/>
          <w:szCs w:val="22"/>
        </w:rPr>
        <w:t xml:space="preserve"> 1,500 homes between </w:t>
      </w:r>
      <w:r w:rsidR="00983782">
        <w:rPr>
          <w:rFonts w:ascii="Arial" w:hAnsi="Arial" w:cs="Arial"/>
          <w:sz w:val="22"/>
          <w:szCs w:val="22"/>
        </w:rPr>
        <w:t xml:space="preserve">2026/27 and 2039/40. Whilst the HBF do not object to the site </w:t>
      </w:r>
      <w:r w:rsidR="00132B94">
        <w:rPr>
          <w:rFonts w:ascii="Arial" w:hAnsi="Arial" w:cs="Arial"/>
          <w:sz w:val="22"/>
          <w:szCs w:val="22"/>
        </w:rPr>
        <w:t>being</w:t>
      </w:r>
      <w:r w:rsidR="00983782">
        <w:rPr>
          <w:rFonts w:ascii="Arial" w:hAnsi="Arial" w:cs="Arial"/>
          <w:sz w:val="22"/>
          <w:szCs w:val="22"/>
        </w:rPr>
        <w:t xml:space="preserve"> </w:t>
      </w:r>
      <w:r w:rsidR="00132B94">
        <w:rPr>
          <w:rFonts w:ascii="Arial" w:hAnsi="Arial" w:cs="Arial"/>
          <w:sz w:val="22"/>
          <w:szCs w:val="22"/>
        </w:rPr>
        <w:t>included</w:t>
      </w:r>
      <w:r w:rsidR="00983782">
        <w:rPr>
          <w:rFonts w:ascii="Arial" w:hAnsi="Arial" w:cs="Arial"/>
          <w:sz w:val="22"/>
          <w:szCs w:val="22"/>
        </w:rPr>
        <w:t xml:space="preserve"> </w:t>
      </w:r>
      <w:r w:rsidR="00132B94">
        <w:rPr>
          <w:rFonts w:ascii="Arial" w:hAnsi="Arial" w:cs="Arial"/>
          <w:sz w:val="22"/>
          <w:szCs w:val="22"/>
        </w:rPr>
        <w:t xml:space="preserve">but </w:t>
      </w:r>
      <w:r w:rsidR="00983782">
        <w:rPr>
          <w:rFonts w:ascii="Arial" w:hAnsi="Arial" w:cs="Arial"/>
          <w:sz w:val="22"/>
          <w:szCs w:val="22"/>
        </w:rPr>
        <w:t xml:space="preserve">we are concerned that the </w:t>
      </w:r>
      <w:r w:rsidR="00595547">
        <w:rPr>
          <w:rFonts w:ascii="Arial" w:hAnsi="Arial" w:cs="Arial"/>
          <w:sz w:val="22"/>
          <w:szCs w:val="22"/>
        </w:rPr>
        <w:t>Council</w:t>
      </w:r>
      <w:r w:rsidR="00983782">
        <w:rPr>
          <w:rFonts w:ascii="Arial" w:hAnsi="Arial" w:cs="Arial"/>
          <w:sz w:val="22"/>
          <w:szCs w:val="22"/>
        </w:rPr>
        <w:t xml:space="preserve"> expect this stie t</w:t>
      </w:r>
      <w:r w:rsidR="00595547">
        <w:rPr>
          <w:rFonts w:ascii="Arial" w:hAnsi="Arial" w:cs="Arial"/>
          <w:sz w:val="22"/>
          <w:szCs w:val="22"/>
        </w:rPr>
        <w:t>o</w:t>
      </w:r>
      <w:r w:rsidR="00983782">
        <w:rPr>
          <w:rFonts w:ascii="Arial" w:hAnsi="Arial" w:cs="Arial"/>
          <w:sz w:val="22"/>
          <w:szCs w:val="22"/>
        </w:rPr>
        <w:t xml:space="preserve"> commence delivering homes</w:t>
      </w:r>
      <w:r w:rsidR="00595547">
        <w:rPr>
          <w:rFonts w:ascii="Arial" w:hAnsi="Arial" w:cs="Arial"/>
          <w:sz w:val="22"/>
          <w:szCs w:val="22"/>
        </w:rPr>
        <w:t xml:space="preserve"> just two years after the plan is adopted. </w:t>
      </w:r>
      <w:r w:rsidR="00A5762A">
        <w:rPr>
          <w:rFonts w:ascii="Arial" w:hAnsi="Arial" w:cs="Arial"/>
          <w:sz w:val="22"/>
          <w:szCs w:val="22"/>
        </w:rPr>
        <w:t xml:space="preserve">Such sites take considerable time to come forward from allocation through to </w:t>
      </w:r>
      <w:r w:rsidR="00D522A9">
        <w:rPr>
          <w:rFonts w:ascii="Arial" w:hAnsi="Arial" w:cs="Arial"/>
          <w:sz w:val="22"/>
          <w:szCs w:val="22"/>
        </w:rPr>
        <w:t>first delivery</w:t>
      </w:r>
      <w:r w:rsidR="00A5762A">
        <w:rPr>
          <w:rFonts w:ascii="Arial" w:hAnsi="Arial" w:cs="Arial"/>
          <w:sz w:val="22"/>
          <w:szCs w:val="22"/>
        </w:rPr>
        <w:t xml:space="preserve">. </w:t>
      </w:r>
    </w:p>
    <w:p w14:paraId="5E25BBA3" w14:textId="77777777" w:rsidR="005C0A20" w:rsidRDefault="005C0A20" w:rsidP="00AA0C14">
      <w:pPr>
        <w:spacing w:line="360" w:lineRule="auto"/>
        <w:jc w:val="both"/>
        <w:rPr>
          <w:rFonts w:ascii="Arial" w:hAnsi="Arial" w:cs="Arial"/>
          <w:sz w:val="22"/>
          <w:szCs w:val="22"/>
        </w:rPr>
      </w:pPr>
    </w:p>
    <w:p w14:paraId="23605BC2" w14:textId="6C647F9D" w:rsidR="00A33C21" w:rsidRDefault="00A5762A" w:rsidP="00AA0C14">
      <w:pPr>
        <w:spacing w:line="360" w:lineRule="auto"/>
        <w:jc w:val="both"/>
        <w:rPr>
          <w:rFonts w:ascii="Arial" w:hAnsi="Arial" w:cs="Arial"/>
          <w:sz w:val="22"/>
          <w:szCs w:val="22"/>
        </w:rPr>
      </w:pPr>
      <w:r>
        <w:rPr>
          <w:rFonts w:ascii="Arial" w:hAnsi="Arial" w:cs="Arial"/>
          <w:sz w:val="22"/>
          <w:szCs w:val="22"/>
        </w:rPr>
        <w:t>Lichfield</w:t>
      </w:r>
      <w:r w:rsidR="00E369C9">
        <w:rPr>
          <w:rFonts w:ascii="Arial" w:hAnsi="Arial" w:cs="Arial"/>
          <w:sz w:val="22"/>
          <w:szCs w:val="22"/>
        </w:rPr>
        <w:t xml:space="preserve">s report Start to Finish provides </w:t>
      </w:r>
      <w:r w:rsidR="00FE60B9">
        <w:rPr>
          <w:rFonts w:ascii="Arial" w:hAnsi="Arial" w:cs="Arial"/>
          <w:sz w:val="22"/>
          <w:szCs w:val="22"/>
        </w:rPr>
        <w:t xml:space="preserve">a helpful </w:t>
      </w:r>
      <w:r w:rsidR="00E369C9">
        <w:rPr>
          <w:rFonts w:ascii="Arial" w:hAnsi="Arial" w:cs="Arial"/>
          <w:sz w:val="22"/>
          <w:szCs w:val="22"/>
        </w:rPr>
        <w:t>indication as to the</w:t>
      </w:r>
      <w:r w:rsidR="00FE60B9">
        <w:rPr>
          <w:rFonts w:ascii="Arial" w:hAnsi="Arial" w:cs="Arial"/>
          <w:sz w:val="22"/>
          <w:szCs w:val="22"/>
        </w:rPr>
        <w:t xml:space="preserve"> </w:t>
      </w:r>
      <w:r w:rsidR="005821F0">
        <w:rPr>
          <w:rFonts w:ascii="Arial" w:hAnsi="Arial" w:cs="Arial"/>
          <w:sz w:val="22"/>
          <w:szCs w:val="22"/>
        </w:rPr>
        <w:t>delivery</w:t>
      </w:r>
      <w:r w:rsidR="00FE60B9">
        <w:rPr>
          <w:rFonts w:ascii="Arial" w:hAnsi="Arial" w:cs="Arial"/>
          <w:sz w:val="22"/>
          <w:szCs w:val="22"/>
        </w:rPr>
        <w:t xml:space="preserve"> timescales </w:t>
      </w:r>
      <w:r w:rsidR="005821F0">
        <w:rPr>
          <w:rFonts w:ascii="Arial" w:hAnsi="Arial" w:cs="Arial"/>
          <w:sz w:val="22"/>
          <w:szCs w:val="22"/>
        </w:rPr>
        <w:t xml:space="preserve">for </w:t>
      </w:r>
      <w:r w:rsidR="00FE60B9">
        <w:rPr>
          <w:rFonts w:ascii="Arial" w:hAnsi="Arial" w:cs="Arial"/>
          <w:sz w:val="22"/>
          <w:szCs w:val="22"/>
        </w:rPr>
        <w:t xml:space="preserve">larger development. </w:t>
      </w:r>
      <w:r w:rsidR="0071239A">
        <w:rPr>
          <w:rFonts w:ascii="Arial" w:hAnsi="Arial" w:cs="Arial"/>
          <w:sz w:val="22"/>
          <w:szCs w:val="22"/>
        </w:rPr>
        <w:t xml:space="preserve">In </w:t>
      </w:r>
      <w:r w:rsidR="005821F0">
        <w:rPr>
          <w:rFonts w:ascii="Arial" w:hAnsi="Arial" w:cs="Arial"/>
          <w:sz w:val="22"/>
          <w:szCs w:val="22"/>
        </w:rPr>
        <w:t>relation</w:t>
      </w:r>
      <w:r w:rsidR="0071239A">
        <w:rPr>
          <w:rFonts w:ascii="Arial" w:hAnsi="Arial" w:cs="Arial"/>
          <w:sz w:val="22"/>
          <w:szCs w:val="22"/>
        </w:rPr>
        <w:t xml:space="preserve"> </w:t>
      </w:r>
      <w:r w:rsidR="005821F0">
        <w:rPr>
          <w:rFonts w:ascii="Arial" w:hAnsi="Arial" w:cs="Arial"/>
          <w:sz w:val="22"/>
          <w:szCs w:val="22"/>
        </w:rPr>
        <w:t>to</w:t>
      </w:r>
      <w:r w:rsidR="0071239A">
        <w:rPr>
          <w:rFonts w:ascii="Arial" w:hAnsi="Arial" w:cs="Arial"/>
          <w:sz w:val="22"/>
          <w:szCs w:val="22"/>
        </w:rPr>
        <w:t xml:space="preserve"> sites of 1,000 to 1,500 homes for example the report notes that the </w:t>
      </w:r>
      <w:r w:rsidR="00E91DF1">
        <w:rPr>
          <w:rFonts w:ascii="Arial" w:hAnsi="Arial" w:cs="Arial"/>
          <w:sz w:val="22"/>
          <w:szCs w:val="22"/>
        </w:rPr>
        <w:t>avera</w:t>
      </w:r>
      <w:r w:rsidR="005821F0">
        <w:rPr>
          <w:rFonts w:ascii="Arial" w:hAnsi="Arial" w:cs="Arial"/>
          <w:sz w:val="22"/>
          <w:szCs w:val="22"/>
        </w:rPr>
        <w:t xml:space="preserve">ge </w:t>
      </w:r>
      <w:r w:rsidR="00E91DF1">
        <w:rPr>
          <w:rFonts w:ascii="Arial" w:hAnsi="Arial" w:cs="Arial"/>
          <w:sz w:val="22"/>
          <w:szCs w:val="22"/>
        </w:rPr>
        <w:t xml:space="preserve">time </w:t>
      </w:r>
      <w:r w:rsidR="005821F0">
        <w:rPr>
          <w:rFonts w:ascii="Arial" w:hAnsi="Arial" w:cs="Arial"/>
          <w:sz w:val="22"/>
          <w:szCs w:val="22"/>
        </w:rPr>
        <w:t>taken</w:t>
      </w:r>
      <w:r w:rsidR="00E91DF1">
        <w:rPr>
          <w:rFonts w:ascii="Arial" w:hAnsi="Arial" w:cs="Arial"/>
          <w:sz w:val="22"/>
          <w:szCs w:val="22"/>
        </w:rPr>
        <w:t xml:space="preserve"> from validation to the </w:t>
      </w:r>
      <w:r w:rsidR="005821F0">
        <w:rPr>
          <w:rFonts w:ascii="Arial" w:hAnsi="Arial" w:cs="Arial"/>
          <w:sz w:val="22"/>
          <w:szCs w:val="22"/>
        </w:rPr>
        <w:t>completion of</w:t>
      </w:r>
      <w:r w:rsidR="00E91DF1">
        <w:rPr>
          <w:rFonts w:ascii="Arial" w:hAnsi="Arial" w:cs="Arial"/>
          <w:sz w:val="22"/>
          <w:szCs w:val="22"/>
        </w:rPr>
        <w:t xml:space="preserve"> the first dwelling to be 6.9 years.</w:t>
      </w:r>
      <w:r w:rsidR="001A7888">
        <w:rPr>
          <w:rFonts w:ascii="Arial" w:hAnsi="Arial" w:cs="Arial"/>
          <w:sz w:val="22"/>
          <w:szCs w:val="22"/>
        </w:rPr>
        <w:t xml:space="preserve"> This is broken down in</w:t>
      </w:r>
      <w:r w:rsidR="00A669DC">
        <w:rPr>
          <w:rFonts w:ascii="Arial" w:hAnsi="Arial" w:cs="Arial"/>
          <w:sz w:val="22"/>
          <w:szCs w:val="22"/>
        </w:rPr>
        <w:t xml:space="preserve">to 4.6 years for planning approval and 2.3 years from planning permission to delivery. </w:t>
      </w:r>
      <w:r w:rsidR="00E3442F">
        <w:rPr>
          <w:rFonts w:ascii="Arial" w:hAnsi="Arial" w:cs="Arial"/>
          <w:sz w:val="22"/>
          <w:szCs w:val="22"/>
        </w:rPr>
        <w:t xml:space="preserve">Whilst such timescales are averages it is </w:t>
      </w:r>
      <w:r w:rsidR="0003127B">
        <w:rPr>
          <w:rFonts w:ascii="Arial" w:hAnsi="Arial" w:cs="Arial"/>
          <w:sz w:val="22"/>
          <w:szCs w:val="22"/>
        </w:rPr>
        <w:t xml:space="preserve">worth noting that </w:t>
      </w:r>
      <w:r w:rsidR="00125D34">
        <w:rPr>
          <w:rFonts w:ascii="Arial" w:hAnsi="Arial" w:cs="Arial"/>
          <w:sz w:val="22"/>
          <w:szCs w:val="22"/>
        </w:rPr>
        <w:t xml:space="preserve">FO1, land </w:t>
      </w:r>
      <w:r w:rsidR="0072114A">
        <w:rPr>
          <w:rFonts w:ascii="Arial" w:hAnsi="Arial" w:cs="Arial"/>
          <w:sz w:val="22"/>
          <w:szCs w:val="22"/>
        </w:rPr>
        <w:t xml:space="preserve">North of </w:t>
      </w:r>
      <w:r w:rsidR="00125D34">
        <w:rPr>
          <w:rFonts w:ascii="Arial" w:hAnsi="Arial" w:cs="Arial"/>
          <w:sz w:val="22"/>
          <w:szCs w:val="22"/>
        </w:rPr>
        <w:t>R</w:t>
      </w:r>
      <w:r w:rsidR="0072114A">
        <w:rPr>
          <w:rFonts w:ascii="Arial" w:hAnsi="Arial" w:cs="Arial"/>
          <w:sz w:val="22"/>
          <w:szCs w:val="22"/>
        </w:rPr>
        <w:t xml:space="preserve">udham Stile Lane took </w:t>
      </w:r>
      <w:r w:rsidR="00AE6971">
        <w:rPr>
          <w:rFonts w:ascii="Arial" w:hAnsi="Arial" w:cs="Arial"/>
          <w:sz w:val="22"/>
          <w:szCs w:val="22"/>
        </w:rPr>
        <w:t xml:space="preserve">4 years from validation to </w:t>
      </w:r>
      <w:r w:rsidR="000C1FFF">
        <w:rPr>
          <w:rFonts w:ascii="Arial" w:hAnsi="Arial" w:cs="Arial"/>
          <w:sz w:val="22"/>
          <w:szCs w:val="22"/>
        </w:rPr>
        <w:t xml:space="preserve">the grant of </w:t>
      </w:r>
      <w:r w:rsidR="00036475">
        <w:rPr>
          <w:rFonts w:ascii="Arial" w:hAnsi="Arial" w:cs="Arial"/>
          <w:sz w:val="22"/>
          <w:szCs w:val="22"/>
        </w:rPr>
        <w:t xml:space="preserve">outline </w:t>
      </w:r>
      <w:r w:rsidR="000C1FFF">
        <w:rPr>
          <w:rFonts w:ascii="Arial" w:hAnsi="Arial" w:cs="Arial"/>
          <w:sz w:val="22"/>
          <w:szCs w:val="22"/>
        </w:rPr>
        <w:t>planning permission</w:t>
      </w:r>
      <w:r w:rsidR="00483F27">
        <w:rPr>
          <w:rFonts w:ascii="Arial" w:hAnsi="Arial" w:cs="Arial"/>
          <w:sz w:val="22"/>
          <w:szCs w:val="22"/>
        </w:rPr>
        <w:t xml:space="preserve"> and is expected to commence in 2026/27 – </w:t>
      </w:r>
      <w:r w:rsidR="00164B9C">
        <w:rPr>
          <w:rFonts w:ascii="Arial" w:hAnsi="Arial" w:cs="Arial"/>
          <w:sz w:val="22"/>
          <w:szCs w:val="22"/>
        </w:rPr>
        <w:t>nearly 10 years after the application was submitted</w:t>
      </w:r>
      <w:r w:rsidR="000C1FFF">
        <w:rPr>
          <w:rFonts w:ascii="Arial" w:hAnsi="Arial" w:cs="Arial"/>
          <w:sz w:val="22"/>
          <w:szCs w:val="22"/>
        </w:rPr>
        <w:t xml:space="preserve">. </w:t>
      </w:r>
      <w:r w:rsidR="00AE6971">
        <w:rPr>
          <w:rFonts w:ascii="Arial" w:hAnsi="Arial" w:cs="Arial"/>
          <w:sz w:val="22"/>
          <w:szCs w:val="22"/>
        </w:rPr>
        <w:t xml:space="preserve"> </w:t>
      </w:r>
      <w:r w:rsidR="001A7888">
        <w:rPr>
          <w:rFonts w:ascii="Arial" w:hAnsi="Arial" w:cs="Arial"/>
          <w:sz w:val="22"/>
          <w:szCs w:val="22"/>
        </w:rPr>
        <w:t xml:space="preserve">Whilst it would be expected that an allocated site </w:t>
      </w:r>
      <w:r w:rsidR="00A669DC">
        <w:rPr>
          <w:rFonts w:ascii="Arial" w:hAnsi="Arial" w:cs="Arial"/>
          <w:sz w:val="22"/>
          <w:szCs w:val="22"/>
        </w:rPr>
        <w:t>would</w:t>
      </w:r>
      <w:r w:rsidR="001A7888">
        <w:rPr>
          <w:rFonts w:ascii="Arial" w:hAnsi="Arial" w:cs="Arial"/>
          <w:sz w:val="22"/>
          <w:szCs w:val="22"/>
        </w:rPr>
        <w:t xml:space="preserve"> move more quickly through the </w:t>
      </w:r>
      <w:r w:rsidR="00A669DC">
        <w:rPr>
          <w:rFonts w:ascii="Arial" w:hAnsi="Arial" w:cs="Arial"/>
          <w:sz w:val="22"/>
          <w:szCs w:val="22"/>
        </w:rPr>
        <w:t xml:space="preserve">application </w:t>
      </w:r>
      <w:r w:rsidR="001A7888">
        <w:rPr>
          <w:rFonts w:ascii="Arial" w:hAnsi="Arial" w:cs="Arial"/>
          <w:sz w:val="22"/>
          <w:szCs w:val="22"/>
        </w:rPr>
        <w:t>process</w:t>
      </w:r>
      <w:r w:rsidR="00A669DC">
        <w:rPr>
          <w:rFonts w:ascii="Arial" w:hAnsi="Arial" w:cs="Arial"/>
          <w:sz w:val="22"/>
          <w:szCs w:val="22"/>
        </w:rPr>
        <w:t xml:space="preserve"> the length of time from permission being granted to first home will </w:t>
      </w:r>
      <w:r w:rsidR="0045612C">
        <w:rPr>
          <w:rFonts w:ascii="Arial" w:hAnsi="Arial" w:cs="Arial"/>
          <w:sz w:val="22"/>
          <w:szCs w:val="22"/>
        </w:rPr>
        <w:t>likely be similar</w:t>
      </w:r>
      <w:r w:rsidR="0041728C">
        <w:rPr>
          <w:rFonts w:ascii="Arial" w:hAnsi="Arial" w:cs="Arial"/>
          <w:sz w:val="22"/>
          <w:szCs w:val="22"/>
        </w:rPr>
        <w:t xml:space="preserve"> and that the </w:t>
      </w:r>
      <w:r w:rsidR="00C71D0C">
        <w:rPr>
          <w:rFonts w:ascii="Arial" w:hAnsi="Arial" w:cs="Arial"/>
          <w:sz w:val="22"/>
          <w:szCs w:val="22"/>
        </w:rPr>
        <w:t>2 years from the plan being adopted to first completion is too short given that an application is still to be submitted.</w:t>
      </w:r>
    </w:p>
    <w:p w14:paraId="1017159B" w14:textId="77777777" w:rsidR="003F42FC" w:rsidRDefault="003F42FC" w:rsidP="00AA0C14">
      <w:pPr>
        <w:spacing w:line="360" w:lineRule="auto"/>
        <w:jc w:val="both"/>
        <w:rPr>
          <w:rFonts w:ascii="Arial" w:hAnsi="Arial" w:cs="Arial"/>
          <w:sz w:val="22"/>
          <w:szCs w:val="22"/>
        </w:rPr>
      </w:pPr>
    </w:p>
    <w:p w14:paraId="2684A9FC" w14:textId="6C6B0A0A" w:rsidR="003F42FC" w:rsidRDefault="003F42FC" w:rsidP="00AA0C14">
      <w:pPr>
        <w:spacing w:line="360" w:lineRule="auto"/>
        <w:jc w:val="both"/>
        <w:rPr>
          <w:rFonts w:ascii="Arial" w:hAnsi="Arial" w:cs="Arial"/>
          <w:sz w:val="22"/>
          <w:szCs w:val="22"/>
        </w:rPr>
      </w:pPr>
      <w:r>
        <w:rPr>
          <w:rFonts w:ascii="Arial" w:hAnsi="Arial" w:cs="Arial"/>
          <w:sz w:val="22"/>
          <w:szCs w:val="22"/>
        </w:rPr>
        <w:t xml:space="preserve">The Council have stated in EX006 that they have </w:t>
      </w:r>
      <w:r w:rsidR="000353B7">
        <w:rPr>
          <w:rFonts w:ascii="Arial" w:hAnsi="Arial" w:cs="Arial"/>
          <w:sz w:val="22"/>
          <w:szCs w:val="22"/>
        </w:rPr>
        <w:t>considered</w:t>
      </w:r>
      <w:r>
        <w:rPr>
          <w:rFonts w:ascii="Arial" w:hAnsi="Arial" w:cs="Arial"/>
          <w:sz w:val="22"/>
          <w:szCs w:val="22"/>
        </w:rPr>
        <w:t xml:space="preserve"> the</w:t>
      </w:r>
      <w:r w:rsidR="005460FA">
        <w:rPr>
          <w:rFonts w:ascii="Arial" w:hAnsi="Arial" w:cs="Arial"/>
          <w:sz w:val="22"/>
          <w:szCs w:val="22"/>
        </w:rPr>
        <w:t xml:space="preserve"> </w:t>
      </w:r>
      <w:r w:rsidR="00810BA6">
        <w:rPr>
          <w:rFonts w:ascii="Arial" w:hAnsi="Arial" w:cs="Arial"/>
          <w:sz w:val="22"/>
          <w:szCs w:val="22"/>
        </w:rPr>
        <w:t>potential impact</w:t>
      </w:r>
      <w:r>
        <w:rPr>
          <w:rFonts w:ascii="Arial" w:hAnsi="Arial" w:cs="Arial"/>
          <w:sz w:val="22"/>
          <w:szCs w:val="22"/>
        </w:rPr>
        <w:t xml:space="preserve"> of nutrient neutrality </w:t>
      </w:r>
      <w:r w:rsidR="00AC56F7">
        <w:rPr>
          <w:rFonts w:ascii="Arial" w:hAnsi="Arial" w:cs="Arial"/>
          <w:sz w:val="22"/>
          <w:szCs w:val="22"/>
        </w:rPr>
        <w:t xml:space="preserve">in the supply of housing. </w:t>
      </w:r>
      <w:r w:rsidR="000353B7">
        <w:rPr>
          <w:rFonts w:ascii="Arial" w:hAnsi="Arial" w:cs="Arial"/>
          <w:sz w:val="22"/>
          <w:szCs w:val="22"/>
        </w:rPr>
        <w:t xml:space="preserve">Table 1 of EX003 also provides </w:t>
      </w:r>
      <w:r w:rsidR="002D5342">
        <w:rPr>
          <w:rFonts w:ascii="Arial" w:hAnsi="Arial" w:cs="Arial"/>
          <w:sz w:val="22"/>
          <w:szCs w:val="22"/>
        </w:rPr>
        <w:t>further information identifying those developments that are likely to require mitigation</w:t>
      </w:r>
      <w:r w:rsidR="0016569D">
        <w:rPr>
          <w:rFonts w:ascii="Arial" w:hAnsi="Arial" w:cs="Arial"/>
          <w:sz w:val="22"/>
          <w:szCs w:val="22"/>
        </w:rPr>
        <w:t>. This covers around 3,500 to 3,700 dwell</w:t>
      </w:r>
      <w:r w:rsidR="00891A8E">
        <w:rPr>
          <w:rFonts w:ascii="Arial" w:hAnsi="Arial" w:cs="Arial"/>
          <w:sz w:val="22"/>
          <w:szCs w:val="22"/>
        </w:rPr>
        <w:t xml:space="preserve">ings to be delivered over the plan period. </w:t>
      </w:r>
      <w:r w:rsidR="00C0404E">
        <w:rPr>
          <w:rFonts w:ascii="Arial" w:hAnsi="Arial" w:cs="Arial"/>
          <w:sz w:val="22"/>
          <w:szCs w:val="22"/>
        </w:rPr>
        <w:t xml:space="preserve">Whilst the Council have worked positively with its </w:t>
      </w:r>
      <w:r w:rsidR="00912C33">
        <w:rPr>
          <w:rFonts w:ascii="Arial" w:hAnsi="Arial" w:cs="Arial"/>
          <w:sz w:val="22"/>
          <w:szCs w:val="22"/>
        </w:rPr>
        <w:t>neighbours to develop a mitigation strategy</w:t>
      </w:r>
      <w:r w:rsidR="00C94297">
        <w:rPr>
          <w:rFonts w:ascii="Arial" w:hAnsi="Arial" w:cs="Arial"/>
          <w:sz w:val="22"/>
          <w:szCs w:val="22"/>
        </w:rPr>
        <w:t xml:space="preserve"> that will </w:t>
      </w:r>
      <w:r w:rsidR="001523FC">
        <w:rPr>
          <w:rFonts w:ascii="Arial" w:hAnsi="Arial" w:cs="Arial"/>
          <w:sz w:val="22"/>
          <w:szCs w:val="22"/>
        </w:rPr>
        <w:t xml:space="preserve">support development unable to provide its own mitigation by purchasing </w:t>
      </w:r>
      <w:r w:rsidR="00EF18A0">
        <w:rPr>
          <w:rFonts w:ascii="Arial" w:hAnsi="Arial" w:cs="Arial"/>
          <w:sz w:val="22"/>
          <w:szCs w:val="22"/>
        </w:rPr>
        <w:t xml:space="preserve">credits from third parties. However, </w:t>
      </w:r>
      <w:r w:rsidR="000D5D55">
        <w:rPr>
          <w:rFonts w:ascii="Arial" w:hAnsi="Arial" w:cs="Arial"/>
          <w:sz w:val="22"/>
          <w:szCs w:val="22"/>
        </w:rPr>
        <w:t xml:space="preserve">what is not clear </w:t>
      </w:r>
      <w:r w:rsidR="00EF18A0">
        <w:rPr>
          <w:rFonts w:ascii="Arial" w:hAnsi="Arial" w:cs="Arial"/>
          <w:sz w:val="22"/>
          <w:szCs w:val="22"/>
        </w:rPr>
        <w:t xml:space="preserve">and will need to be evidenced at the examination </w:t>
      </w:r>
      <w:r w:rsidR="000D5D55">
        <w:rPr>
          <w:rFonts w:ascii="Arial" w:hAnsi="Arial" w:cs="Arial"/>
          <w:sz w:val="22"/>
          <w:szCs w:val="22"/>
        </w:rPr>
        <w:t xml:space="preserve">is whether there </w:t>
      </w:r>
      <w:r w:rsidR="00300898">
        <w:rPr>
          <w:rFonts w:ascii="Arial" w:hAnsi="Arial" w:cs="Arial"/>
          <w:sz w:val="22"/>
          <w:szCs w:val="22"/>
        </w:rPr>
        <w:t>will be sufficient credits available to</w:t>
      </w:r>
      <w:r w:rsidR="00503496">
        <w:rPr>
          <w:rFonts w:ascii="Arial" w:hAnsi="Arial" w:cs="Arial"/>
          <w:sz w:val="22"/>
          <w:szCs w:val="22"/>
        </w:rPr>
        <w:t xml:space="preserve"> support the delivery of these homes</w:t>
      </w:r>
      <w:r w:rsidR="00EF18A0">
        <w:rPr>
          <w:rFonts w:ascii="Arial" w:hAnsi="Arial" w:cs="Arial"/>
          <w:sz w:val="22"/>
          <w:szCs w:val="22"/>
        </w:rPr>
        <w:t xml:space="preserve"> as expected in</w:t>
      </w:r>
      <w:r w:rsidR="00692D82">
        <w:rPr>
          <w:rFonts w:ascii="Arial" w:hAnsi="Arial" w:cs="Arial"/>
          <w:sz w:val="22"/>
          <w:szCs w:val="22"/>
        </w:rPr>
        <w:t xml:space="preserve"> Appendix B of EX006</w:t>
      </w:r>
      <w:r w:rsidR="00503496">
        <w:rPr>
          <w:rFonts w:ascii="Arial" w:hAnsi="Arial" w:cs="Arial"/>
          <w:sz w:val="22"/>
          <w:szCs w:val="22"/>
        </w:rPr>
        <w:t xml:space="preserve">. </w:t>
      </w:r>
      <w:r w:rsidR="000C77A5">
        <w:rPr>
          <w:rFonts w:ascii="Arial" w:hAnsi="Arial" w:cs="Arial"/>
          <w:sz w:val="22"/>
          <w:szCs w:val="22"/>
        </w:rPr>
        <w:t xml:space="preserve">Our understanding is that </w:t>
      </w:r>
      <w:r w:rsidR="00C30464">
        <w:rPr>
          <w:rFonts w:ascii="Arial" w:hAnsi="Arial" w:cs="Arial"/>
          <w:sz w:val="22"/>
          <w:szCs w:val="22"/>
        </w:rPr>
        <w:t>the first tranche of credits available will support the delivery of 5,000 homes in the Yare Valley</w:t>
      </w:r>
      <w:r w:rsidR="004E79C8">
        <w:rPr>
          <w:rFonts w:ascii="Arial" w:hAnsi="Arial" w:cs="Arial"/>
          <w:sz w:val="22"/>
          <w:szCs w:val="22"/>
        </w:rPr>
        <w:t xml:space="preserve">. Given that </w:t>
      </w:r>
      <w:r w:rsidR="00F831E4">
        <w:rPr>
          <w:rFonts w:ascii="Arial" w:hAnsi="Arial" w:cs="Arial"/>
          <w:sz w:val="22"/>
          <w:szCs w:val="22"/>
        </w:rPr>
        <w:t xml:space="preserve">nutrient neutrality in North Norfolk relates to the River Wensum </w:t>
      </w:r>
      <w:r w:rsidR="00EC1F1E">
        <w:rPr>
          <w:rFonts w:ascii="Arial" w:hAnsi="Arial" w:cs="Arial"/>
          <w:sz w:val="22"/>
          <w:szCs w:val="22"/>
        </w:rPr>
        <w:t>SAC and The Broad</w:t>
      </w:r>
      <w:r w:rsidR="005A0DB9">
        <w:rPr>
          <w:rFonts w:ascii="Arial" w:hAnsi="Arial" w:cs="Arial"/>
          <w:sz w:val="22"/>
          <w:szCs w:val="22"/>
        </w:rPr>
        <w:t>s</w:t>
      </w:r>
      <w:r w:rsidR="00832796">
        <w:rPr>
          <w:rFonts w:ascii="Arial" w:hAnsi="Arial" w:cs="Arial"/>
          <w:sz w:val="22"/>
          <w:szCs w:val="22"/>
        </w:rPr>
        <w:t xml:space="preserve"> </w:t>
      </w:r>
      <w:r w:rsidR="005A0DB9">
        <w:rPr>
          <w:rFonts w:ascii="Arial" w:hAnsi="Arial" w:cs="Arial"/>
          <w:sz w:val="22"/>
          <w:szCs w:val="22"/>
        </w:rPr>
        <w:t>SAC</w:t>
      </w:r>
      <w:r w:rsidR="00832796">
        <w:rPr>
          <w:rFonts w:ascii="Arial" w:hAnsi="Arial" w:cs="Arial"/>
          <w:sz w:val="22"/>
          <w:szCs w:val="22"/>
        </w:rPr>
        <w:t>/</w:t>
      </w:r>
      <w:r w:rsidR="005A0DB9">
        <w:rPr>
          <w:rFonts w:ascii="Arial" w:hAnsi="Arial" w:cs="Arial"/>
          <w:sz w:val="22"/>
          <w:szCs w:val="22"/>
        </w:rPr>
        <w:t>Broadland Ramsar site it</w:t>
      </w:r>
      <w:r w:rsidR="00832796">
        <w:rPr>
          <w:rFonts w:ascii="Arial" w:hAnsi="Arial" w:cs="Arial"/>
          <w:sz w:val="22"/>
          <w:szCs w:val="22"/>
        </w:rPr>
        <w:t xml:space="preserve"> is not clear when mitigation will be available to support those sites affected by nutrient neutrality in North Norfolk. </w:t>
      </w:r>
    </w:p>
    <w:p w14:paraId="30C49EF4" w14:textId="77777777" w:rsidR="00BD4738" w:rsidRDefault="00BD4738" w:rsidP="0032582C">
      <w:pPr>
        <w:spacing w:line="360" w:lineRule="auto"/>
        <w:rPr>
          <w:rFonts w:ascii="Arial" w:hAnsi="Arial" w:cs="Arial"/>
          <w:sz w:val="22"/>
          <w:szCs w:val="22"/>
        </w:rPr>
      </w:pPr>
    </w:p>
    <w:p w14:paraId="16F3F84F" w14:textId="77777777" w:rsidR="002D002B" w:rsidRDefault="002D002B" w:rsidP="0032582C">
      <w:pPr>
        <w:spacing w:line="360" w:lineRule="auto"/>
        <w:rPr>
          <w:rFonts w:ascii="Arial" w:hAnsi="Arial" w:cs="Arial"/>
          <w:sz w:val="22"/>
          <w:szCs w:val="22"/>
        </w:rPr>
      </w:pPr>
    </w:p>
    <w:p w14:paraId="44A2C098" w14:textId="77777777" w:rsidR="002D002B" w:rsidRDefault="002D002B" w:rsidP="0032582C">
      <w:pPr>
        <w:spacing w:line="360" w:lineRule="auto"/>
        <w:rPr>
          <w:rFonts w:ascii="Arial" w:hAnsi="Arial" w:cs="Arial"/>
          <w:sz w:val="22"/>
          <w:szCs w:val="22"/>
        </w:rPr>
      </w:pPr>
    </w:p>
    <w:p w14:paraId="0B137DC6" w14:textId="77777777" w:rsidR="002D002B" w:rsidRDefault="002D002B" w:rsidP="0032582C">
      <w:pPr>
        <w:spacing w:line="360" w:lineRule="auto"/>
        <w:rPr>
          <w:rFonts w:ascii="Arial" w:hAnsi="Arial" w:cs="Arial"/>
          <w:sz w:val="22"/>
          <w:szCs w:val="22"/>
        </w:rPr>
      </w:pPr>
    </w:p>
    <w:p w14:paraId="35C37CBC" w14:textId="5C3CC36D" w:rsidR="001A41E4" w:rsidRPr="001A41E4" w:rsidRDefault="001A41E4" w:rsidP="0032582C">
      <w:pPr>
        <w:spacing w:line="360" w:lineRule="auto"/>
        <w:rPr>
          <w:rFonts w:ascii="Arial" w:hAnsi="Arial" w:cs="Arial"/>
          <w:b/>
          <w:bCs/>
          <w:sz w:val="22"/>
          <w:szCs w:val="22"/>
          <w:u w:val="single"/>
        </w:rPr>
      </w:pPr>
      <w:r w:rsidRPr="001A41E4">
        <w:rPr>
          <w:rFonts w:ascii="Arial" w:hAnsi="Arial" w:cs="Arial"/>
          <w:b/>
          <w:bCs/>
          <w:sz w:val="22"/>
          <w:szCs w:val="22"/>
          <w:u w:val="single"/>
        </w:rPr>
        <w:lastRenderedPageBreak/>
        <w:t>Five Year Supply</w:t>
      </w:r>
    </w:p>
    <w:p w14:paraId="69CBEA2D" w14:textId="77777777" w:rsidR="001A41E4" w:rsidRDefault="001A41E4" w:rsidP="0032582C">
      <w:pPr>
        <w:spacing w:line="360" w:lineRule="auto"/>
        <w:rPr>
          <w:rFonts w:ascii="Arial" w:hAnsi="Arial" w:cs="Arial"/>
          <w:sz w:val="22"/>
          <w:szCs w:val="22"/>
        </w:rPr>
      </w:pPr>
    </w:p>
    <w:p w14:paraId="2794FEC5" w14:textId="0C99CD1D" w:rsidR="001A41E4" w:rsidRPr="0023717C" w:rsidRDefault="001A41E4" w:rsidP="0032582C">
      <w:pPr>
        <w:spacing w:line="360" w:lineRule="auto"/>
        <w:jc w:val="both"/>
        <w:rPr>
          <w:rFonts w:ascii="Arial" w:hAnsi="Arial" w:cs="Arial"/>
          <w:i/>
          <w:iCs/>
          <w:sz w:val="22"/>
          <w:szCs w:val="22"/>
          <w:u w:val="single"/>
        </w:rPr>
      </w:pPr>
      <w:r w:rsidRPr="0023717C">
        <w:rPr>
          <w:rFonts w:ascii="Arial" w:hAnsi="Arial" w:cs="Arial"/>
          <w:i/>
          <w:iCs/>
          <w:sz w:val="22"/>
          <w:szCs w:val="22"/>
          <w:u w:val="single"/>
        </w:rPr>
        <w:t xml:space="preserve">7.2 Does the plan provide for a five-year supply of deliverable housing sites on adoption (say April 2025 for this purpose) against the housing requirement if it is a) 480 dpa, b) 531 dpa or c) some other figure? Is an appropriate allowance made for windfall sites and the non-implementation of commitments, and if not, what should these be? Has the need to secure nutrient neutrality been sufficiently </w:t>
      </w:r>
      <w:r w:rsidR="007878B4" w:rsidRPr="0023717C">
        <w:rPr>
          <w:rFonts w:ascii="Arial" w:hAnsi="Arial" w:cs="Arial"/>
          <w:i/>
          <w:iCs/>
          <w:sz w:val="22"/>
          <w:szCs w:val="22"/>
          <w:u w:val="single"/>
        </w:rPr>
        <w:t>considered</w:t>
      </w:r>
      <w:r w:rsidRPr="0023717C">
        <w:rPr>
          <w:rFonts w:ascii="Arial" w:hAnsi="Arial" w:cs="Arial"/>
          <w:i/>
          <w:iCs/>
          <w:sz w:val="22"/>
          <w:szCs w:val="22"/>
          <w:u w:val="single"/>
        </w:rPr>
        <w:t>?</w:t>
      </w:r>
    </w:p>
    <w:p w14:paraId="5A61BA02" w14:textId="77777777" w:rsidR="00DF5DFF" w:rsidRDefault="00DF5DFF" w:rsidP="00DF5DFF">
      <w:pPr>
        <w:spacing w:line="360" w:lineRule="auto"/>
        <w:jc w:val="both"/>
        <w:rPr>
          <w:rFonts w:ascii="Arial" w:hAnsi="Arial" w:cs="Arial"/>
          <w:sz w:val="22"/>
          <w:szCs w:val="22"/>
        </w:rPr>
      </w:pPr>
    </w:p>
    <w:p w14:paraId="6DD9D9B0" w14:textId="33F78E72" w:rsidR="00DF5DFF" w:rsidRDefault="001B524F" w:rsidP="00DF5DFF">
      <w:pPr>
        <w:spacing w:line="360" w:lineRule="auto"/>
        <w:jc w:val="both"/>
        <w:rPr>
          <w:rFonts w:ascii="Arial" w:hAnsi="Arial" w:cs="Arial"/>
          <w:sz w:val="22"/>
          <w:szCs w:val="22"/>
        </w:rPr>
      </w:pPr>
      <w:r>
        <w:rPr>
          <w:rFonts w:ascii="Arial" w:hAnsi="Arial" w:cs="Arial"/>
          <w:sz w:val="22"/>
          <w:szCs w:val="22"/>
        </w:rPr>
        <w:t>Firstly</w:t>
      </w:r>
      <w:r w:rsidR="0002602E">
        <w:rPr>
          <w:rFonts w:ascii="Arial" w:hAnsi="Arial" w:cs="Arial"/>
          <w:sz w:val="22"/>
          <w:szCs w:val="22"/>
        </w:rPr>
        <w:t>, it is important to state that t</w:t>
      </w:r>
      <w:r w:rsidR="005046B4">
        <w:rPr>
          <w:rFonts w:ascii="Arial" w:hAnsi="Arial" w:cs="Arial"/>
          <w:sz w:val="22"/>
          <w:szCs w:val="22"/>
        </w:rPr>
        <w:t xml:space="preserve">he transitional arrangements </w:t>
      </w:r>
      <w:r w:rsidR="008F7FAE">
        <w:rPr>
          <w:rFonts w:ascii="Arial" w:hAnsi="Arial" w:cs="Arial"/>
          <w:sz w:val="22"/>
          <w:szCs w:val="22"/>
        </w:rPr>
        <w:t xml:space="preserve">in the </w:t>
      </w:r>
      <w:r w:rsidR="00EF4A5B">
        <w:rPr>
          <w:rFonts w:ascii="Arial" w:hAnsi="Arial" w:cs="Arial"/>
          <w:sz w:val="22"/>
          <w:szCs w:val="22"/>
        </w:rPr>
        <w:t xml:space="preserve">NPPF published in December 2023 </w:t>
      </w:r>
      <w:r w:rsidR="005046B4">
        <w:rPr>
          <w:rFonts w:ascii="Arial" w:hAnsi="Arial" w:cs="Arial"/>
          <w:sz w:val="22"/>
          <w:szCs w:val="22"/>
        </w:rPr>
        <w:t xml:space="preserve">mean that </w:t>
      </w:r>
      <w:r w:rsidR="00DF5DFF">
        <w:rPr>
          <w:rFonts w:ascii="Arial" w:hAnsi="Arial" w:cs="Arial"/>
          <w:sz w:val="22"/>
          <w:szCs w:val="22"/>
        </w:rPr>
        <w:t xml:space="preserve">this plan is </w:t>
      </w:r>
      <w:r w:rsidR="00EF4A5B">
        <w:rPr>
          <w:rFonts w:ascii="Arial" w:hAnsi="Arial" w:cs="Arial"/>
          <w:sz w:val="22"/>
          <w:szCs w:val="22"/>
        </w:rPr>
        <w:t>being examined on the basis of the September 2023 NPPF. However,</w:t>
      </w:r>
      <w:r w:rsidR="00DF5DFF">
        <w:rPr>
          <w:rFonts w:ascii="Arial" w:hAnsi="Arial" w:cs="Arial"/>
          <w:sz w:val="22"/>
          <w:szCs w:val="22"/>
        </w:rPr>
        <w:t xml:space="preserve"> it is important to reflect on the fact that </w:t>
      </w:r>
      <w:r w:rsidR="00ED7C40">
        <w:rPr>
          <w:rFonts w:ascii="Arial" w:hAnsi="Arial" w:cs="Arial"/>
          <w:sz w:val="22"/>
          <w:szCs w:val="22"/>
        </w:rPr>
        <w:t xml:space="preserve">considerations around </w:t>
      </w:r>
      <w:r w:rsidR="00BC4313">
        <w:rPr>
          <w:rFonts w:ascii="Arial" w:hAnsi="Arial" w:cs="Arial"/>
          <w:sz w:val="22"/>
          <w:szCs w:val="22"/>
        </w:rPr>
        <w:t xml:space="preserve">land </w:t>
      </w:r>
      <w:r w:rsidR="00ED7C40">
        <w:rPr>
          <w:rFonts w:ascii="Arial" w:hAnsi="Arial" w:cs="Arial"/>
          <w:sz w:val="22"/>
          <w:szCs w:val="22"/>
        </w:rPr>
        <w:t xml:space="preserve">supply </w:t>
      </w:r>
      <w:r w:rsidR="00BC4313">
        <w:rPr>
          <w:rFonts w:ascii="Arial" w:hAnsi="Arial" w:cs="Arial"/>
          <w:sz w:val="22"/>
          <w:szCs w:val="22"/>
        </w:rPr>
        <w:t>following the local plan’s adoption will</w:t>
      </w:r>
      <w:r w:rsidR="00ED7C40">
        <w:rPr>
          <w:rFonts w:ascii="Arial" w:hAnsi="Arial" w:cs="Arial"/>
          <w:sz w:val="22"/>
          <w:szCs w:val="22"/>
        </w:rPr>
        <w:t xml:space="preserve"> be made on the basis of </w:t>
      </w:r>
      <w:r w:rsidR="00BC4313">
        <w:rPr>
          <w:rFonts w:ascii="Arial" w:hAnsi="Arial" w:cs="Arial"/>
          <w:sz w:val="22"/>
          <w:szCs w:val="22"/>
        </w:rPr>
        <w:t>the December 2023 NPPF</w:t>
      </w:r>
      <w:r w:rsidR="0050646B">
        <w:rPr>
          <w:rFonts w:ascii="Arial" w:hAnsi="Arial" w:cs="Arial"/>
          <w:sz w:val="22"/>
          <w:szCs w:val="22"/>
        </w:rPr>
        <w:t>.</w:t>
      </w:r>
      <w:r w:rsidR="00C31809">
        <w:rPr>
          <w:rFonts w:ascii="Arial" w:hAnsi="Arial" w:cs="Arial"/>
          <w:sz w:val="22"/>
          <w:szCs w:val="22"/>
        </w:rPr>
        <w:t xml:space="preserve"> A key change </w:t>
      </w:r>
      <w:r w:rsidR="0050319C">
        <w:rPr>
          <w:rFonts w:ascii="Arial" w:hAnsi="Arial" w:cs="Arial"/>
          <w:sz w:val="22"/>
          <w:szCs w:val="22"/>
        </w:rPr>
        <w:t xml:space="preserve">in the </w:t>
      </w:r>
      <w:r w:rsidR="00BC4313">
        <w:rPr>
          <w:rFonts w:ascii="Arial" w:hAnsi="Arial" w:cs="Arial"/>
          <w:sz w:val="22"/>
          <w:szCs w:val="22"/>
        </w:rPr>
        <w:t xml:space="preserve">latest version of the </w:t>
      </w:r>
      <w:r w:rsidR="0050319C">
        <w:rPr>
          <w:rFonts w:ascii="Arial" w:hAnsi="Arial" w:cs="Arial"/>
          <w:sz w:val="22"/>
          <w:szCs w:val="22"/>
        </w:rPr>
        <w:t xml:space="preserve">NPPF is </w:t>
      </w:r>
      <w:r w:rsidR="00E843F4">
        <w:rPr>
          <w:rFonts w:ascii="Arial" w:hAnsi="Arial" w:cs="Arial"/>
          <w:sz w:val="22"/>
          <w:szCs w:val="22"/>
        </w:rPr>
        <w:t xml:space="preserve">that LPAs with an </w:t>
      </w:r>
      <w:r w:rsidR="0004756D">
        <w:rPr>
          <w:rFonts w:ascii="Arial" w:hAnsi="Arial" w:cs="Arial"/>
          <w:sz w:val="22"/>
          <w:szCs w:val="22"/>
        </w:rPr>
        <w:t>up-to-date</w:t>
      </w:r>
      <w:r w:rsidR="00E843F4">
        <w:rPr>
          <w:rFonts w:ascii="Arial" w:hAnsi="Arial" w:cs="Arial"/>
          <w:sz w:val="22"/>
          <w:szCs w:val="22"/>
        </w:rPr>
        <w:t xml:space="preserve"> local plan </w:t>
      </w:r>
      <w:r w:rsidR="00270240">
        <w:rPr>
          <w:rFonts w:ascii="Arial" w:hAnsi="Arial" w:cs="Arial"/>
          <w:sz w:val="22"/>
          <w:szCs w:val="22"/>
        </w:rPr>
        <w:t xml:space="preserve">that has been assessed as having a </w:t>
      </w:r>
      <w:r w:rsidR="005046B4">
        <w:rPr>
          <w:rFonts w:ascii="Arial" w:hAnsi="Arial" w:cs="Arial"/>
          <w:sz w:val="22"/>
          <w:szCs w:val="22"/>
        </w:rPr>
        <w:t>five-year</w:t>
      </w:r>
      <w:r w:rsidR="00270240">
        <w:rPr>
          <w:rFonts w:ascii="Arial" w:hAnsi="Arial" w:cs="Arial"/>
          <w:sz w:val="22"/>
          <w:szCs w:val="22"/>
        </w:rPr>
        <w:t xml:space="preserve"> land supply on adoption will</w:t>
      </w:r>
      <w:r w:rsidR="00371019">
        <w:rPr>
          <w:rFonts w:ascii="Arial" w:hAnsi="Arial" w:cs="Arial"/>
          <w:sz w:val="22"/>
          <w:szCs w:val="22"/>
        </w:rPr>
        <w:t>, for the first five years</w:t>
      </w:r>
      <w:r>
        <w:rPr>
          <w:rFonts w:ascii="Arial" w:hAnsi="Arial" w:cs="Arial"/>
          <w:sz w:val="22"/>
          <w:szCs w:val="22"/>
        </w:rPr>
        <w:t xml:space="preserve">, </w:t>
      </w:r>
      <w:r w:rsidR="00D0329C">
        <w:rPr>
          <w:rFonts w:ascii="Arial" w:hAnsi="Arial" w:cs="Arial"/>
          <w:sz w:val="22"/>
          <w:szCs w:val="22"/>
        </w:rPr>
        <w:t>not</w:t>
      </w:r>
      <w:r>
        <w:rPr>
          <w:rFonts w:ascii="Arial" w:hAnsi="Arial" w:cs="Arial"/>
          <w:sz w:val="22"/>
          <w:szCs w:val="22"/>
        </w:rPr>
        <w:t xml:space="preserve"> be</w:t>
      </w:r>
      <w:r w:rsidR="00371019">
        <w:rPr>
          <w:rFonts w:ascii="Arial" w:hAnsi="Arial" w:cs="Arial"/>
          <w:sz w:val="22"/>
          <w:szCs w:val="22"/>
        </w:rPr>
        <w:t xml:space="preserve"> required to </w:t>
      </w:r>
      <w:r w:rsidR="007922F6">
        <w:rPr>
          <w:rFonts w:ascii="Arial" w:hAnsi="Arial" w:cs="Arial"/>
          <w:sz w:val="22"/>
          <w:szCs w:val="22"/>
        </w:rPr>
        <w:t xml:space="preserve">identify and </w:t>
      </w:r>
      <w:r w:rsidR="00BB012C">
        <w:rPr>
          <w:rFonts w:ascii="Arial" w:hAnsi="Arial" w:cs="Arial"/>
          <w:sz w:val="22"/>
          <w:szCs w:val="22"/>
        </w:rPr>
        <w:t xml:space="preserve">update annually a supply of specific deliverable sites sufficient to provide a minimum </w:t>
      </w:r>
      <w:r w:rsidR="00794A08">
        <w:rPr>
          <w:rFonts w:ascii="Arial" w:hAnsi="Arial" w:cs="Arial"/>
          <w:sz w:val="22"/>
          <w:szCs w:val="22"/>
        </w:rPr>
        <w:t xml:space="preserve">of five years’ worth of </w:t>
      </w:r>
      <w:r>
        <w:rPr>
          <w:rFonts w:ascii="Arial" w:hAnsi="Arial" w:cs="Arial"/>
          <w:sz w:val="22"/>
          <w:szCs w:val="22"/>
        </w:rPr>
        <w:t xml:space="preserve">housing </w:t>
      </w:r>
      <w:r w:rsidR="00794A08">
        <w:rPr>
          <w:rFonts w:ascii="Arial" w:hAnsi="Arial" w:cs="Arial"/>
          <w:sz w:val="22"/>
          <w:szCs w:val="22"/>
        </w:rPr>
        <w:t>supply.</w:t>
      </w:r>
      <w:r w:rsidR="00371019">
        <w:rPr>
          <w:rFonts w:ascii="Arial" w:hAnsi="Arial" w:cs="Arial"/>
          <w:sz w:val="22"/>
          <w:szCs w:val="22"/>
        </w:rPr>
        <w:t xml:space="preserve"> </w:t>
      </w:r>
      <w:r w:rsidR="000858B1">
        <w:rPr>
          <w:rFonts w:ascii="Arial" w:hAnsi="Arial" w:cs="Arial"/>
          <w:sz w:val="22"/>
          <w:szCs w:val="22"/>
        </w:rPr>
        <w:t xml:space="preserve">This significant change in policy means that </w:t>
      </w:r>
      <w:r w:rsidR="00FB5287">
        <w:rPr>
          <w:rFonts w:ascii="Arial" w:hAnsi="Arial" w:cs="Arial"/>
          <w:sz w:val="22"/>
          <w:szCs w:val="22"/>
        </w:rPr>
        <w:t xml:space="preserve">the </w:t>
      </w:r>
      <w:r w:rsidR="00EC35FC">
        <w:rPr>
          <w:rFonts w:ascii="Arial" w:hAnsi="Arial" w:cs="Arial"/>
          <w:sz w:val="22"/>
          <w:szCs w:val="22"/>
        </w:rPr>
        <w:t xml:space="preserve">consideration of land supply in the first </w:t>
      </w:r>
      <w:r w:rsidR="007904A1">
        <w:rPr>
          <w:rFonts w:ascii="Arial" w:hAnsi="Arial" w:cs="Arial"/>
          <w:sz w:val="22"/>
          <w:szCs w:val="22"/>
        </w:rPr>
        <w:t>five</w:t>
      </w:r>
      <w:r w:rsidR="00EC35FC">
        <w:rPr>
          <w:rFonts w:ascii="Arial" w:hAnsi="Arial" w:cs="Arial"/>
          <w:sz w:val="22"/>
          <w:szCs w:val="22"/>
        </w:rPr>
        <w:t xml:space="preserve"> </w:t>
      </w:r>
      <w:r w:rsidR="007904A1">
        <w:rPr>
          <w:rFonts w:ascii="Arial" w:hAnsi="Arial" w:cs="Arial"/>
          <w:sz w:val="22"/>
          <w:szCs w:val="22"/>
        </w:rPr>
        <w:t>years</w:t>
      </w:r>
      <w:r w:rsidR="00EC35FC">
        <w:rPr>
          <w:rFonts w:ascii="Arial" w:hAnsi="Arial" w:cs="Arial"/>
          <w:sz w:val="22"/>
          <w:szCs w:val="22"/>
        </w:rPr>
        <w:t xml:space="preserve"> of this plan are </w:t>
      </w:r>
      <w:r w:rsidR="007904A1">
        <w:rPr>
          <w:rFonts w:ascii="Arial" w:hAnsi="Arial" w:cs="Arial"/>
          <w:sz w:val="22"/>
          <w:szCs w:val="22"/>
        </w:rPr>
        <w:t xml:space="preserve">more critical as </w:t>
      </w:r>
      <w:r w:rsidR="00AA1157">
        <w:rPr>
          <w:rFonts w:ascii="Arial" w:hAnsi="Arial" w:cs="Arial"/>
          <w:sz w:val="22"/>
          <w:szCs w:val="22"/>
        </w:rPr>
        <w:t xml:space="preserve">should supply not come forward as </w:t>
      </w:r>
      <w:r>
        <w:rPr>
          <w:rFonts w:ascii="Arial" w:hAnsi="Arial" w:cs="Arial"/>
          <w:sz w:val="22"/>
          <w:szCs w:val="22"/>
        </w:rPr>
        <w:t>is being proposed at examination</w:t>
      </w:r>
      <w:r w:rsidR="00AA1157">
        <w:rPr>
          <w:rFonts w:ascii="Arial" w:hAnsi="Arial" w:cs="Arial"/>
          <w:sz w:val="22"/>
          <w:szCs w:val="22"/>
        </w:rPr>
        <w:t xml:space="preserve"> there is no</w:t>
      </w:r>
      <w:r w:rsidR="00CA7008">
        <w:rPr>
          <w:rFonts w:ascii="Arial" w:hAnsi="Arial" w:cs="Arial"/>
          <w:sz w:val="22"/>
          <w:szCs w:val="22"/>
        </w:rPr>
        <w:t xml:space="preserve"> </w:t>
      </w:r>
      <w:r>
        <w:rPr>
          <w:rFonts w:ascii="Arial" w:hAnsi="Arial" w:cs="Arial"/>
          <w:sz w:val="22"/>
          <w:szCs w:val="22"/>
        </w:rPr>
        <w:t xml:space="preserve">longer a </w:t>
      </w:r>
      <w:r w:rsidR="00CA7008">
        <w:rPr>
          <w:rFonts w:ascii="Arial" w:hAnsi="Arial" w:cs="Arial"/>
          <w:sz w:val="22"/>
          <w:szCs w:val="22"/>
        </w:rPr>
        <w:t xml:space="preserve">requirment to </w:t>
      </w:r>
      <w:r w:rsidR="003621D6">
        <w:rPr>
          <w:rFonts w:ascii="Arial" w:hAnsi="Arial" w:cs="Arial"/>
          <w:sz w:val="22"/>
          <w:szCs w:val="22"/>
        </w:rPr>
        <w:t>bring forward additional sites to address any shortfalls.</w:t>
      </w:r>
    </w:p>
    <w:p w14:paraId="443BAC23" w14:textId="77777777" w:rsidR="001A41E4" w:rsidRDefault="001A41E4" w:rsidP="0032582C">
      <w:pPr>
        <w:spacing w:line="360" w:lineRule="auto"/>
        <w:jc w:val="both"/>
        <w:rPr>
          <w:rFonts w:ascii="Arial" w:hAnsi="Arial" w:cs="Arial"/>
          <w:sz w:val="22"/>
          <w:szCs w:val="22"/>
        </w:rPr>
      </w:pPr>
    </w:p>
    <w:p w14:paraId="364D0D84" w14:textId="75923B32" w:rsidR="00C04DDE" w:rsidRDefault="0002602E" w:rsidP="0032582C">
      <w:pPr>
        <w:spacing w:line="360" w:lineRule="auto"/>
        <w:jc w:val="both"/>
        <w:rPr>
          <w:rFonts w:ascii="Arial" w:hAnsi="Arial" w:cs="Arial"/>
          <w:sz w:val="22"/>
          <w:szCs w:val="22"/>
        </w:rPr>
      </w:pPr>
      <w:r>
        <w:rPr>
          <w:rFonts w:ascii="Arial" w:hAnsi="Arial" w:cs="Arial"/>
          <w:sz w:val="22"/>
          <w:szCs w:val="22"/>
        </w:rPr>
        <w:t>Secondly, t</w:t>
      </w:r>
      <w:r w:rsidR="0012584F" w:rsidRPr="0012584F">
        <w:rPr>
          <w:rFonts w:ascii="Arial" w:hAnsi="Arial" w:cs="Arial"/>
          <w:sz w:val="22"/>
          <w:szCs w:val="22"/>
        </w:rPr>
        <w:t xml:space="preserve">he Council will need to clarify its position with regard to </w:t>
      </w:r>
      <w:r w:rsidR="001C4EBC">
        <w:rPr>
          <w:rFonts w:ascii="Arial" w:hAnsi="Arial" w:cs="Arial"/>
          <w:sz w:val="22"/>
          <w:szCs w:val="22"/>
        </w:rPr>
        <w:t>the</w:t>
      </w:r>
      <w:r w:rsidR="0012584F" w:rsidRPr="0012584F">
        <w:rPr>
          <w:rFonts w:ascii="Arial" w:hAnsi="Arial" w:cs="Arial"/>
          <w:sz w:val="22"/>
          <w:szCs w:val="22"/>
        </w:rPr>
        <w:t xml:space="preserve"> housing requirment</w:t>
      </w:r>
      <w:r w:rsidR="001C4EBC">
        <w:rPr>
          <w:rFonts w:ascii="Arial" w:hAnsi="Arial" w:cs="Arial"/>
          <w:sz w:val="22"/>
          <w:szCs w:val="22"/>
        </w:rPr>
        <w:t>. T</w:t>
      </w:r>
      <w:r w:rsidR="00A110E4">
        <w:rPr>
          <w:rFonts w:ascii="Arial" w:hAnsi="Arial" w:cs="Arial"/>
          <w:sz w:val="22"/>
          <w:szCs w:val="22"/>
        </w:rPr>
        <w:t>he Council</w:t>
      </w:r>
      <w:r w:rsidR="0012584F" w:rsidRPr="0012584F">
        <w:rPr>
          <w:rFonts w:ascii="Arial" w:hAnsi="Arial" w:cs="Arial"/>
          <w:sz w:val="22"/>
          <w:szCs w:val="22"/>
        </w:rPr>
        <w:t xml:space="preserve"> state</w:t>
      </w:r>
      <w:r w:rsidR="00F026FF">
        <w:rPr>
          <w:rFonts w:ascii="Arial" w:hAnsi="Arial" w:cs="Arial"/>
          <w:sz w:val="22"/>
          <w:szCs w:val="22"/>
        </w:rPr>
        <w:t xml:space="preserve"> in </w:t>
      </w:r>
      <w:r w:rsidR="006C0ED8">
        <w:rPr>
          <w:rFonts w:ascii="Arial" w:hAnsi="Arial" w:cs="Arial"/>
          <w:sz w:val="22"/>
          <w:szCs w:val="22"/>
        </w:rPr>
        <w:t xml:space="preserve">paragraph 3.4 of </w:t>
      </w:r>
      <w:r w:rsidR="007729DC">
        <w:rPr>
          <w:rFonts w:ascii="Arial" w:hAnsi="Arial" w:cs="Arial"/>
          <w:sz w:val="22"/>
          <w:szCs w:val="22"/>
        </w:rPr>
        <w:t>B</w:t>
      </w:r>
      <w:r w:rsidR="006C0ED8">
        <w:rPr>
          <w:rFonts w:ascii="Arial" w:hAnsi="Arial" w:cs="Arial"/>
          <w:sz w:val="22"/>
          <w:szCs w:val="22"/>
        </w:rPr>
        <w:t xml:space="preserve">ackground </w:t>
      </w:r>
      <w:r w:rsidR="007729DC">
        <w:rPr>
          <w:rFonts w:ascii="Arial" w:hAnsi="Arial" w:cs="Arial"/>
          <w:sz w:val="22"/>
          <w:szCs w:val="22"/>
        </w:rPr>
        <w:t>P</w:t>
      </w:r>
      <w:r w:rsidR="006C0ED8">
        <w:rPr>
          <w:rFonts w:ascii="Arial" w:hAnsi="Arial" w:cs="Arial"/>
          <w:sz w:val="22"/>
          <w:szCs w:val="22"/>
        </w:rPr>
        <w:t>aper 1</w:t>
      </w:r>
      <w:r w:rsidR="0012584F" w:rsidRPr="0012584F">
        <w:rPr>
          <w:rFonts w:ascii="Arial" w:hAnsi="Arial" w:cs="Arial"/>
          <w:sz w:val="22"/>
          <w:szCs w:val="22"/>
        </w:rPr>
        <w:t xml:space="preserve"> that the 480 dpa figures is the council’s needs assessment</w:t>
      </w:r>
      <w:r w:rsidR="004B203E">
        <w:rPr>
          <w:rFonts w:ascii="Arial" w:hAnsi="Arial" w:cs="Arial"/>
          <w:sz w:val="22"/>
          <w:szCs w:val="22"/>
        </w:rPr>
        <w:t xml:space="preserve"> of 456 dpa</w:t>
      </w:r>
      <w:r w:rsidR="0012584F" w:rsidRPr="0012584F">
        <w:rPr>
          <w:rFonts w:ascii="Arial" w:hAnsi="Arial" w:cs="Arial"/>
          <w:sz w:val="22"/>
          <w:szCs w:val="22"/>
        </w:rPr>
        <w:t xml:space="preserve"> plus 5% to take account of the </w:t>
      </w:r>
      <w:r w:rsidR="00D96E63">
        <w:rPr>
          <w:rFonts w:ascii="Arial" w:hAnsi="Arial" w:cs="Arial"/>
          <w:sz w:val="22"/>
          <w:szCs w:val="22"/>
        </w:rPr>
        <w:t>delivery buffer required by the NPPF</w:t>
      </w:r>
      <w:r w:rsidR="00E25980">
        <w:rPr>
          <w:rFonts w:ascii="Arial" w:hAnsi="Arial" w:cs="Arial"/>
          <w:sz w:val="22"/>
          <w:szCs w:val="22"/>
        </w:rPr>
        <w:t xml:space="preserve">. </w:t>
      </w:r>
      <w:r w:rsidR="00C02A39">
        <w:rPr>
          <w:rFonts w:ascii="Arial" w:hAnsi="Arial" w:cs="Arial"/>
          <w:sz w:val="22"/>
          <w:szCs w:val="22"/>
        </w:rPr>
        <w:t>Firstly,</w:t>
      </w:r>
      <w:r w:rsidR="00035EC5">
        <w:rPr>
          <w:rFonts w:ascii="Arial" w:hAnsi="Arial" w:cs="Arial"/>
          <w:sz w:val="22"/>
          <w:szCs w:val="22"/>
        </w:rPr>
        <w:t xml:space="preserve"> this is a buffer</w:t>
      </w:r>
      <w:r w:rsidR="00C02A39">
        <w:rPr>
          <w:rFonts w:ascii="Arial" w:hAnsi="Arial" w:cs="Arial"/>
          <w:sz w:val="22"/>
          <w:szCs w:val="22"/>
        </w:rPr>
        <w:t xml:space="preserve"> </w:t>
      </w:r>
      <w:r w:rsidR="00035EC5">
        <w:rPr>
          <w:rFonts w:ascii="Arial" w:hAnsi="Arial" w:cs="Arial"/>
          <w:sz w:val="22"/>
          <w:szCs w:val="22"/>
        </w:rPr>
        <w:t xml:space="preserve">in supply and as such </w:t>
      </w:r>
      <w:r w:rsidR="0092502E">
        <w:rPr>
          <w:rFonts w:ascii="Arial" w:hAnsi="Arial" w:cs="Arial"/>
          <w:sz w:val="22"/>
          <w:szCs w:val="22"/>
        </w:rPr>
        <w:t xml:space="preserve">does not usually form part of the housing requirement given that </w:t>
      </w:r>
      <w:r w:rsidR="009B6498">
        <w:rPr>
          <w:rFonts w:ascii="Arial" w:hAnsi="Arial" w:cs="Arial"/>
          <w:sz w:val="22"/>
          <w:szCs w:val="22"/>
        </w:rPr>
        <w:t xml:space="preserve">this </w:t>
      </w:r>
      <w:r w:rsidR="00446DDD">
        <w:rPr>
          <w:rFonts w:ascii="Arial" w:hAnsi="Arial" w:cs="Arial"/>
          <w:sz w:val="22"/>
          <w:szCs w:val="22"/>
        </w:rPr>
        <w:t xml:space="preserve">is a variable buffer increasing to 20% should the council fail the HDT. </w:t>
      </w:r>
      <w:r w:rsidR="00CF6020">
        <w:rPr>
          <w:rFonts w:ascii="Arial" w:hAnsi="Arial" w:cs="Arial"/>
          <w:sz w:val="22"/>
          <w:szCs w:val="22"/>
        </w:rPr>
        <w:t>The inclusion of a 5% buffer as part of the requirment to ensure flexibility in supply is not unsound but g</w:t>
      </w:r>
      <w:r w:rsidR="006A377C">
        <w:rPr>
          <w:rFonts w:ascii="Arial" w:hAnsi="Arial" w:cs="Arial"/>
          <w:sz w:val="22"/>
          <w:szCs w:val="22"/>
        </w:rPr>
        <w:t xml:space="preserve">iven </w:t>
      </w:r>
      <w:r w:rsidR="00DB4779">
        <w:rPr>
          <w:rFonts w:ascii="Arial" w:hAnsi="Arial" w:cs="Arial"/>
          <w:sz w:val="22"/>
          <w:szCs w:val="22"/>
        </w:rPr>
        <w:t xml:space="preserve">that the </w:t>
      </w:r>
      <w:r w:rsidR="005833A0">
        <w:rPr>
          <w:rFonts w:ascii="Arial" w:hAnsi="Arial" w:cs="Arial"/>
          <w:sz w:val="22"/>
          <w:szCs w:val="22"/>
        </w:rPr>
        <w:t xml:space="preserve">buffer is not fixed </w:t>
      </w:r>
      <w:r w:rsidR="001F00BE">
        <w:rPr>
          <w:rFonts w:ascii="Arial" w:hAnsi="Arial" w:cs="Arial"/>
          <w:sz w:val="22"/>
          <w:szCs w:val="22"/>
        </w:rPr>
        <w:t xml:space="preserve">the Council will need to </w:t>
      </w:r>
      <w:r w:rsidR="00CF6020">
        <w:rPr>
          <w:rFonts w:ascii="Arial" w:hAnsi="Arial" w:cs="Arial"/>
          <w:sz w:val="22"/>
          <w:szCs w:val="22"/>
        </w:rPr>
        <w:t xml:space="preserve">provide clarity </w:t>
      </w:r>
      <w:r w:rsidR="005833A0">
        <w:rPr>
          <w:rFonts w:ascii="Arial" w:hAnsi="Arial" w:cs="Arial"/>
          <w:sz w:val="22"/>
          <w:szCs w:val="22"/>
        </w:rPr>
        <w:t xml:space="preserve">at the hearings </w:t>
      </w:r>
      <w:r w:rsidR="00CF6020">
        <w:rPr>
          <w:rFonts w:ascii="Arial" w:hAnsi="Arial" w:cs="Arial"/>
          <w:sz w:val="22"/>
          <w:szCs w:val="22"/>
        </w:rPr>
        <w:t xml:space="preserve">with regard to its position. </w:t>
      </w:r>
    </w:p>
    <w:p w14:paraId="0A12011E" w14:textId="77777777" w:rsidR="00A61912" w:rsidRDefault="00A61912" w:rsidP="00A61912">
      <w:pPr>
        <w:spacing w:line="360" w:lineRule="auto"/>
        <w:jc w:val="both"/>
        <w:rPr>
          <w:rFonts w:ascii="Arial" w:hAnsi="Arial" w:cs="Arial"/>
          <w:sz w:val="22"/>
          <w:szCs w:val="22"/>
        </w:rPr>
      </w:pPr>
    </w:p>
    <w:p w14:paraId="5F0575E4" w14:textId="471CD53D" w:rsidR="00A61912" w:rsidRDefault="00A051C4" w:rsidP="00A61912">
      <w:pPr>
        <w:spacing w:line="360" w:lineRule="auto"/>
        <w:jc w:val="both"/>
        <w:rPr>
          <w:rFonts w:ascii="Arial" w:hAnsi="Arial" w:cs="Arial"/>
          <w:sz w:val="22"/>
          <w:szCs w:val="22"/>
        </w:rPr>
      </w:pPr>
      <w:r>
        <w:rPr>
          <w:rFonts w:ascii="Arial" w:hAnsi="Arial" w:cs="Arial"/>
          <w:sz w:val="22"/>
          <w:szCs w:val="22"/>
        </w:rPr>
        <w:t>The tables below are b</w:t>
      </w:r>
      <w:r w:rsidR="00A61912">
        <w:rPr>
          <w:rFonts w:ascii="Arial" w:hAnsi="Arial" w:cs="Arial"/>
          <w:sz w:val="22"/>
          <w:szCs w:val="22"/>
        </w:rPr>
        <w:t>ased on the Council’s delivery assumptions in ex006</w:t>
      </w:r>
      <w:r w:rsidR="006C1ADB">
        <w:rPr>
          <w:rFonts w:ascii="Arial" w:hAnsi="Arial" w:cs="Arial"/>
          <w:sz w:val="22"/>
          <w:szCs w:val="22"/>
        </w:rPr>
        <w:t xml:space="preserve"> and consider </w:t>
      </w:r>
      <w:r w:rsidR="004166CE">
        <w:rPr>
          <w:rFonts w:ascii="Arial" w:hAnsi="Arial" w:cs="Arial"/>
          <w:sz w:val="22"/>
          <w:szCs w:val="22"/>
        </w:rPr>
        <w:t xml:space="preserve">the various housing requirements being proposed and with the </w:t>
      </w:r>
      <w:r w:rsidR="00E86456">
        <w:rPr>
          <w:rFonts w:ascii="Arial" w:hAnsi="Arial" w:cs="Arial"/>
          <w:sz w:val="22"/>
          <w:szCs w:val="22"/>
        </w:rPr>
        <w:t>5% buffer required by paragraph 74 of the NPPF</w:t>
      </w:r>
      <w:r w:rsidR="004166CE">
        <w:rPr>
          <w:rFonts w:ascii="Arial" w:hAnsi="Arial" w:cs="Arial"/>
          <w:sz w:val="22"/>
          <w:szCs w:val="22"/>
        </w:rPr>
        <w:t>.</w:t>
      </w:r>
      <w:r w:rsidR="00075FB6">
        <w:rPr>
          <w:rFonts w:ascii="Arial" w:hAnsi="Arial" w:cs="Arial"/>
          <w:sz w:val="22"/>
          <w:szCs w:val="22"/>
        </w:rPr>
        <w:t xml:space="preserve"> </w:t>
      </w:r>
      <w:r w:rsidR="007926D2">
        <w:rPr>
          <w:rFonts w:ascii="Arial" w:hAnsi="Arial" w:cs="Arial"/>
          <w:sz w:val="22"/>
          <w:szCs w:val="22"/>
        </w:rPr>
        <w:t xml:space="preserve">Whilst the 480 dpa includes a 5% buffer we have included it </w:t>
      </w:r>
      <w:r w:rsidR="00A21D0E">
        <w:rPr>
          <w:rFonts w:ascii="Arial" w:hAnsi="Arial" w:cs="Arial"/>
          <w:sz w:val="22"/>
          <w:szCs w:val="22"/>
        </w:rPr>
        <w:t xml:space="preserve">in </w:t>
      </w:r>
      <w:r w:rsidR="00F94820">
        <w:rPr>
          <w:rFonts w:ascii="Arial" w:hAnsi="Arial" w:cs="Arial"/>
          <w:sz w:val="22"/>
          <w:szCs w:val="22"/>
        </w:rPr>
        <w:t xml:space="preserve">the </w:t>
      </w:r>
      <w:r w:rsidR="006E76EC">
        <w:rPr>
          <w:rFonts w:ascii="Arial" w:hAnsi="Arial" w:cs="Arial"/>
          <w:sz w:val="22"/>
          <w:szCs w:val="22"/>
        </w:rPr>
        <w:t xml:space="preserve">assessment as this </w:t>
      </w:r>
      <w:r w:rsidR="00F94820">
        <w:rPr>
          <w:rFonts w:ascii="Arial" w:hAnsi="Arial" w:cs="Arial"/>
          <w:sz w:val="22"/>
          <w:szCs w:val="22"/>
        </w:rPr>
        <w:t>is</w:t>
      </w:r>
      <w:r w:rsidR="006E76EC">
        <w:rPr>
          <w:rFonts w:ascii="Arial" w:hAnsi="Arial" w:cs="Arial"/>
          <w:sz w:val="22"/>
          <w:szCs w:val="22"/>
        </w:rPr>
        <w:t xml:space="preserve"> the stated housing requirment</w:t>
      </w:r>
      <w:r w:rsidR="00322C4A">
        <w:rPr>
          <w:rFonts w:ascii="Arial" w:hAnsi="Arial" w:cs="Arial"/>
          <w:sz w:val="22"/>
          <w:szCs w:val="22"/>
        </w:rPr>
        <w:t xml:space="preserve">. </w:t>
      </w:r>
    </w:p>
    <w:p w14:paraId="5C73B18D" w14:textId="77777777" w:rsidR="0077287B" w:rsidRDefault="0077287B" w:rsidP="0032582C">
      <w:pPr>
        <w:spacing w:line="360" w:lineRule="auto"/>
        <w:jc w:val="both"/>
        <w:rPr>
          <w:rFonts w:ascii="Arial" w:hAnsi="Arial" w:cs="Arial"/>
          <w:i/>
          <w:iCs/>
          <w:sz w:val="22"/>
          <w:szCs w:val="22"/>
        </w:rPr>
      </w:pPr>
      <w:bookmarkStart w:id="0" w:name="_Hlk153956582"/>
    </w:p>
    <w:p w14:paraId="4C71FD0B" w14:textId="2C1FD679" w:rsidR="00732B04" w:rsidRPr="006E76EC" w:rsidRDefault="003C5911" w:rsidP="0077287B">
      <w:pPr>
        <w:jc w:val="both"/>
        <w:rPr>
          <w:rFonts w:ascii="Arial" w:hAnsi="Arial" w:cs="Arial"/>
          <w:i/>
          <w:iCs/>
          <w:sz w:val="22"/>
          <w:szCs w:val="22"/>
        </w:rPr>
      </w:pPr>
      <w:r>
        <w:rPr>
          <w:rFonts w:ascii="Arial" w:hAnsi="Arial" w:cs="Arial"/>
          <w:i/>
          <w:iCs/>
          <w:sz w:val="22"/>
          <w:szCs w:val="22"/>
        </w:rPr>
        <w:lastRenderedPageBreak/>
        <w:t xml:space="preserve">Table 1: </w:t>
      </w:r>
      <w:r w:rsidR="009F322F" w:rsidRPr="006E76EC">
        <w:rPr>
          <w:rFonts w:ascii="Arial" w:hAnsi="Arial" w:cs="Arial"/>
          <w:i/>
          <w:iCs/>
          <w:sz w:val="22"/>
          <w:szCs w:val="22"/>
        </w:rPr>
        <w:t>5-year</w:t>
      </w:r>
      <w:r w:rsidR="00732B04" w:rsidRPr="006E76EC">
        <w:rPr>
          <w:rFonts w:ascii="Arial" w:hAnsi="Arial" w:cs="Arial"/>
          <w:i/>
          <w:iCs/>
          <w:sz w:val="22"/>
          <w:szCs w:val="22"/>
        </w:rPr>
        <w:t xml:space="preserve"> land supply including </w:t>
      </w:r>
      <w:r w:rsidR="009F322F" w:rsidRPr="006E76EC">
        <w:rPr>
          <w:rFonts w:ascii="Arial" w:hAnsi="Arial" w:cs="Arial"/>
          <w:i/>
          <w:iCs/>
          <w:sz w:val="22"/>
          <w:szCs w:val="22"/>
        </w:rPr>
        <w:t>5% buffer</w:t>
      </w:r>
      <w:r w:rsidR="00F73BB3" w:rsidRPr="006E76EC">
        <w:rPr>
          <w:rFonts w:ascii="Arial" w:hAnsi="Arial" w:cs="Arial"/>
          <w:i/>
          <w:iCs/>
          <w:sz w:val="22"/>
          <w:szCs w:val="22"/>
        </w:rPr>
        <w:t xml:space="preserve"> – </w:t>
      </w:r>
      <w:r w:rsidR="007F5C0B">
        <w:rPr>
          <w:rFonts w:ascii="Arial" w:hAnsi="Arial" w:cs="Arial"/>
          <w:i/>
          <w:iCs/>
          <w:sz w:val="22"/>
          <w:szCs w:val="22"/>
        </w:rPr>
        <w:t>20</w:t>
      </w:r>
      <w:r w:rsidR="00F73BB3" w:rsidRPr="006E76EC">
        <w:rPr>
          <w:rFonts w:ascii="Arial" w:hAnsi="Arial" w:cs="Arial"/>
          <w:i/>
          <w:iCs/>
          <w:sz w:val="22"/>
          <w:szCs w:val="22"/>
        </w:rPr>
        <w:t>23/24</w:t>
      </w:r>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6"/>
        <w:gridCol w:w="1394"/>
        <w:gridCol w:w="1392"/>
        <w:gridCol w:w="1392"/>
        <w:gridCol w:w="1392"/>
      </w:tblGrid>
      <w:tr w:rsidR="00190767" w:rsidRPr="004F374E" w14:paraId="3A4C82FF" w14:textId="251B2749" w:rsidTr="00190767">
        <w:tc>
          <w:tcPr>
            <w:tcW w:w="1631" w:type="pct"/>
            <w:tcBorders>
              <w:top w:val="single" w:sz="18" w:space="0" w:color="auto"/>
              <w:bottom w:val="single" w:sz="4" w:space="0" w:color="auto"/>
              <w:right w:val="single" w:sz="18" w:space="0" w:color="auto"/>
            </w:tcBorders>
          </w:tcPr>
          <w:p w14:paraId="383B67D4" w14:textId="52F46074" w:rsidR="00190767" w:rsidRPr="004F374E" w:rsidRDefault="00190767" w:rsidP="006A75F7">
            <w:pPr>
              <w:spacing w:line="360" w:lineRule="auto"/>
              <w:rPr>
                <w:rFonts w:ascii="Arial" w:hAnsi="Arial" w:cs="Arial"/>
                <w:sz w:val="22"/>
                <w:szCs w:val="22"/>
              </w:rPr>
            </w:pPr>
            <w:bookmarkStart w:id="1" w:name="_Hlk153957569"/>
            <w:r w:rsidRPr="004F374E">
              <w:rPr>
                <w:rFonts w:ascii="Arial" w:hAnsi="Arial" w:cs="Arial"/>
                <w:sz w:val="22"/>
                <w:szCs w:val="22"/>
              </w:rPr>
              <w:t>A. Requirment</w:t>
            </w:r>
          </w:p>
        </w:tc>
        <w:tc>
          <w:tcPr>
            <w:tcW w:w="843" w:type="pct"/>
            <w:tcBorders>
              <w:left w:val="single" w:sz="18" w:space="0" w:color="auto"/>
            </w:tcBorders>
          </w:tcPr>
          <w:p w14:paraId="5A0AF579" w14:textId="1D400EC8" w:rsidR="00190767" w:rsidRPr="004F374E" w:rsidRDefault="00190767" w:rsidP="004F374E">
            <w:pPr>
              <w:spacing w:line="360" w:lineRule="auto"/>
              <w:jc w:val="center"/>
              <w:rPr>
                <w:rFonts w:ascii="Arial" w:hAnsi="Arial" w:cs="Arial"/>
                <w:sz w:val="22"/>
                <w:szCs w:val="22"/>
              </w:rPr>
            </w:pPr>
            <w:r w:rsidRPr="004F374E">
              <w:rPr>
                <w:rFonts w:ascii="Arial" w:hAnsi="Arial" w:cs="Arial"/>
                <w:sz w:val="22"/>
                <w:szCs w:val="22"/>
              </w:rPr>
              <w:t>456 dpa</w:t>
            </w:r>
          </w:p>
        </w:tc>
        <w:tc>
          <w:tcPr>
            <w:tcW w:w="842" w:type="pct"/>
          </w:tcPr>
          <w:p w14:paraId="71780B68" w14:textId="3E61F12F" w:rsidR="00190767" w:rsidRPr="004F374E" w:rsidRDefault="00190767" w:rsidP="004F374E">
            <w:pPr>
              <w:spacing w:line="360" w:lineRule="auto"/>
              <w:jc w:val="center"/>
              <w:rPr>
                <w:rFonts w:ascii="Arial" w:hAnsi="Arial" w:cs="Arial"/>
                <w:sz w:val="22"/>
                <w:szCs w:val="22"/>
              </w:rPr>
            </w:pPr>
            <w:r w:rsidRPr="004F374E">
              <w:rPr>
                <w:rFonts w:ascii="Arial" w:hAnsi="Arial" w:cs="Arial"/>
                <w:sz w:val="22"/>
                <w:szCs w:val="22"/>
              </w:rPr>
              <w:t>480 dpa</w:t>
            </w:r>
          </w:p>
        </w:tc>
        <w:tc>
          <w:tcPr>
            <w:tcW w:w="842" w:type="pct"/>
          </w:tcPr>
          <w:p w14:paraId="255A7691" w14:textId="4D972252" w:rsidR="00190767" w:rsidRPr="004F374E" w:rsidRDefault="00190767" w:rsidP="004F374E">
            <w:pPr>
              <w:spacing w:line="360" w:lineRule="auto"/>
              <w:jc w:val="center"/>
              <w:rPr>
                <w:rFonts w:ascii="Arial" w:hAnsi="Arial" w:cs="Arial"/>
                <w:sz w:val="22"/>
                <w:szCs w:val="22"/>
              </w:rPr>
            </w:pPr>
            <w:r w:rsidRPr="004F374E">
              <w:rPr>
                <w:rFonts w:ascii="Arial" w:hAnsi="Arial" w:cs="Arial"/>
                <w:sz w:val="22"/>
                <w:szCs w:val="22"/>
              </w:rPr>
              <w:t>531 dpa</w:t>
            </w:r>
          </w:p>
        </w:tc>
        <w:tc>
          <w:tcPr>
            <w:tcW w:w="842" w:type="pct"/>
          </w:tcPr>
          <w:p w14:paraId="1DBEEDDE" w14:textId="355943E1" w:rsidR="00190767" w:rsidRPr="004F374E" w:rsidRDefault="00190767" w:rsidP="004F374E">
            <w:pPr>
              <w:spacing w:line="360" w:lineRule="auto"/>
              <w:jc w:val="center"/>
              <w:rPr>
                <w:rFonts w:ascii="Arial" w:hAnsi="Arial" w:cs="Arial"/>
                <w:sz w:val="22"/>
                <w:szCs w:val="22"/>
              </w:rPr>
            </w:pPr>
            <w:r>
              <w:rPr>
                <w:rFonts w:ascii="Arial" w:hAnsi="Arial" w:cs="Arial"/>
                <w:sz w:val="22"/>
                <w:szCs w:val="22"/>
              </w:rPr>
              <w:t>560 dpa</w:t>
            </w:r>
          </w:p>
        </w:tc>
      </w:tr>
      <w:tr w:rsidR="00190767" w:rsidRPr="004F374E" w14:paraId="510E51EA" w14:textId="21BF7268" w:rsidTr="00190767">
        <w:tc>
          <w:tcPr>
            <w:tcW w:w="1631" w:type="pct"/>
            <w:tcBorders>
              <w:top w:val="single" w:sz="4" w:space="0" w:color="auto"/>
              <w:bottom w:val="single" w:sz="4" w:space="0" w:color="auto"/>
              <w:right w:val="single" w:sz="18" w:space="0" w:color="auto"/>
            </w:tcBorders>
          </w:tcPr>
          <w:p w14:paraId="244A3C17" w14:textId="11A8CDEB" w:rsidR="00190767" w:rsidRPr="004F374E" w:rsidRDefault="00190767" w:rsidP="006A75F7">
            <w:pPr>
              <w:spacing w:line="360" w:lineRule="auto"/>
              <w:rPr>
                <w:rFonts w:ascii="Arial" w:hAnsi="Arial" w:cs="Arial"/>
                <w:sz w:val="22"/>
                <w:szCs w:val="22"/>
              </w:rPr>
            </w:pPr>
            <w:r w:rsidRPr="004F374E">
              <w:rPr>
                <w:rFonts w:ascii="Arial" w:hAnsi="Arial" w:cs="Arial"/>
                <w:sz w:val="22"/>
                <w:szCs w:val="22"/>
              </w:rPr>
              <w:t>B. Five-year requirment (Ax5)</w:t>
            </w:r>
          </w:p>
        </w:tc>
        <w:tc>
          <w:tcPr>
            <w:tcW w:w="843" w:type="pct"/>
            <w:tcBorders>
              <w:left w:val="single" w:sz="18" w:space="0" w:color="auto"/>
            </w:tcBorders>
          </w:tcPr>
          <w:p w14:paraId="4EF014D2" w14:textId="47B7F78F" w:rsidR="00190767" w:rsidRPr="004F374E" w:rsidRDefault="00190767" w:rsidP="004F374E">
            <w:pPr>
              <w:spacing w:line="360" w:lineRule="auto"/>
              <w:jc w:val="center"/>
              <w:rPr>
                <w:rFonts w:ascii="Arial" w:hAnsi="Arial" w:cs="Arial"/>
                <w:sz w:val="22"/>
                <w:szCs w:val="22"/>
              </w:rPr>
            </w:pPr>
            <w:r w:rsidRPr="004F374E">
              <w:rPr>
                <w:rFonts w:ascii="Arial" w:hAnsi="Arial" w:cs="Arial"/>
                <w:sz w:val="22"/>
                <w:szCs w:val="22"/>
              </w:rPr>
              <w:t>2,280</w:t>
            </w:r>
          </w:p>
        </w:tc>
        <w:tc>
          <w:tcPr>
            <w:tcW w:w="842" w:type="pct"/>
          </w:tcPr>
          <w:p w14:paraId="6B5BADA7" w14:textId="3A890339" w:rsidR="00190767" w:rsidRPr="004F374E" w:rsidRDefault="00190767" w:rsidP="004F374E">
            <w:pPr>
              <w:spacing w:line="360" w:lineRule="auto"/>
              <w:jc w:val="center"/>
              <w:rPr>
                <w:rFonts w:ascii="Arial" w:hAnsi="Arial" w:cs="Arial"/>
                <w:sz w:val="22"/>
                <w:szCs w:val="22"/>
              </w:rPr>
            </w:pPr>
            <w:r w:rsidRPr="004F374E">
              <w:rPr>
                <w:rFonts w:ascii="Arial" w:hAnsi="Arial" w:cs="Arial"/>
                <w:sz w:val="22"/>
                <w:szCs w:val="22"/>
              </w:rPr>
              <w:t>2,400</w:t>
            </w:r>
          </w:p>
        </w:tc>
        <w:tc>
          <w:tcPr>
            <w:tcW w:w="842" w:type="pct"/>
          </w:tcPr>
          <w:p w14:paraId="3721D90D" w14:textId="295F043F" w:rsidR="00190767" w:rsidRPr="004F374E" w:rsidRDefault="00190767" w:rsidP="004F374E">
            <w:pPr>
              <w:spacing w:line="360" w:lineRule="auto"/>
              <w:jc w:val="center"/>
              <w:rPr>
                <w:rFonts w:ascii="Arial" w:hAnsi="Arial" w:cs="Arial"/>
                <w:sz w:val="22"/>
                <w:szCs w:val="22"/>
              </w:rPr>
            </w:pPr>
            <w:r w:rsidRPr="004F374E">
              <w:rPr>
                <w:rFonts w:ascii="Arial" w:hAnsi="Arial" w:cs="Arial"/>
                <w:sz w:val="22"/>
                <w:szCs w:val="22"/>
              </w:rPr>
              <w:t>2,655</w:t>
            </w:r>
          </w:p>
        </w:tc>
        <w:tc>
          <w:tcPr>
            <w:tcW w:w="842" w:type="pct"/>
          </w:tcPr>
          <w:p w14:paraId="4894D0B4" w14:textId="00D03694" w:rsidR="00190767" w:rsidRPr="004F374E" w:rsidRDefault="0050421C" w:rsidP="004F374E">
            <w:pPr>
              <w:spacing w:line="360" w:lineRule="auto"/>
              <w:jc w:val="center"/>
              <w:rPr>
                <w:rFonts w:ascii="Arial" w:hAnsi="Arial" w:cs="Arial"/>
                <w:sz w:val="22"/>
                <w:szCs w:val="22"/>
              </w:rPr>
            </w:pPr>
            <w:r>
              <w:rPr>
                <w:rFonts w:ascii="Arial" w:hAnsi="Arial" w:cs="Arial"/>
                <w:sz w:val="22"/>
                <w:szCs w:val="22"/>
              </w:rPr>
              <w:t>2,800</w:t>
            </w:r>
          </w:p>
        </w:tc>
      </w:tr>
      <w:tr w:rsidR="00190767" w:rsidRPr="004F374E" w14:paraId="5BBE0811" w14:textId="54AD6B93" w:rsidTr="00190767">
        <w:tc>
          <w:tcPr>
            <w:tcW w:w="1631" w:type="pct"/>
            <w:tcBorders>
              <w:top w:val="single" w:sz="4" w:space="0" w:color="auto"/>
              <w:bottom w:val="single" w:sz="4" w:space="0" w:color="auto"/>
              <w:right w:val="single" w:sz="18" w:space="0" w:color="auto"/>
            </w:tcBorders>
          </w:tcPr>
          <w:p w14:paraId="2D695081" w14:textId="50415920" w:rsidR="00190767" w:rsidRPr="004F374E" w:rsidRDefault="00190767" w:rsidP="006A75F7">
            <w:pPr>
              <w:spacing w:line="360" w:lineRule="auto"/>
              <w:rPr>
                <w:rFonts w:ascii="Arial" w:hAnsi="Arial" w:cs="Arial"/>
                <w:sz w:val="22"/>
                <w:szCs w:val="22"/>
              </w:rPr>
            </w:pPr>
            <w:r w:rsidRPr="004F374E">
              <w:rPr>
                <w:rFonts w:ascii="Arial" w:hAnsi="Arial" w:cs="Arial"/>
                <w:sz w:val="22"/>
                <w:szCs w:val="22"/>
              </w:rPr>
              <w:t>C. Deficit</w:t>
            </w:r>
          </w:p>
        </w:tc>
        <w:tc>
          <w:tcPr>
            <w:tcW w:w="843" w:type="pct"/>
            <w:tcBorders>
              <w:left w:val="single" w:sz="18" w:space="0" w:color="auto"/>
            </w:tcBorders>
          </w:tcPr>
          <w:p w14:paraId="3C423E2E" w14:textId="477E1FD9" w:rsidR="00190767" w:rsidRPr="004F374E" w:rsidRDefault="00190767" w:rsidP="004F374E">
            <w:pPr>
              <w:spacing w:line="360" w:lineRule="auto"/>
              <w:jc w:val="center"/>
              <w:rPr>
                <w:rFonts w:ascii="Arial" w:hAnsi="Arial" w:cs="Arial"/>
                <w:sz w:val="22"/>
                <w:szCs w:val="22"/>
              </w:rPr>
            </w:pPr>
            <w:r w:rsidRPr="004F374E">
              <w:rPr>
                <w:rFonts w:ascii="Arial" w:hAnsi="Arial" w:cs="Arial"/>
                <w:sz w:val="22"/>
                <w:szCs w:val="22"/>
              </w:rPr>
              <w:t>0</w:t>
            </w:r>
          </w:p>
        </w:tc>
        <w:tc>
          <w:tcPr>
            <w:tcW w:w="842" w:type="pct"/>
          </w:tcPr>
          <w:p w14:paraId="545831F8" w14:textId="1E71EAE7" w:rsidR="00190767" w:rsidRPr="004F374E" w:rsidRDefault="00190767" w:rsidP="004F374E">
            <w:pPr>
              <w:spacing w:line="360" w:lineRule="auto"/>
              <w:jc w:val="center"/>
              <w:rPr>
                <w:rFonts w:ascii="Arial" w:hAnsi="Arial" w:cs="Arial"/>
                <w:sz w:val="22"/>
                <w:szCs w:val="22"/>
              </w:rPr>
            </w:pPr>
            <w:r w:rsidRPr="004F374E">
              <w:rPr>
                <w:rFonts w:ascii="Arial" w:hAnsi="Arial" w:cs="Arial"/>
                <w:sz w:val="22"/>
                <w:szCs w:val="22"/>
              </w:rPr>
              <w:t>129</w:t>
            </w:r>
          </w:p>
        </w:tc>
        <w:tc>
          <w:tcPr>
            <w:tcW w:w="842" w:type="pct"/>
          </w:tcPr>
          <w:p w14:paraId="5681C6F7" w14:textId="17B224FA" w:rsidR="00190767" w:rsidRPr="004F374E" w:rsidRDefault="00190767" w:rsidP="004F374E">
            <w:pPr>
              <w:spacing w:line="360" w:lineRule="auto"/>
              <w:jc w:val="center"/>
              <w:rPr>
                <w:rFonts w:ascii="Arial" w:hAnsi="Arial" w:cs="Arial"/>
                <w:sz w:val="22"/>
                <w:szCs w:val="22"/>
              </w:rPr>
            </w:pPr>
            <w:r w:rsidRPr="004F374E">
              <w:rPr>
                <w:rFonts w:ascii="Arial" w:hAnsi="Arial" w:cs="Arial"/>
                <w:sz w:val="22"/>
                <w:szCs w:val="22"/>
              </w:rPr>
              <w:t>282</w:t>
            </w:r>
          </w:p>
        </w:tc>
        <w:tc>
          <w:tcPr>
            <w:tcW w:w="842" w:type="pct"/>
          </w:tcPr>
          <w:p w14:paraId="1C04D5AC" w14:textId="305A42C4" w:rsidR="00190767" w:rsidRPr="004F374E" w:rsidRDefault="00FF4BA2" w:rsidP="004F374E">
            <w:pPr>
              <w:spacing w:line="360" w:lineRule="auto"/>
              <w:jc w:val="center"/>
              <w:rPr>
                <w:rFonts w:ascii="Arial" w:hAnsi="Arial" w:cs="Arial"/>
                <w:sz w:val="22"/>
                <w:szCs w:val="22"/>
              </w:rPr>
            </w:pPr>
            <w:r>
              <w:rPr>
                <w:rFonts w:ascii="Arial" w:hAnsi="Arial" w:cs="Arial"/>
                <w:sz w:val="22"/>
                <w:szCs w:val="22"/>
              </w:rPr>
              <w:t>685</w:t>
            </w:r>
          </w:p>
        </w:tc>
      </w:tr>
      <w:tr w:rsidR="00190767" w:rsidRPr="004F374E" w14:paraId="49CC6F9F" w14:textId="22D106CE" w:rsidTr="00190767">
        <w:tc>
          <w:tcPr>
            <w:tcW w:w="1631" w:type="pct"/>
            <w:tcBorders>
              <w:top w:val="single" w:sz="4" w:space="0" w:color="auto"/>
              <w:bottom w:val="single" w:sz="4" w:space="0" w:color="auto"/>
              <w:right w:val="single" w:sz="18" w:space="0" w:color="auto"/>
            </w:tcBorders>
          </w:tcPr>
          <w:p w14:paraId="24485D4D" w14:textId="03FA4C26" w:rsidR="00190767" w:rsidRPr="004F374E" w:rsidRDefault="00190767" w:rsidP="006A75F7">
            <w:pPr>
              <w:spacing w:line="360" w:lineRule="auto"/>
              <w:rPr>
                <w:rFonts w:ascii="Arial" w:hAnsi="Arial" w:cs="Arial"/>
                <w:sz w:val="22"/>
                <w:szCs w:val="22"/>
              </w:rPr>
            </w:pPr>
            <w:r w:rsidRPr="004F374E">
              <w:rPr>
                <w:rFonts w:ascii="Arial" w:hAnsi="Arial" w:cs="Arial"/>
                <w:sz w:val="22"/>
                <w:szCs w:val="22"/>
              </w:rPr>
              <w:t>D. 5% buffer (B+C x 0.05)</w:t>
            </w:r>
          </w:p>
        </w:tc>
        <w:tc>
          <w:tcPr>
            <w:tcW w:w="843" w:type="pct"/>
            <w:tcBorders>
              <w:left w:val="single" w:sz="18" w:space="0" w:color="auto"/>
            </w:tcBorders>
          </w:tcPr>
          <w:p w14:paraId="073026BF" w14:textId="47A51883" w:rsidR="00190767" w:rsidRPr="004F374E" w:rsidRDefault="00190767" w:rsidP="004F374E">
            <w:pPr>
              <w:spacing w:line="360" w:lineRule="auto"/>
              <w:jc w:val="center"/>
              <w:rPr>
                <w:rFonts w:ascii="Arial" w:hAnsi="Arial" w:cs="Arial"/>
                <w:sz w:val="22"/>
                <w:szCs w:val="22"/>
              </w:rPr>
            </w:pPr>
            <w:r w:rsidRPr="004F374E">
              <w:rPr>
                <w:rFonts w:ascii="Arial" w:hAnsi="Arial" w:cs="Arial"/>
                <w:sz w:val="22"/>
                <w:szCs w:val="22"/>
              </w:rPr>
              <w:t>114</w:t>
            </w:r>
          </w:p>
        </w:tc>
        <w:tc>
          <w:tcPr>
            <w:tcW w:w="842" w:type="pct"/>
          </w:tcPr>
          <w:p w14:paraId="5D4B23B5" w14:textId="47204206" w:rsidR="00190767" w:rsidRPr="004F374E" w:rsidRDefault="00190767" w:rsidP="004F374E">
            <w:pPr>
              <w:spacing w:line="360" w:lineRule="auto"/>
              <w:jc w:val="center"/>
              <w:rPr>
                <w:rFonts w:ascii="Arial" w:hAnsi="Arial" w:cs="Arial"/>
                <w:sz w:val="22"/>
                <w:szCs w:val="22"/>
              </w:rPr>
            </w:pPr>
            <w:r w:rsidRPr="004F374E">
              <w:rPr>
                <w:rFonts w:ascii="Arial" w:hAnsi="Arial" w:cs="Arial"/>
                <w:sz w:val="22"/>
                <w:szCs w:val="22"/>
              </w:rPr>
              <w:t>126</w:t>
            </w:r>
          </w:p>
        </w:tc>
        <w:tc>
          <w:tcPr>
            <w:tcW w:w="842" w:type="pct"/>
          </w:tcPr>
          <w:p w14:paraId="26A5CB0B" w14:textId="6D668243" w:rsidR="00190767" w:rsidRPr="004F374E" w:rsidRDefault="00190767" w:rsidP="004F374E">
            <w:pPr>
              <w:spacing w:line="360" w:lineRule="auto"/>
              <w:jc w:val="center"/>
              <w:rPr>
                <w:rFonts w:ascii="Arial" w:hAnsi="Arial" w:cs="Arial"/>
                <w:sz w:val="22"/>
                <w:szCs w:val="22"/>
              </w:rPr>
            </w:pPr>
            <w:r w:rsidRPr="004F374E">
              <w:rPr>
                <w:rFonts w:ascii="Arial" w:hAnsi="Arial" w:cs="Arial"/>
                <w:sz w:val="22"/>
                <w:szCs w:val="22"/>
              </w:rPr>
              <w:t>147</w:t>
            </w:r>
          </w:p>
        </w:tc>
        <w:tc>
          <w:tcPr>
            <w:tcW w:w="842" w:type="pct"/>
          </w:tcPr>
          <w:p w14:paraId="47FEDA59" w14:textId="6363DB82" w:rsidR="00190767" w:rsidRPr="004F374E" w:rsidRDefault="002E5371" w:rsidP="004F374E">
            <w:pPr>
              <w:spacing w:line="360" w:lineRule="auto"/>
              <w:jc w:val="center"/>
              <w:rPr>
                <w:rFonts w:ascii="Arial" w:hAnsi="Arial" w:cs="Arial"/>
                <w:sz w:val="22"/>
                <w:szCs w:val="22"/>
              </w:rPr>
            </w:pPr>
            <w:r>
              <w:rPr>
                <w:rFonts w:ascii="Arial" w:hAnsi="Arial" w:cs="Arial"/>
                <w:sz w:val="22"/>
                <w:szCs w:val="22"/>
              </w:rPr>
              <w:t>140</w:t>
            </w:r>
          </w:p>
        </w:tc>
      </w:tr>
      <w:tr w:rsidR="00190767" w:rsidRPr="004F374E" w14:paraId="6E2FF2A6" w14:textId="406AEBB0" w:rsidTr="00190767">
        <w:tc>
          <w:tcPr>
            <w:tcW w:w="1631" w:type="pct"/>
            <w:tcBorders>
              <w:top w:val="single" w:sz="4" w:space="0" w:color="auto"/>
              <w:bottom w:val="single" w:sz="4" w:space="0" w:color="auto"/>
              <w:right w:val="single" w:sz="18" w:space="0" w:color="auto"/>
            </w:tcBorders>
          </w:tcPr>
          <w:p w14:paraId="42E30625" w14:textId="4B79C0E7" w:rsidR="00190767" w:rsidRPr="004F374E" w:rsidRDefault="00190767" w:rsidP="006A75F7">
            <w:pPr>
              <w:spacing w:line="360" w:lineRule="auto"/>
              <w:rPr>
                <w:rFonts w:ascii="Arial" w:hAnsi="Arial" w:cs="Arial"/>
                <w:sz w:val="22"/>
                <w:szCs w:val="22"/>
              </w:rPr>
            </w:pPr>
            <w:r w:rsidRPr="004F374E">
              <w:rPr>
                <w:rFonts w:ascii="Arial" w:hAnsi="Arial" w:cs="Arial"/>
                <w:sz w:val="22"/>
                <w:szCs w:val="22"/>
              </w:rPr>
              <w:t>E. Total Five-year requirment B+C+D)</w:t>
            </w:r>
          </w:p>
        </w:tc>
        <w:tc>
          <w:tcPr>
            <w:tcW w:w="843" w:type="pct"/>
            <w:tcBorders>
              <w:left w:val="single" w:sz="18" w:space="0" w:color="auto"/>
            </w:tcBorders>
          </w:tcPr>
          <w:p w14:paraId="1A6F9C0D" w14:textId="66937A0C" w:rsidR="00190767" w:rsidRPr="004F374E" w:rsidRDefault="00190767" w:rsidP="004F374E">
            <w:pPr>
              <w:spacing w:line="360" w:lineRule="auto"/>
              <w:jc w:val="center"/>
              <w:rPr>
                <w:rFonts w:ascii="Arial" w:hAnsi="Arial" w:cs="Arial"/>
                <w:sz w:val="22"/>
                <w:szCs w:val="22"/>
              </w:rPr>
            </w:pPr>
            <w:r w:rsidRPr="004F374E">
              <w:rPr>
                <w:rFonts w:ascii="Arial" w:hAnsi="Arial" w:cs="Arial"/>
                <w:sz w:val="22"/>
                <w:szCs w:val="22"/>
              </w:rPr>
              <w:t>2,394</w:t>
            </w:r>
          </w:p>
        </w:tc>
        <w:tc>
          <w:tcPr>
            <w:tcW w:w="842" w:type="pct"/>
          </w:tcPr>
          <w:p w14:paraId="46C253B2" w14:textId="5A2FD62C" w:rsidR="00190767" w:rsidRPr="004F374E" w:rsidRDefault="00190767" w:rsidP="004F374E">
            <w:pPr>
              <w:spacing w:line="360" w:lineRule="auto"/>
              <w:jc w:val="center"/>
              <w:rPr>
                <w:rFonts w:ascii="Arial" w:hAnsi="Arial" w:cs="Arial"/>
                <w:sz w:val="22"/>
                <w:szCs w:val="22"/>
              </w:rPr>
            </w:pPr>
            <w:r w:rsidRPr="004F374E">
              <w:rPr>
                <w:rFonts w:ascii="Arial" w:hAnsi="Arial" w:cs="Arial"/>
                <w:sz w:val="22"/>
                <w:szCs w:val="22"/>
              </w:rPr>
              <w:t>2,655</w:t>
            </w:r>
          </w:p>
        </w:tc>
        <w:tc>
          <w:tcPr>
            <w:tcW w:w="842" w:type="pct"/>
          </w:tcPr>
          <w:p w14:paraId="2811BD9D" w14:textId="5DE2D182" w:rsidR="00190767" w:rsidRPr="004F374E" w:rsidRDefault="00190767" w:rsidP="004F374E">
            <w:pPr>
              <w:spacing w:line="360" w:lineRule="auto"/>
              <w:jc w:val="center"/>
              <w:rPr>
                <w:rFonts w:ascii="Arial" w:hAnsi="Arial" w:cs="Arial"/>
                <w:sz w:val="22"/>
                <w:szCs w:val="22"/>
              </w:rPr>
            </w:pPr>
            <w:r w:rsidRPr="004F374E">
              <w:rPr>
                <w:rFonts w:ascii="Arial" w:hAnsi="Arial" w:cs="Arial"/>
                <w:sz w:val="22"/>
                <w:szCs w:val="22"/>
              </w:rPr>
              <w:t>3,084</w:t>
            </w:r>
          </w:p>
        </w:tc>
        <w:tc>
          <w:tcPr>
            <w:tcW w:w="842" w:type="pct"/>
          </w:tcPr>
          <w:p w14:paraId="60E0A3CA" w14:textId="6545DC6D" w:rsidR="00190767" w:rsidRPr="004F374E" w:rsidRDefault="00FA5221" w:rsidP="004F374E">
            <w:pPr>
              <w:spacing w:line="360" w:lineRule="auto"/>
              <w:jc w:val="center"/>
              <w:rPr>
                <w:rFonts w:ascii="Arial" w:hAnsi="Arial" w:cs="Arial"/>
                <w:sz w:val="22"/>
                <w:szCs w:val="22"/>
              </w:rPr>
            </w:pPr>
            <w:r>
              <w:rPr>
                <w:rFonts w:ascii="Arial" w:hAnsi="Arial" w:cs="Arial"/>
                <w:sz w:val="22"/>
                <w:szCs w:val="22"/>
              </w:rPr>
              <w:t>3,046</w:t>
            </w:r>
          </w:p>
        </w:tc>
      </w:tr>
      <w:tr w:rsidR="00190767" w:rsidRPr="004F374E" w14:paraId="790F7053" w14:textId="56C2BD4B" w:rsidTr="00190767">
        <w:tc>
          <w:tcPr>
            <w:tcW w:w="1631" w:type="pct"/>
            <w:tcBorders>
              <w:top w:val="single" w:sz="4" w:space="0" w:color="auto"/>
              <w:bottom w:val="single" w:sz="4" w:space="0" w:color="auto"/>
              <w:right w:val="single" w:sz="18" w:space="0" w:color="auto"/>
            </w:tcBorders>
          </w:tcPr>
          <w:p w14:paraId="407CC2B7" w14:textId="65336012" w:rsidR="00190767" w:rsidRPr="004F374E" w:rsidRDefault="00190767" w:rsidP="0015567E">
            <w:pPr>
              <w:spacing w:line="360" w:lineRule="auto"/>
              <w:rPr>
                <w:rFonts w:ascii="Arial" w:hAnsi="Arial" w:cs="Arial"/>
                <w:sz w:val="22"/>
                <w:szCs w:val="22"/>
              </w:rPr>
            </w:pPr>
            <w:r w:rsidRPr="004F374E">
              <w:rPr>
                <w:rFonts w:ascii="Arial" w:hAnsi="Arial" w:cs="Arial"/>
                <w:sz w:val="22"/>
                <w:szCs w:val="22"/>
              </w:rPr>
              <w:t>F. Five-year supply</w:t>
            </w:r>
          </w:p>
        </w:tc>
        <w:tc>
          <w:tcPr>
            <w:tcW w:w="843" w:type="pct"/>
            <w:tcBorders>
              <w:left w:val="single" w:sz="18" w:space="0" w:color="auto"/>
            </w:tcBorders>
          </w:tcPr>
          <w:p w14:paraId="0D46BC6D" w14:textId="2169A27A" w:rsidR="00190767" w:rsidRPr="004F374E" w:rsidRDefault="00190767" w:rsidP="004F374E">
            <w:pPr>
              <w:spacing w:line="360" w:lineRule="auto"/>
              <w:jc w:val="center"/>
              <w:rPr>
                <w:rFonts w:ascii="Arial" w:hAnsi="Arial" w:cs="Arial"/>
                <w:sz w:val="22"/>
                <w:szCs w:val="22"/>
              </w:rPr>
            </w:pPr>
            <w:r w:rsidRPr="004F374E">
              <w:rPr>
                <w:rFonts w:ascii="Arial" w:hAnsi="Arial" w:cs="Arial"/>
                <w:sz w:val="22"/>
                <w:szCs w:val="22"/>
              </w:rPr>
              <w:t>3,095</w:t>
            </w:r>
          </w:p>
        </w:tc>
        <w:tc>
          <w:tcPr>
            <w:tcW w:w="842" w:type="pct"/>
          </w:tcPr>
          <w:p w14:paraId="6DB7622F" w14:textId="07ED9EDE" w:rsidR="00190767" w:rsidRPr="004F374E" w:rsidRDefault="00190767" w:rsidP="004F374E">
            <w:pPr>
              <w:spacing w:line="360" w:lineRule="auto"/>
              <w:jc w:val="center"/>
              <w:rPr>
                <w:rFonts w:ascii="Arial" w:hAnsi="Arial" w:cs="Arial"/>
                <w:sz w:val="22"/>
                <w:szCs w:val="22"/>
              </w:rPr>
            </w:pPr>
            <w:r w:rsidRPr="004F374E">
              <w:rPr>
                <w:rFonts w:ascii="Arial" w:hAnsi="Arial" w:cs="Arial"/>
                <w:sz w:val="22"/>
                <w:szCs w:val="22"/>
              </w:rPr>
              <w:t>3,095</w:t>
            </w:r>
          </w:p>
        </w:tc>
        <w:tc>
          <w:tcPr>
            <w:tcW w:w="842" w:type="pct"/>
          </w:tcPr>
          <w:p w14:paraId="2F3E94F2" w14:textId="0A4A363C" w:rsidR="00190767" w:rsidRPr="004F374E" w:rsidRDefault="00190767" w:rsidP="004F374E">
            <w:pPr>
              <w:spacing w:line="360" w:lineRule="auto"/>
              <w:jc w:val="center"/>
              <w:rPr>
                <w:rFonts w:ascii="Arial" w:hAnsi="Arial" w:cs="Arial"/>
                <w:sz w:val="22"/>
                <w:szCs w:val="22"/>
              </w:rPr>
            </w:pPr>
            <w:r w:rsidRPr="004F374E">
              <w:rPr>
                <w:rFonts w:ascii="Arial" w:hAnsi="Arial" w:cs="Arial"/>
                <w:sz w:val="22"/>
                <w:szCs w:val="22"/>
              </w:rPr>
              <w:t>3,095</w:t>
            </w:r>
          </w:p>
        </w:tc>
        <w:tc>
          <w:tcPr>
            <w:tcW w:w="842" w:type="pct"/>
          </w:tcPr>
          <w:p w14:paraId="07E4C569" w14:textId="384F7E5D" w:rsidR="00190767" w:rsidRPr="004F374E" w:rsidRDefault="00E563AD" w:rsidP="004F374E">
            <w:pPr>
              <w:spacing w:line="360" w:lineRule="auto"/>
              <w:jc w:val="center"/>
              <w:rPr>
                <w:rFonts w:ascii="Arial" w:hAnsi="Arial" w:cs="Arial"/>
                <w:sz w:val="22"/>
                <w:szCs w:val="22"/>
              </w:rPr>
            </w:pPr>
            <w:r>
              <w:rPr>
                <w:rFonts w:ascii="Arial" w:hAnsi="Arial" w:cs="Arial"/>
                <w:sz w:val="22"/>
                <w:szCs w:val="22"/>
              </w:rPr>
              <w:t>3,095</w:t>
            </w:r>
          </w:p>
        </w:tc>
      </w:tr>
      <w:tr w:rsidR="00190767" w:rsidRPr="004F374E" w14:paraId="07B3C1F1" w14:textId="78026A6C" w:rsidTr="00190767">
        <w:tc>
          <w:tcPr>
            <w:tcW w:w="1631" w:type="pct"/>
            <w:tcBorders>
              <w:top w:val="single" w:sz="4" w:space="0" w:color="auto"/>
              <w:bottom w:val="single" w:sz="18" w:space="0" w:color="auto"/>
              <w:right w:val="single" w:sz="18" w:space="0" w:color="auto"/>
            </w:tcBorders>
          </w:tcPr>
          <w:p w14:paraId="1817C281" w14:textId="3532B264" w:rsidR="00190767" w:rsidRPr="004F374E" w:rsidRDefault="00190767" w:rsidP="0015567E">
            <w:pPr>
              <w:spacing w:line="360" w:lineRule="auto"/>
              <w:rPr>
                <w:rFonts w:ascii="Arial" w:hAnsi="Arial" w:cs="Arial"/>
                <w:sz w:val="22"/>
                <w:szCs w:val="22"/>
              </w:rPr>
            </w:pPr>
            <w:r w:rsidRPr="004F374E">
              <w:rPr>
                <w:rFonts w:ascii="Arial" w:hAnsi="Arial" w:cs="Arial"/>
                <w:sz w:val="22"/>
                <w:szCs w:val="22"/>
              </w:rPr>
              <w:t>G. 5YHLS</w:t>
            </w:r>
          </w:p>
        </w:tc>
        <w:tc>
          <w:tcPr>
            <w:tcW w:w="843" w:type="pct"/>
            <w:tcBorders>
              <w:left w:val="single" w:sz="18" w:space="0" w:color="auto"/>
            </w:tcBorders>
          </w:tcPr>
          <w:p w14:paraId="628D94FF" w14:textId="1FEA7B71" w:rsidR="00190767" w:rsidRPr="004F374E" w:rsidRDefault="00190767" w:rsidP="004F374E">
            <w:pPr>
              <w:spacing w:line="360" w:lineRule="auto"/>
              <w:jc w:val="center"/>
              <w:rPr>
                <w:rFonts w:ascii="Arial" w:hAnsi="Arial" w:cs="Arial"/>
                <w:sz w:val="22"/>
                <w:szCs w:val="22"/>
              </w:rPr>
            </w:pPr>
            <w:r w:rsidRPr="004F374E">
              <w:rPr>
                <w:rFonts w:ascii="Arial" w:hAnsi="Arial" w:cs="Arial"/>
                <w:sz w:val="22"/>
                <w:szCs w:val="22"/>
              </w:rPr>
              <w:t>6.31</w:t>
            </w:r>
          </w:p>
        </w:tc>
        <w:tc>
          <w:tcPr>
            <w:tcW w:w="842" w:type="pct"/>
          </w:tcPr>
          <w:p w14:paraId="6C99D513" w14:textId="34C6497A" w:rsidR="00190767" w:rsidRPr="004F374E" w:rsidRDefault="00190767" w:rsidP="004F374E">
            <w:pPr>
              <w:spacing w:line="360" w:lineRule="auto"/>
              <w:jc w:val="center"/>
              <w:rPr>
                <w:rFonts w:ascii="Arial" w:hAnsi="Arial" w:cs="Arial"/>
                <w:sz w:val="22"/>
                <w:szCs w:val="22"/>
              </w:rPr>
            </w:pPr>
            <w:r w:rsidRPr="004F374E">
              <w:rPr>
                <w:rFonts w:ascii="Arial" w:hAnsi="Arial" w:cs="Arial"/>
                <w:sz w:val="22"/>
                <w:szCs w:val="22"/>
              </w:rPr>
              <w:t>5.83</w:t>
            </w:r>
          </w:p>
        </w:tc>
        <w:tc>
          <w:tcPr>
            <w:tcW w:w="842" w:type="pct"/>
          </w:tcPr>
          <w:p w14:paraId="64901CF5" w14:textId="2B54DFA3" w:rsidR="00190767" w:rsidRPr="004F374E" w:rsidRDefault="00190767" w:rsidP="004F374E">
            <w:pPr>
              <w:spacing w:line="360" w:lineRule="auto"/>
              <w:jc w:val="center"/>
              <w:rPr>
                <w:rFonts w:ascii="Arial" w:hAnsi="Arial" w:cs="Arial"/>
                <w:sz w:val="22"/>
                <w:szCs w:val="22"/>
              </w:rPr>
            </w:pPr>
            <w:r w:rsidRPr="004F374E">
              <w:rPr>
                <w:rFonts w:ascii="Arial" w:hAnsi="Arial" w:cs="Arial"/>
                <w:sz w:val="22"/>
                <w:szCs w:val="22"/>
              </w:rPr>
              <w:t>5.02</w:t>
            </w:r>
          </w:p>
        </w:tc>
        <w:tc>
          <w:tcPr>
            <w:tcW w:w="842" w:type="pct"/>
          </w:tcPr>
          <w:p w14:paraId="0FB9B5DC" w14:textId="75D26E92" w:rsidR="00190767" w:rsidRPr="004F374E" w:rsidRDefault="00E563AD" w:rsidP="004F374E">
            <w:pPr>
              <w:spacing w:line="360" w:lineRule="auto"/>
              <w:jc w:val="center"/>
              <w:rPr>
                <w:rFonts w:ascii="Arial" w:hAnsi="Arial" w:cs="Arial"/>
                <w:sz w:val="22"/>
                <w:szCs w:val="22"/>
              </w:rPr>
            </w:pPr>
            <w:r>
              <w:rPr>
                <w:rFonts w:ascii="Arial" w:hAnsi="Arial" w:cs="Arial"/>
                <w:sz w:val="22"/>
                <w:szCs w:val="22"/>
              </w:rPr>
              <w:t>4.</w:t>
            </w:r>
            <w:r w:rsidR="00BC2285">
              <w:rPr>
                <w:rFonts w:ascii="Arial" w:hAnsi="Arial" w:cs="Arial"/>
                <w:sz w:val="22"/>
                <w:szCs w:val="22"/>
              </w:rPr>
              <w:t>65</w:t>
            </w:r>
          </w:p>
        </w:tc>
      </w:tr>
      <w:bookmarkEnd w:id="0"/>
      <w:bookmarkEnd w:id="1"/>
    </w:tbl>
    <w:p w14:paraId="069F2AE7" w14:textId="77777777" w:rsidR="00732B04" w:rsidRDefault="00732B04" w:rsidP="0032582C">
      <w:pPr>
        <w:spacing w:line="360" w:lineRule="auto"/>
        <w:jc w:val="both"/>
        <w:rPr>
          <w:rFonts w:ascii="Arial" w:hAnsi="Arial" w:cs="Arial"/>
          <w:sz w:val="22"/>
          <w:szCs w:val="22"/>
        </w:rPr>
      </w:pPr>
    </w:p>
    <w:p w14:paraId="5C0B2FDA" w14:textId="01832C85" w:rsidR="00D34D57" w:rsidRDefault="005B00D4" w:rsidP="0032582C">
      <w:pPr>
        <w:spacing w:line="360" w:lineRule="auto"/>
        <w:jc w:val="both"/>
        <w:rPr>
          <w:rFonts w:ascii="Arial" w:hAnsi="Arial" w:cs="Arial"/>
          <w:sz w:val="22"/>
          <w:szCs w:val="22"/>
        </w:rPr>
      </w:pPr>
      <w:r>
        <w:rPr>
          <w:rFonts w:ascii="Arial" w:hAnsi="Arial" w:cs="Arial"/>
          <w:sz w:val="22"/>
          <w:szCs w:val="22"/>
        </w:rPr>
        <w:t>O</w:t>
      </w:r>
      <w:r w:rsidR="00B65F9B">
        <w:rPr>
          <w:rFonts w:ascii="Arial" w:hAnsi="Arial" w:cs="Arial"/>
          <w:sz w:val="22"/>
          <w:szCs w:val="22"/>
        </w:rPr>
        <w:t xml:space="preserve">n the basis of </w:t>
      </w:r>
      <w:r w:rsidR="0013416F">
        <w:rPr>
          <w:rFonts w:ascii="Arial" w:hAnsi="Arial" w:cs="Arial"/>
          <w:sz w:val="22"/>
          <w:szCs w:val="22"/>
        </w:rPr>
        <w:t xml:space="preserve">what the HBF considered to be the LHNA </w:t>
      </w:r>
      <w:r w:rsidR="005A1859">
        <w:rPr>
          <w:rFonts w:ascii="Arial" w:hAnsi="Arial" w:cs="Arial"/>
          <w:sz w:val="22"/>
          <w:szCs w:val="22"/>
        </w:rPr>
        <w:t xml:space="preserve">at the time of the regulation 19 consultation </w:t>
      </w:r>
      <w:r w:rsidR="00B65F9B">
        <w:rPr>
          <w:rFonts w:ascii="Arial" w:hAnsi="Arial" w:cs="Arial"/>
          <w:sz w:val="22"/>
          <w:szCs w:val="22"/>
        </w:rPr>
        <w:t>the Council would have a marginal land supply on adoption</w:t>
      </w:r>
      <w:r w:rsidR="00691D09">
        <w:rPr>
          <w:rFonts w:ascii="Arial" w:hAnsi="Arial" w:cs="Arial"/>
          <w:sz w:val="22"/>
          <w:szCs w:val="22"/>
        </w:rPr>
        <w:t xml:space="preserve"> even on the basis of the Council’s </w:t>
      </w:r>
      <w:r w:rsidR="00733255">
        <w:rPr>
          <w:rFonts w:ascii="Arial" w:hAnsi="Arial" w:cs="Arial"/>
          <w:sz w:val="22"/>
          <w:szCs w:val="22"/>
        </w:rPr>
        <w:t>propose</w:t>
      </w:r>
      <w:r>
        <w:rPr>
          <w:rFonts w:ascii="Arial" w:hAnsi="Arial" w:cs="Arial"/>
          <w:sz w:val="22"/>
          <w:szCs w:val="22"/>
        </w:rPr>
        <w:t>d</w:t>
      </w:r>
      <w:r w:rsidR="00733255">
        <w:rPr>
          <w:rFonts w:ascii="Arial" w:hAnsi="Arial" w:cs="Arial"/>
          <w:sz w:val="22"/>
          <w:szCs w:val="22"/>
        </w:rPr>
        <w:t xml:space="preserve"> trajectory. </w:t>
      </w:r>
      <w:r w:rsidR="00FA1170">
        <w:rPr>
          <w:rFonts w:ascii="Arial" w:hAnsi="Arial" w:cs="Arial"/>
          <w:sz w:val="22"/>
          <w:szCs w:val="22"/>
        </w:rPr>
        <w:t xml:space="preserve">If the LHNA is updated to take account of the most up to date information at the time of </w:t>
      </w:r>
      <w:r w:rsidR="00D34D57">
        <w:rPr>
          <w:rFonts w:ascii="Arial" w:hAnsi="Arial" w:cs="Arial"/>
          <w:sz w:val="22"/>
          <w:szCs w:val="22"/>
        </w:rPr>
        <w:t>submission,</w:t>
      </w:r>
      <w:r w:rsidR="00FA1170">
        <w:rPr>
          <w:rFonts w:ascii="Arial" w:hAnsi="Arial" w:cs="Arial"/>
          <w:sz w:val="22"/>
          <w:szCs w:val="22"/>
        </w:rPr>
        <w:t xml:space="preserve"> the</w:t>
      </w:r>
      <w:r w:rsidR="00FA229B">
        <w:rPr>
          <w:rFonts w:ascii="Arial" w:hAnsi="Arial" w:cs="Arial"/>
          <w:sz w:val="22"/>
          <w:szCs w:val="22"/>
        </w:rPr>
        <w:t xml:space="preserve">n the land supply falls below the </w:t>
      </w:r>
      <w:r w:rsidR="005C53B0">
        <w:rPr>
          <w:rFonts w:ascii="Arial" w:hAnsi="Arial" w:cs="Arial"/>
          <w:sz w:val="22"/>
          <w:szCs w:val="22"/>
        </w:rPr>
        <w:t xml:space="preserve">housing requirment for the first five years of the local plan. </w:t>
      </w:r>
      <w:r w:rsidR="009624E0">
        <w:rPr>
          <w:rFonts w:ascii="Arial" w:hAnsi="Arial" w:cs="Arial"/>
          <w:sz w:val="22"/>
          <w:szCs w:val="22"/>
        </w:rPr>
        <w:t xml:space="preserve"> </w:t>
      </w:r>
    </w:p>
    <w:p w14:paraId="57095DD3" w14:textId="77777777" w:rsidR="00D34D57" w:rsidRDefault="00D34D57" w:rsidP="0032582C">
      <w:pPr>
        <w:spacing w:line="360" w:lineRule="auto"/>
        <w:jc w:val="both"/>
        <w:rPr>
          <w:rFonts w:ascii="Arial" w:hAnsi="Arial" w:cs="Arial"/>
          <w:sz w:val="22"/>
          <w:szCs w:val="22"/>
        </w:rPr>
      </w:pPr>
    </w:p>
    <w:p w14:paraId="7817935E" w14:textId="77777777" w:rsidR="00F8743B" w:rsidRDefault="00733255" w:rsidP="0032582C">
      <w:pPr>
        <w:spacing w:line="360" w:lineRule="auto"/>
        <w:jc w:val="both"/>
        <w:rPr>
          <w:rFonts w:ascii="Arial" w:hAnsi="Arial" w:cs="Arial"/>
          <w:sz w:val="22"/>
          <w:szCs w:val="22"/>
        </w:rPr>
      </w:pPr>
      <w:r>
        <w:rPr>
          <w:rFonts w:ascii="Arial" w:hAnsi="Arial" w:cs="Arial"/>
          <w:sz w:val="22"/>
          <w:szCs w:val="22"/>
        </w:rPr>
        <w:t xml:space="preserve">However, </w:t>
      </w:r>
      <w:r w:rsidR="006F5FF0">
        <w:rPr>
          <w:rFonts w:ascii="Arial" w:hAnsi="Arial" w:cs="Arial"/>
          <w:sz w:val="22"/>
          <w:szCs w:val="22"/>
        </w:rPr>
        <w:t xml:space="preserve">adjustments are </w:t>
      </w:r>
      <w:r w:rsidR="005C53B0">
        <w:rPr>
          <w:rFonts w:ascii="Arial" w:hAnsi="Arial" w:cs="Arial"/>
          <w:sz w:val="22"/>
          <w:szCs w:val="22"/>
        </w:rPr>
        <w:t xml:space="preserve">also </w:t>
      </w:r>
      <w:r w:rsidR="006F5FF0">
        <w:rPr>
          <w:rFonts w:ascii="Arial" w:hAnsi="Arial" w:cs="Arial"/>
          <w:sz w:val="22"/>
          <w:szCs w:val="22"/>
        </w:rPr>
        <w:t>needed to the supply. Firstly, t</w:t>
      </w:r>
      <w:r>
        <w:rPr>
          <w:rFonts w:ascii="Arial" w:hAnsi="Arial" w:cs="Arial"/>
          <w:sz w:val="22"/>
          <w:szCs w:val="22"/>
        </w:rPr>
        <w:t xml:space="preserve">he concerns outlined earlier in this statement raise </w:t>
      </w:r>
      <w:r w:rsidR="001E1946">
        <w:rPr>
          <w:rFonts w:ascii="Arial" w:hAnsi="Arial" w:cs="Arial"/>
          <w:sz w:val="22"/>
          <w:szCs w:val="22"/>
        </w:rPr>
        <w:t xml:space="preserve">significant doubts about the soundness of including </w:t>
      </w:r>
      <w:r w:rsidR="009624E0">
        <w:rPr>
          <w:rFonts w:ascii="Arial" w:hAnsi="Arial" w:cs="Arial"/>
          <w:sz w:val="22"/>
          <w:szCs w:val="22"/>
        </w:rPr>
        <w:t xml:space="preserve">NW62 in the </w:t>
      </w:r>
      <w:r w:rsidR="004E106D">
        <w:rPr>
          <w:rFonts w:ascii="Arial" w:hAnsi="Arial" w:cs="Arial"/>
          <w:sz w:val="22"/>
          <w:szCs w:val="22"/>
        </w:rPr>
        <w:t>five-year</w:t>
      </w:r>
      <w:r w:rsidR="009624E0">
        <w:rPr>
          <w:rFonts w:ascii="Arial" w:hAnsi="Arial" w:cs="Arial"/>
          <w:sz w:val="22"/>
          <w:szCs w:val="22"/>
        </w:rPr>
        <w:t xml:space="preserve"> land supply </w:t>
      </w:r>
      <w:r w:rsidR="001E1946">
        <w:rPr>
          <w:rFonts w:ascii="Arial" w:hAnsi="Arial" w:cs="Arial"/>
          <w:sz w:val="22"/>
          <w:szCs w:val="22"/>
        </w:rPr>
        <w:t>along</w:t>
      </w:r>
      <w:r w:rsidR="006F5FF0">
        <w:rPr>
          <w:rFonts w:ascii="Arial" w:hAnsi="Arial" w:cs="Arial"/>
          <w:sz w:val="22"/>
          <w:szCs w:val="22"/>
        </w:rPr>
        <w:t xml:space="preserve">. Secondly the </w:t>
      </w:r>
      <w:r w:rsidR="0072257C">
        <w:rPr>
          <w:rFonts w:ascii="Arial" w:hAnsi="Arial" w:cs="Arial"/>
          <w:sz w:val="22"/>
          <w:szCs w:val="22"/>
        </w:rPr>
        <w:t>inclusion of a</w:t>
      </w:r>
      <w:r w:rsidR="00224DEF">
        <w:rPr>
          <w:rFonts w:ascii="Arial" w:hAnsi="Arial" w:cs="Arial"/>
          <w:sz w:val="22"/>
          <w:szCs w:val="22"/>
        </w:rPr>
        <w:t xml:space="preserve"> windfall </w:t>
      </w:r>
      <w:r w:rsidR="0072257C">
        <w:rPr>
          <w:rFonts w:ascii="Arial" w:hAnsi="Arial" w:cs="Arial"/>
          <w:sz w:val="22"/>
          <w:szCs w:val="22"/>
        </w:rPr>
        <w:t xml:space="preserve">allowance </w:t>
      </w:r>
      <w:r w:rsidR="00E85190">
        <w:rPr>
          <w:rFonts w:ascii="Arial" w:hAnsi="Arial" w:cs="Arial"/>
          <w:sz w:val="22"/>
          <w:szCs w:val="22"/>
        </w:rPr>
        <w:t xml:space="preserve">from </w:t>
      </w:r>
      <w:r w:rsidR="00E73BEB">
        <w:rPr>
          <w:rFonts w:ascii="Arial" w:hAnsi="Arial" w:cs="Arial"/>
          <w:sz w:val="22"/>
          <w:szCs w:val="22"/>
        </w:rPr>
        <w:t xml:space="preserve">24/25 </w:t>
      </w:r>
      <w:r w:rsidR="007175C8">
        <w:rPr>
          <w:rFonts w:ascii="Arial" w:hAnsi="Arial" w:cs="Arial"/>
          <w:sz w:val="22"/>
          <w:szCs w:val="22"/>
        </w:rPr>
        <w:t xml:space="preserve">is likely to see significant double counting </w:t>
      </w:r>
      <w:r w:rsidR="00A23C3E">
        <w:rPr>
          <w:rFonts w:ascii="Arial" w:hAnsi="Arial" w:cs="Arial"/>
          <w:sz w:val="22"/>
          <w:szCs w:val="22"/>
        </w:rPr>
        <w:t xml:space="preserve">should, be included only </w:t>
      </w:r>
      <w:r w:rsidR="00E54B7A">
        <w:rPr>
          <w:rFonts w:ascii="Arial" w:hAnsi="Arial" w:cs="Arial"/>
          <w:sz w:val="22"/>
          <w:szCs w:val="22"/>
        </w:rPr>
        <w:t xml:space="preserve">from 2027/28. </w:t>
      </w:r>
      <w:r w:rsidR="00D044AC">
        <w:rPr>
          <w:rFonts w:ascii="Arial" w:hAnsi="Arial" w:cs="Arial"/>
          <w:sz w:val="22"/>
          <w:szCs w:val="22"/>
        </w:rPr>
        <w:t>Both</w:t>
      </w:r>
      <w:r w:rsidR="00A06544">
        <w:rPr>
          <w:rFonts w:ascii="Arial" w:hAnsi="Arial" w:cs="Arial"/>
          <w:sz w:val="22"/>
          <w:szCs w:val="22"/>
        </w:rPr>
        <w:t xml:space="preserve"> these adjustments </w:t>
      </w:r>
      <w:r w:rsidR="00D044AC">
        <w:rPr>
          <w:rFonts w:ascii="Arial" w:hAnsi="Arial" w:cs="Arial"/>
          <w:sz w:val="22"/>
          <w:szCs w:val="22"/>
        </w:rPr>
        <w:t>would</w:t>
      </w:r>
      <w:r w:rsidR="00A06544">
        <w:rPr>
          <w:rFonts w:ascii="Arial" w:hAnsi="Arial" w:cs="Arial"/>
          <w:sz w:val="22"/>
          <w:szCs w:val="22"/>
        </w:rPr>
        <w:t xml:space="preserve"> result in the </w:t>
      </w:r>
      <w:r w:rsidR="00614F94">
        <w:rPr>
          <w:rFonts w:ascii="Arial" w:hAnsi="Arial" w:cs="Arial"/>
          <w:sz w:val="22"/>
          <w:szCs w:val="22"/>
        </w:rPr>
        <w:t>five-year</w:t>
      </w:r>
      <w:r w:rsidR="00A06544">
        <w:rPr>
          <w:rFonts w:ascii="Arial" w:hAnsi="Arial" w:cs="Arial"/>
          <w:sz w:val="22"/>
          <w:szCs w:val="22"/>
        </w:rPr>
        <w:t xml:space="preserve"> land supply reducing </w:t>
      </w:r>
      <w:r w:rsidR="00D044AC">
        <w:rPr>
          <w:rFonts w:ascii="Arial" w:hAnsi="Arial" w:cs="Arial"/>
          <w:sz w:val="22"/>
          <w:szCs w:val="22"/>
        </w:rPr>
        <w:t xml:space="preserve">by 360 dwellings. </w:t>
      </w:r>
    </w:p>
    <w:p w14:paraId="58BA51F4" w14:textId="77777777" w:rsidR="00F8743B" w:rsidRDefault="00F8743B" w:rsidP="0032582C">
      <w:pPr>
        <w:spacing w:line="360" w:lineRule="auto"/>
        <w:jc w:val="both"/>
        <w:rPr>
          <w:rFonts w:ascii="Arial" w:hAnsi="Arial" w:cs="Arial"/>
          <w:sz w:val="22"/>
          <w:szCs w:val="22"/>
        </w:rPr>
      </w:pPr>
    </w:p>
    <w:p w14:paraId="0672FF39" w14:textId="3B7D8093" w:rsidR="0030483C" w:rsidRDefault="00D45240" w:rsidP="0032582C">
      <w:pPr>
        <w:spacing w:line="360" w:lineRule="auto"/>
        <w:jc w:val="both"/>
        <w:rPr>
          <w:rFonts w:ascii="Arial" w:hAnsi="Arial" w:cs="Arial"/>
          <w:sz w:val="22"/>
          <w:szCs w:val="22"/>
        </w:rPr>
      </w:pPr>
      <w:r>
        <w:rPr>
          <w:rFonts w:ascii="Arial" w:hAnsi="Arial" w:cs="Arial"/>
          <w:sz w:val="22"/>
          <w:szCs w:val="22"/>
        </w:rPr>
        <w:t xml:space="preserve">Finally, </w:t>
      </w:r>
      <w:r w:rsidR="00753106">
        <w:rPr>
          <w:rFonts w:ascii="Arial" w:hAnsi="Arial" w:cs="Arial"/>
          <w:sz w:val="22"/>
          <w:szCs w:val="22"/>
        </w:rPr>
        <w:t>adjustments are needed to take account of nutrient neutrality.</w:t>
      </w:r>
      <w:r w:rsidR="00CE566D">
        <w:rPr>
          <w:rFonts w:ascii="Arial" w:hAnsi="Arial" w:cs="Arial"/>
          <w:sz w:val="22"/>
          <w:szCs w:val="22"/>
        </w:rPr>
        <w:t xml:space="preserve"> As outlined </w:t>
      </w:r>
      <w:r w:rsidR="001B06E6">
        <w:rPr>
          <w:rFonts w:ascii="Arial" w:hAnsi="Arial" w:cs="Arial"/>
          <w:sz w:val="22"/>
          <w:szCs w:val="22"/>
        </w:rPr>
        <w:t>above</w:t>
      </w:r>
      <w:r w:rsidR="00CE566D">
        <w:rPr>
          <w:rFonts w:ascii="Arial" w:hAnsi="Arial" w:cs="Arial"/>
          <w:sz w:val="22"/>
          <w:szCs w:val="22"/>
        </w:rPr>
        <w:t xml:space="preserve"> it </w:t>
      </w:r>
      <w:r w:rsidR="001B06E6">
        <w:rPr>
          <w:rFonts w:ascii="Arial" w:hAnsi="Arial" w:cs="Arial"/>
          <w:sz w:val="22"/>
          <w:szCs w:val="22"/>
        </w:rPr>
        <w:t>would</w:t>
      </w:r>
      <w:r w:rsidR="00CE566D">
        <w:rPr>
          <w:rFonts w:ascii="Arial" w:hAnsi="Arial" w:cs="Arial"/>
          <w:sz w:val="22"/>
          <w:szCs w:val="22"/>
        </w:rPr>
        <w:t xml:space="preserve"> appear credits are only available to </w:t>
      </w:r>
      <w:r w:rsidR="001B06E6">
        <w:rPr>
          <w:rFonts w:ascii="Arial" w:hAnsi="Arial" w:cs="Arial"/>
          <w:sz w:val="22"/>
          <w:szCs w:val="22"/>
        </w:rPr>
        <w:t>mitigate</w:t>
      </w:r>
      <w:r w:rsidR="00CE566D">
        <w:rPr>
          <w:rFonts w:ascii="Arial" w:hAnsi="Arial" w:cs="Arial"/>
          <w:sz w:val="22"/>
          <w:szCs w:val="22"/>
        </w:rPr>
        <w:t xml:space="preserve"> development</w:t>
      </w:r>
      <w:r w:rsidR="001B06E6">
        <w:rPr>
          <w:rFonts w:ascii="Arial" w:hAnsi="Arial" w:cs="Arial"/>
          <w:sz w:val="22"/>
          <w:szCs w:val="22"/>
        </w:rPr>
        <w:t xml:space="preserve"> </w:t>
      </w:r>
      <w:r w:rsidR="00CE566D">
        <w:rPr>
          <w:rFonts w:ascii="Arial" w:hAnsi="Arial" w:cs="Arial"/>
          <w:sz w:val="22"/>
          <w:szCs w:val="22"/>
        </w:rPr>
        <w:t>in</w:t>
      </w:r>
      <w:r w:rsidR="001B06E6">
        <w:rPr>
          <w:rFonts w:ascii="Arial" w:hAnsi="Arial" w:cs="Arial"/>
          <w:sz w:val="22"/>
          <w:szCs w:val="22"/>
        </w:rPr>
        <w:t xml:space="preserve"> </w:t>
      </w:r>
      <w:r w:rsidR="00CE566D">
        <w:rPr>
          <w:rFonts w:ascii="Arial" w:hAnsi="Arial" w:cs="Arial"/>
          <w:sz w:val="22"/>
          <w:szCs w:val="22"/>
        </w:rPr>
        <w:t>th</w:t>
      </w:r>
      <w:r w:rsidR="001B06E6">
        <w:rPr>
          <w:rFonts w:ascii="Arial" w:hAnsi="Arial" w:cs="Arial"/>
          <w:sz w:val="22"/>
          <w:szCs w:val="22"/>
        </w:rPr>
        <w:t>e</w:t>
      </w:r>
      <w:r w:rsidR="00CE566D">
        <w:rPr>
          <w:rFonts w:ascii="Arial" w:hAnsi="Arial" w:cs="Arial"/>
          <w:sz w:val="22"/>
          <w:szCs w:val="22"/>
        </w:rPr>
        <w:t xml:space="preserve"> Yare Valley</w:t>
      </w:r>
      <w:r w:rsidR="00B40B3C">
        <w:rPr>
          <w:rFonts w:ascii="Arial" w:hAnsi="Arial" w:cs="Arial"/>
          <w:sz w:val="22"/>
          <w:szCs w:val="22"/>
        </w:rPr>
        <w:t xml:space="preserve"> </w:t>
      </w:r>
      <w:r w:rsidR="00D62BB3">
        <w:rPr>
          <w:rFonts w:ascii="Arial" w:hAnsi="Arial" w:cs="Arial"/>
          <w:sz w:val="22"/>
          <w:szCs w:val="22"/>
        </w:rPr>
        <w:t>and not those areas affected in North Norfolk. W</w:t>
      </w:r>
      <w:r w:rsidR="00BD4D80">
        <w:rPr>
          <w:rFonts w:ascii="Arial" w:hAnsi="Arial" w:cs="Arial"/>
          <w:sz w:val="22"/>
          <w:szCs w:val="22"/>
        </w:rPr>
        <w:t xml:space="preserve">hilst it is hoped mitigation will be available </w:t>
      </w:r>
      <w:r w:rsidR="006039D2">
        <w:rPr>
          <w:rFonts w:ascii="Arial" w:hAnsi="Arial" w:cs="Arial"/>
          <w:sz w:val="22"/>
          <w:szCs w:val="22"/>
        </w:rPr>
        <w:t xml:space="preserve">it is </w:t>
      </w:r>
      <w:r w:rsidR="00BD4D80">
        <w:rPr>
          <w:rFonts w:ascii="Arial" w:hAnsi="Arial" w:cs="Arial"/>
          <w:sz w:val="22"/>
          <w:szCs w:val="22"/>
        </w:rPr>
        <w:t xml:space="preserve">by no means certain. </w:t>
      </w:r>
      <w:r w:rsidR="005C54F7">
        <w:rPr>
          <w:rFonts w:ascii="Arial" w:hAnsi="Arial" w:cs="Arial"/>
          <w:sz w:val="22"/>
          <w:szCs w:val="22"/>
        </w:rPr>
        <w:t xml:space="preserve">As such it is questionable that these sites should be considered </w:t>
      </w:r>
      <w:r w:rsidR="00D62BB3">
        <w:rPr>
          <w:rFonts w:ascii="Arial" w:hAnsi="Arial" w:cs="Arial"/>
          <w:sz w:val="22"/>
          <w:szCs w:val="22"/>
        </w:rPr>
        <w:t>deliverable</w:t>
      </w:r>
      <w:r w:rsidR="00203A26">
        <w:rPr>
          <w:rFonts w:ascii="Arial" w:hAnsi="Arial" w:cs="Arial"/>
          <w:sz w:val="22"/>
          <w:szCs w:val="22"/>
        </w:rPr>
        <w:t xml:space="preserve">. The HBF would suggest that a cautious approach is required and </w:t>
      </w:r>
      <w:r w:rsidR="00A941E6">
        <w:rPr>
          <w:rFonts w:ascii="Arial" w:hAnsi="Arial" w:cs="Arial"/>
          <w:sz w:val="22"/>
          <w:szCs w:val="22"/>
        </w:rPr>
        <w:t xml:space="preserve">those </w:t>
      </w:r>
      <w:r w:rsidR="00B40B3C">
        <w:rPr>
          <w:rFonts w:ascii="Arial" w:hAnsi="Arial" w:cs="Arial"/>
          <w:sz w:val="22"/>
          <w:szCs w:val="22"/>
        </w:rPr>
        <w:t xml:space="preserve">sites requiring mitigation </w:t>
      </w:r>
      <w:r w:rsidR="006039D2">
        <w:rPr>
          <w:rFonts w:ascii="Arial" w:hAnsi="Arial" w:cs="Arial"/>
          <w:sz w:val="22"/>
          <w:szCs w:val="22"/>
        </w:rPr>
        <w:t xml:space="preserve">relating to nutrient neutrality </w:t>
      </w:r>
      <w:r w:rsidR="00A941E6">
        <w:rPr>
          <w:rFonts w:ascii="Arial" w:hAnsi="Arial" w:cs="Arial"/>
          <w:sz w:val="22"/>
          <w:szCs w:val="22"/>
        </w:rPr>
        <w:t>are</w:t>
      </w:r>
      <w:r w:rsidR="00B40B3C">
        <w:rPr>
          <w:rFonts w:ascii="Arial" w:hAnsi="Arial" w:cs="Arial"/>
          <w:sz w:val="22"/>
          <w:szCs w:val="22"/>
        </w:rPr>
        <w:t xml:space="preserve"> not included</w:t>
      </w:r>
      <w:r w:rsidR="005B55FB">
        <w:rPr>
          <w:rFonts w:ascii="Arial" w:hAnsi="Arial" w:cs="Arial"/>
          <w:sz w:val="22"/>
          <w:szCs w:val="22"/>
        </w:rPr>
        <w:t xml:space="preserve"> </w:t>
      </w:r>
      <w:r w:rsidR="00B40B3C">
        <w:rPr>
          <w:rFonts w:ascii="Arial" w:hAnsi="Arial" w:cs="Arial"/>
          <w:sz w:val="22"/>
          <w:szCs w:val="22"/>
        </w:rPr>
        <w:t xml:space="preserve">the </w:t>
      </w:r>
      <w:r w:rsidR="004A209C">
        <w:rPr>
          <w:rFonts w:ascii="Arial" w:hAnsi="Arial" w:cs="Arial"/>
          <w:sz w:val="22"/>
          <w:szCs w:val="22"/>
        </w:rPr>
        <w:t>five-year</w:t>
      </w:r>
      <w:r w:rsidR="00B40B3C">
        <w:rPr>
          <w:rFonts w:ascii="Arial" w:hAnsi="Arial" w:cs="Arial"/>
          <w:sz w:val="22"/>
          <w:szCs w:val="22"/>
        </w:rPr>
        <w:t xml:space="preserve"> land supply.</w:t>
      </w:r>
      <w:r w:rsidR="004A209C">
        <w:rPr>
          <w:rFonts w:ascii="Arial" w:hAnsi="Arial" w:cs="Arial"/>
          <w:sz w:val="22"/>
          <w:szCs w:val="22"/>
        </w:rPr>
        <w:t xml:space="preserve"> </w:t>
      </w:r>
      <w:r w:rsidR="00902FE6">
        <w:rPr>
          <w:rFonts w:ascii="Arial" w:hAnsi="Arial" w:cs="Arial"/>
          <w:sz w:val="22"/>
          <w:szCs w:val="22"/>
        </w:rPr>
        <w:t xml:space="preserve">Based on Appendix </w:t>
      </w:r>
      <w:r w:rsidR="00C7171E">
        <w:rPr>
          <w:rFonts w:ascii="Arial" w:hAnsi="Arial" w:cs="Arial"/>
          <w:sz w:val="22"/>
          <w:szCs w:val="22"/>
        </w:rPr>
        <w:t xml:space="preserve">B in EX006 this would </w:t>
      </w:r>
      <w:r w:rsidR="00EC0F1D">
        <w:rPr>
          <w:rFonts w:ascii="Arial" w:hAnsi="Arial" w:cs="Arial"/>
          <w:sz w:val="22"/>
          <w:szCs w:val="22"/>
        </w:rPr>
        <w:t>push back del</w:t>
      </w:r>
      <w:r w:rsidR="00A755E2">
        <w:rPr>
          <w:rFonts w:ascii="Arial" w:hAnsi="Arial" w:cs="Arial"/>
          <w:sz w:val="22"/>
          <w:szCs w:val="22"/>
        </w:rPr>
        <w:t>ivery on</w:t>
      </w:r>
      <w:r w:rsidR="00462CA3">
        <w:rPr>
          <w:rFonts w:ascii="Arial" w:hAnsi="Arial" w:cs="Arial"/>
          <w:sz w:val="22"/>
          <w:szCs w:val="22"/>
        </w:rPr>
        <w:t xml:space="preserve"> </w:t>
      </w:r>
      <w:r w:rsidR="00077511">
        <w:rPr>
          <w:rFonts w:ascii="Arial" w:hAnsi="Arial" w:cs="Arial"/>
          <w:sz w:val="22"/>
          <w:szCs w:val="22"/>
        </w:rPr>
        <w:t>C</w:t>
      </w:r>
      <w:r w:rsidR="00462CA3">
        <w:rPr>
          <w:rFonts w:ascii="Arial" w:hAnsi="Arial" w:cs="Arial"/>
          <w:sz w:val="22"/>
          <w:szCs w:val="22"/>
        </w:rPr>
        <w:t>OR01,</w:t>
      </w:r>
      <w:r w:rsidR="00C7171E">
        <w:rPr>
          <w:rFonts w:ascii="Arial" w:hAnsi="Arial" w:cs="Arial"/>
          <w:sz w:val="22"/>
          <w:szCs w:val="22"/>
        </w:rPr>
        <w:t xml:space="preserve"> </w:t>
      </w:r>
      <w:r w:rsidR="00EC0F1D">
        <w:rPr>
          <w:rFonts w:ascii="Arial" w:hAnsi="Arial" w:cs="Arial"/>
          <w:sz w:val="22"/>
          <w:szCs w:val="22"/>
        </w:rPr>
        <w:t xml:space="preserve">FO1, </w:t>
      </w:r>
      <w:r w:rsidR="003B224A">
        <w:rPr>
          <w:rFonts w:ascii="Arial" w:hAnsi="Arial" w:cs="Arial"/>
          <w:sz w:val="22"/>
          <w:szCs w:val="22"/>
        </w:rPr>
        <w:t xml:space="preserve">FO2, </w:t>
      </w:r>
      <w:r w:rsidR="00245518">
        <w:rPr>
          <w:rFonts w:ascii="Arial" w:hAnsi="Arial" w:cs="Arial"/>
          <w:sz w:val="22"/>
          <w:szCs w:val="22"/>
        </w:rPr>
        <w:t xml:space="preserve">HVO1/B, </w:t>
      </w:r>
      <w:r w:rsidR="00BA3AED">
        <w:rPr>
          <w:rFonts w:ascii="Arial" w:hAnsi="Arial" w:cs="Arial"/>
          <w:sz w:val="22"/>
          <w:szCs w:val="22"/>
        </w:rPr>
        <w:t>SH06</w:t>
      </w:r>
      <w:r w:rsidR="005D3280">
        <w:rPr>
          <w:rFonts w:ascii="Arial" w:hAnsi="Arial" w:cs="Arial"/>
          <w:sz w:val="22"/>
          <w:szCs w:val="22"/>
        </w:rPr>
        <w:t>, St19A</w:t>
      </w:r>
      <w:r w:rsidR="00150FD9">
        <w:rPr>
          <w:rFonts w:ascii="Arial" w:hAnsi="Arial" w:cs="Arial"/>
          <w:sz w:val="22"/>
          <w:szCs w:val="22"/>
        </w:rPr>
        <w:t>, ST23/2</w:t>
      </w:r>
      <w:r w:rsidR="00614F94">
        <w:rPr>
          <w:rFonts w:ascii="Arial" w:hAnsi="Arial" w:cs="Arial"/>
          <w:sz w:val="22"/>
          <w:szCs w:val="22"/>
        </w:rPr>
        <w:t xml:space="preserve"> and</w:t>
      </w:r>
      <w:r w:rsidR="00BA3AED">
        <w:rPr>
          <w:rFonts w:ascii="Arial" w:hAnsi="Arial" w:cs="Arial"/>
          <w:sz w:val="22"/>
          <w:szCs w:val="22"/>
        </w:rPr>
        <w:t xml:space="preserve"> </w:t>
      </w:r>
      <w:r w:rsidR="00EC0F1D">
        <w:rPr>
          <w:rFonts w:ascii="Arial" w:hAnsi="Arial" w:cs="Arial"/>
          <w:sz w:val="22"/>
          <w:szCs w:val="22"/>
        </w:rPr>
        <w:t>PF/17/0729</w:t>
      </w:r>
      <w:r w:rsidR="00600030">
        <w:rPr>
          <w:rFonts w:ascii="Arial" w:hAnsi="Arial" w:cs="Arial"/>
          <w:sz w:val="22"/>
          <w:szCs w:val="22"/>
        </w:rPr>
        <w:t xml:space="preserve"> where resolution of nutrient neutrality matters is pending. </w:t>
      </w:r>
      <w:r w:rsidR="00E54B7A">
        <w:rPr>
          <w:rFonts w:ascii="Arial" w:hAnsi="Arial" w:cs="Arial"/>
          <w:sz w:val="22"/>
          <w:szCs w:val="22"/>
        </w:rPr>
        <w:t xml:space="preserve">This would reduce supply in the first five years </w:t>
      </w:r>
      <w:r w:rsidR="003B6D2C">
        <w:rPr>
          <w:rFonts w:ascii="Arial" w:hAnsi="Arial" w:cs="Arial"/>
          <w:sz w:val="22"/>
          <w:szCs w:val="22"/>
        </w:rPr>
        <w:t>by</w:t>
      </w:r>
      <w:r w:rsidR="00A941E6">
        <w:rPr>
          <w:rFonts w:ascii="Arial" w:hAnsi="Arial" w:cs="Arial"/>
          <w:sz w:val="22"/>
          <w:szCs w:val="22"/>
        </w:rPr>
        <w:t xml:space="preserve"> a further </w:t>
      </w:r>
      <w:r w:rsidR="006F498D">
        <w:rPr>
          <w:rFonts w:ascii="Arial" w:hAnsi="Arial" w:cs="Arial"/>
          <w:sz w:val="22"/>
          <w:szCs w:val="22"/>
        </w:rPr>
        <w:t>482</w:t>
      </w:r>
      <w:r w:rsidR="00A06544">
        <w:rPr>
          <w:rFonts w:ascii="Arial" w:hAnsi="Arial" w:cs="Arial"/>
          <w:sz w:val="22"/>
          <w:szCs w:val="22"/>
        </w:rPr>
        <w:t xml:space="preserve"> dwellings. </w:t>
      </w:r>
      <w:r w:rsidR="003B6D2C">
        <w:rPr>
          <w:rFonts w:ascii="Arial" w:hAnsi="Arial" w:cs="Arial"/>
          <w:sz w:val="22"/>
          <w:szCs w:val="22"/>
        </w:rPr>
        <w:t xml:space="preserve"> </w:t>
      </w:r>
    </w:p>
    <w:p w14:paraId="4F05AB55" w14:textId="77777777" w:rsidR="0030483C" w:rsidRDefault="0030483C" w:rsidP="0032582C">
      <w:pPr>
        <w:spacing w:line="360" w:lineRule="auto"/>
        <w:jc w:val="both"/>
        <w:rPr>
          <w:rFonts w:ascii="Arial" w:hAnsi="Arial" w:cs="Arial"/>
          <w:sz w:val="22"/>
          <w:szCs w:val="22"/>
        </w:rPr>
      </w:pPr>
    </w:p>
    <w:p w14:paraId="3569B8F5" w14:textId="391406F0" w:rsidR="00FC27E1" w:rsidRDefault="00614F94" w:rsidP="0032582C">
      <w:pPr>
        <w:spacing w:line="360" w:lineRule="auto"/>
        <w:jc w:val="both"/>
        <w:rPr>
          <w:rFonts w:ascii="Arial" w:hAnsi="Arial" w:cs="Arial"/>
          <w:sz w:val="22"/>
          <w:szCs w:val="22"/>
        </w:rPr>
      </w:pPr>
      <w:r>
        <w:rPr>
          <w:rFonts w:ascii="Arial" w:hAnsi="Arial" w:cs="Arial"/>
          <w:sz w:val="22"/>
          <w:szCs w:val="22"/>
        </w:rPr>
        <w:lastRenderedPageBreak/>
        <w:t>Therefore,</w:t>
      </w:r>
      <w:r w:rsidR="0030483C">
        <w:rPr>
          <w:rFonts w:ascii="Arial" w:hAnsi="Arial" w:cs="Arial"/>
          <w:sz w:val="22"/>
          <w:szCs w:val="22"/>
        </w:rPr>
        <w:t xml:space="preserve"> </w:t>
      </w:r>
      <w:r w:rsidR="006F33F2">
        <w:rPr>
          <w:rFonts w:ascii="Arial" w:hAnsi="Arial" w:cs="Arial"/>
          <w:sz w:val="22"/>
          <w:szCs w:val="22"/>
        </w:rPr>
        <w:t xml:space="preserve">the </w:t>
      </w:r>
      <w:r w:rsidR="006F498D">
        <w:rPr>
          <w:rFonts w:ascii="Arial" w:hAnsi="Arial" w:cs="Arial"/>
          <w:sz w:val="22"/>
          <w:szCs w:val="22"/>
        </w:rPr>
        <w:t>five-year</w:t>
      </w:r>
      <w:r w:rsidR="006F33F2">
        <w:rPr>
          <w:rFonts w:ascii="Arial" w:hAnsi="Arial" w:cs="Arial"/>
          <w:sz w:val="22"/>
          <w:szCs w:val="22"/>
        </w:rPr>
        <w:t xml:space="preserve"> land supply from adoption </w:t>
      </w:r>
      <w:r w:rsidR="001F6042">
        <w:rPr>
          <w:rFonts w:ascii="Arial" w:hAnsi="Arial" w:cs="Arial"/>
          <w:sz w:val="22"/>
          <w:szCs w:val="22"/>
        </w:rPr>
        <w:t>should</w:t>
      </w:r>
      <w:r w:rsidR="006F33F2">
        <w:rPr>
          <w:rFonts w:ascii="Arial" w:hAnsi="Arial" w:cs="Arial"/>
          <w:sz w:val="22"/>
          <w:szCs w:val="22"/>
        </w:rPr>
        <w:t xml:space="preserve"> be reduced by </w:t>
      </w:r>
      <w:r w:rsidR="00DA20C7">
        <w:rPr>
          <w:rFonts w:ascii="Arial" w:hAnsi="Arial" w:cs="Arial"/>
          <w:sz w:val="22"/>
          <w:szCs w:val="22"/>
        </w:rPr>
        <w:t>842</w:t>
      </w:r>
      <w:r w:rsidR="003B6D2C">
        <w:rPr>
          <w:rFonts w:ascii="Arial" w:hAnsi="Arial" w:cs="Arial"/>
          <w:sz w:val="22"/>
          <w:szCs w:val="22"/>
        </w:rPr>
        <w:t xml:space="preserve"> </w:t>
      </w:r>
      <w:r w:rsidR="008E2967">
        <w:rPr>
          <w:rFonts w:ascii="Arial" w:hAnsi="Arial" w:cs="Arial"/>
          <w:sz w:val="22"/>
          <w:szCs w:val="22"/>
        </w:rPr>
        <w:t xml:space="preserve">dwellings to </w:t>
      </w:r>
      <w:r w:rsidR="006D07A2">
        <w:rPr>
          <w:rFonts w:ascii="Arial" w:hAnsi="Arial" w:cs="Arial"/>
          <w:sz w:val="22"/>
          <w:szCs w:val="22"/>
        </w:rPr>
        <w:t>2,</w:t>
      </w:r>
      <w:r w:rsidR="00245CFF">
        <w:rPr>
          <w:rFonts w:ascii="Arial" w:hAnsi="Arial" w:cs="Arial"/>
          <w:sz w:val="22"/>
          <w:szCs w:val="22"/>
        </w:rPr>
        <w:t>25</w:t>
      </w:r>
      <w:r w:rsidR="00056B10">
        <w:rPr>
          <w:rFonts w:ascii="Arial" w:hAnsi="Arial" w:cs="Arial"/>
          <w:sz w:val="22"/>
          <w:szCs w:val="22"/>
        </w:rPr>
        <w:t>3</w:t>
      </w:r>
      <w:r w:rsidR="006D07A2">
        <w:rPr>
          <w:rFonts w:ascii="Arial" w:hAnsi="Arial" w:cs="Arial"/>
          <w:sz w:val="22"/>
          <w:szCs w:val="22"/>
        </w:rPr>
        <w:t xml:space="preserve"> dwellings and</w:t>
      </w:r>
      <w:r w:rsidR="006F33F2">
        <w:rPr>
          <w:rFonts w:ascii="Arial" w:hAnsi="Arial" w:cs="Arial"/>
          <w:sz w:val="22"/>
          <w:szCs w:val="22"/>
        </w:rPr>
        <w:t xml:space="preserve"> results in a </w:t>
      </w:r>
      <w:r w:rsidR="00BE27D8">
        <w:rPr>
          <w:rFonts w:ascii="Arial" w:hAnsi="Arial" w:cs="Arial"/>
          <w:sz w:val="22"/>
          <w:szCs w:val="22"/>
        </w:rPr>
        <w:t>5-year</w:t>
      </w:r>
      <w:r w:rsidR="006D07A2">
        <w:rPr>
          <w:rFonts w:ascii="Arial" w:hAnsi="Arial" w:cs="Arial"/>
          <w:sz w:val="22"/>
          <w:szCs w:val="22"/>
        </w:rPr>
        <w:t xml:space="preserve"> land supply </w:t>
      </w:r>
      <w:r w:rsidR="001F6042">
        <w:rPr>
          <w:rFonts w:ascii="Arial" w:hAnsi="Arial" w:cs="Arial"/>
          <w:sz w:val="22"/>
          <w:szCs w:val="22"/>
        </w:rPr>
        <w:t xml:space="preserve">against a housing requirment of 531 dpa </w:t>
      </w:r>
      <w:r w:rsidR="006D07A2">
        <w:rPr>
          <w:rFonts w:ascii="Arial" w:hAnsi="Arial" w:cs="Arial"/>
          <w:sz w:val="22"/>
          <w:szCs w:val="22"/>
        </w:rPr>
        <w:t xml:space="preserve">of </w:t>
      </w:r>
      <w:r w:rsidR="00056B10">
        <w:rPr>
          <w:rFonts w:ascii="Arial" w:hAnsi="Arial" w:cs="Arial"/>
          <w:sz w:val="22"/>
          <w:szCs w:val="22"/>
        </w:rPr>
        <w:t>3.</w:t>
      </w:r>
      <w:r w:rsidR="00564F07">
        <w:rPr>
          <w:rFonts w:ascii="Arial" w:hAnsi="Arial" w:cs="Arial"/>
          <w:sz w:val="22"/>
          <w:szCs w:val="22"/>
        </w:rPr>
        <w:t>65</w:t>
      </w:r>
      <w:r w:rsidR="00921037">
        <w:rPr>
          <w:rFonts w:ascii="Arial" w:hAnsi="Arial" w:cs="Arial"/>
          <w:sz w:val="22"/>
          <w:szCs w:val="22"/>
        </w:rPr>
        <w:t xml:space="preserve"> years</w:t>
      </w:r>
      <w:r w:rsidR="006C2193">
        <w:rPr>
          <w:rFonts w:ascii="Arial" w:hAnsi="Arial" w:cs="Arial"/>
          <w:sz w:val="22"/>
          <w:szCs w:val="22"/>
        </w:rPr>
        <w:t xml:space="preserve"> or 3.</w:t>
      </w:r>
      <w:r w:rsidR="00C41B39">
        <w:rPr>
          <w:rFonts w:ascii="Arial" w:hAnsi="Arial" w:cs="Arial"/>
          <w:sz w:val="22"/>
          <w:szCs w:val="22"/>
        </w:rPr>
        <w:t>39</w:t>
      </w:r>
      <w:r w:rsidR="006C2193">
        <w:rPr>
          <w:rFonts w:ascii="Arial" w:hAnsi="Arial" w:cs="Arial"/>
          <w:sz w:val="22"/>
          <w:szCs w:val="22"/>
        </w:rPr>
        <w:t xml:space="preserve"> years</w:t>
      </w:r>
      <w:r w:rsidR="00182F46">
        <w:rPr>
          <w:rFonts w:ascii="Arial" w:hAnsi="Arial" w:cs="Arial"/>
          <w:sz w:val="22"/>
          <w:szCs w:val="22"/>
        </w:rPr>
        <w:t xml:space="preserve"> based on a requirment of 5</w:t>
      </w:r>
      <w:r w:rsidR="003561D5">
        <w:rPr>
          <w:rFonts w:ascii="Arial" w:hAnsi="Arial" w:cs="Arial"/>
          <w:sz w:val="22"/>
          <w:szCs w:val="22"/>
        </w:rPr>
        <w:t>6</w:t>
      </w:r>
      <w:r w:rsidR="00182F46">
        <w:rPr>
          <w:rFonts w:ascii="Arial" w:hAnsi="Arial" w:cs="Arial"/>
          <w:sz w:val="22"/>
          <w:szCs w:val="22"/>
        </w:rPr>
        <w:t>0 dpa.</w:t>
      </w:r>
    </w:p>
    <w:p w14:paraId="4C5FA305" w14:textId="77777777" w:rsidR="00B30586" w:rsidRDefault="00B30586" w:rsidP="0032582C">
      <w:pPr>
        <w:spacing w:line="360" w:lineRule="auto"/>
        <w:rPr>
          <w:rFonts w:ascii="Arial" w:hAnsi="Arial" w:cs="Arial"/>
          <w:sz w:val="22"/>
          <w:szCs w:val="22"/>
        </w:rPr>
      </w:pPr>
    </w:p>
    <w:p w14:paraId="19FE8BDC" w14:textId="427BBB5A" w:rsidR="001A41E4" w:rsidRPr="001A41E4" w:rsidRDefault="001A41E4" w:rsidP="0032582C">
      <w:pPr>
        <w:spacing w:line="360" w:lineRule="auto"/>
        <w:rPr>
          <w:rFonts w:ascii="Arial" w:hAnsi="Arial" w:cs="Arial"/>
          <w:b/>
          <w:bCs/>
          <w:sz w:val="22"/>
          <w:szCs w:val="22"/>
          <w:u w:val="single"/>
        </w:rPr>
      </w:pPr>
      <w:r w:rsidRPr="001A41E4">
        <w:rPr>
          <w:rFonts w:ascii="Arial" w:hAnsi="Arial" w:cs="Arial"/>
          <w:b/>
          <w:bCs/>
          <w:sz w:val="22"/>
          <w:szCs w:val="22"/>
          <w:u w:val="single"/>
        </w:rPr>
        <w:t>HOU Policies 3,4,6-9</w:t>
      </w:r>
    </w:p>
    <w:p w14:paraId="44580928" w14:textId="77777777" w:rsidR="001A41E4" w:rsidRDefault="001A41E4" w:rsidP="0032582C">
      <w:pPr>
        <w:spacing w:line="360" w:lineRule="auto"/>
        <w:rPr>
          <w:rFonts w:ascii="Arial" w:hAnsi="Arial" w:cs="Arial"/>
          <w:sz w:val="22"/>
          <w:szCs w:val="22"/>
        </w:rPr>
      </w:pPr>
    </w:p>
    <w:p w14:paraId="5548248D" w14:textId="4E664453" w:rsidR="001A41E4" w:rsidRPr="0078659A" w:rsidRDefault="001A41E4" w:rsidP="0032582C">
      <w:pPr>
        <w:spacing w:line="360" w:lineRule="auto"/>
        <w:jc w:val="both"/>
        <w:rPr>
          <w:rFonts w:ascii="Arial" w:hAnsi="Arial" w:cs="Arial"/>
          <w:i/>
          <w:iCs/>
          <w:sz w:val="22"/>
          <w:szCs w:val="22"/>
          <w:u w:val="single"/>
        </w:rPr>
      </w:pPr>
      <w:r w:rsidRPr="0078659A">
        <w:rPr>
          <w:rFonts w:ascii="Arial" w:hAnsi="Arial" w:cs="Arial"/>
          <w:i/>
          <w:iCs/>
          <w:sz w:val="22"/>
          <w:szCs w:val="22"/>
          <w:u w:val="single"/>
        </w:rPr>
        <w:t>7.3 Are these HOU policies positively prepared, justified, effective and consistent with national policy? Are any main modifications necessary, and if so, what should these be?</w:t>
      </w:r>
    </w:p>
    <w:p w14:paraId="10C0C585" w14:textId="77777777" w:rsidR="001A41E4" w:rsidRDefault="001A41E4" w:rsidP="0032582C">
      <w:pPr>
        <w:spacing w:line="360" w:lineRule="auto"/>
        <w:rPr>
          <w:rFonts w:ascii="Arial" w:hAnsi="Arial" w:cs="Arial"/>
          <w:sz w:val="22"/>
          <w:szCs w:val="22"/>
        </w:rPr>
      </w:pPr>
    </w:p>
    <w:p w14:paraId="3F89BA86" w14:textId="49BCC901" w:rsidR="005B10C7" w:rsidRDefault="00260270" w:rsidP="0032582C">
      <w:pPr>
        <w:spacing w:line="360" w:lineRule="auto"/>
        <w:rPr>
          <w:rFonts w:ascii="Arial" w:hAnsi="Arial" w:cs="Arial"/>
          <w:sz w:val="22"/>
          <w:szCs w:val="22"/>
        </w:rPr>
      </w:pPr>
      <w:r>
        <w:rPr>
          <w:rFonts w:ascii="Arial" w:hAnsi="Arial" w:cs="Arial"/>
          <w:sz w:val="22"/>
          <w:szCs w:val="22"/>
        </w:rPr>
        <w:t>No comment</w:t>
      </w:r>
    </w:p>
    <w:p w14:paraId="314BE325" w14:textId="77777777" w:rsidR="005B10C7" w:rsidRDefault="005B10C7" w:rsidP="0032582C">
      <w:pPr>
        <w:spacing w:line="360" w:lineRule="auto"/>
        <w:rPr>
          <w:rFonts w:ascii="Arial" w:hAnsi="Arial" w:cs="Arial"/>
          <w:sz w:val="22"/>
          <w:szCs w:val="22"/>
        </w:rPr>
      </w:pPr>
    </w:p>
    <w:p w14:paraId="4BAF26D0" w14:textId="4EE3B5C2" w:rsidR="001A41E4" w:rsidRPr="00260270" w:rsidRDefault="001A41E4" w:rsidP="0032582C">
      <w:pPr>
        <w:spacing w:line="360" w:lineRule="auto"/>
        <w:jc w:val="both"/>
        <w:rPr>
          <w:rFonts w:ascii="Arial" w:hAnsi="Arial" w:cs="Arial"/>
          <w:i/>
          <w:iCs/>
          <w:sz w:val="22"/>
          <w:szCs w:val="22"/>
          <w:u w:val="single"/>
        </w:rPr>
      </w:pPr>
      <w:r w:rsidRPr="00260270">
        <w:rPr>
          <w:rFonts w:ascii="Arial" w:hAnsi="Arial" w:cs="Arial"/>
          <w:i/>
          <w:iCs/>
          <w:sz w:val="22"/>
          <w:szCs w:val="22"/>
          <w:u w:val="single"/>
        </w:rPr>
        <w:t>7.4 Should Policy HOU3 also allow for Entry Level Exception Sites and/or First Homes Exception Sites to be consistent with national policy? If any market housing is included in an exception site scheme, should occupancy be restricted to those with a local connection?</w:t>
      </w:r>
    </w:p>
    <w:p w14:paraId="1AED2104" w14:textId="77777777" w:rsidR="001A41E4" w:rsidRDefault="001A41E4" w:rsidP="0032582C">
      <w:pPr>
        <w:spacing w:line="360" w:lineRule="auto"/>
        <w:rPr>
          <w:rFonts w:ascii="Arial" w:hAnsi="Arial" w:cs="Arial"/>
          <w:sz w:val="22"/>
          <w:szCs w:val="22"/>
        </w:rPr>
      </w:pPr>
    </w:p>
    <w:p w14:paraId="1B6C168C" w14:textId="559F1D50" w:rsidR="00260270" w:rsidRDefault="00260270" w:rsidP="0032582C">
      <w:pPr>
        <w:spacing w:line="360" w:lineRule="auto"/>
        <w:rPr>
          <w:rFonts w:ascii="Arial" w:hAnsi="Arial" w:cs="Arial"/>
          <w:sz w:val="22"/>
          <w:szCs w:val="22"/>
        </w:rPr>
      </w:pPr>
      <w:r>
        <w:rPr>
          <w:rFonts w:ascii="Arial" w:hAnsi="Arial" w:cs="Arial"/>
          <w:sz w:val="22"/>
          <w:szCs w:val="22"/>
        </w:rPr>
        <w:t>No comment</w:t>
      </w:r>
    </w:p>
    <w:p w14:paraId="3381B9B6" w14:textId="77777777" w:rsidR="00260270" w:rsidRDefault="00260270" w:rsidP="0032582C">
      <w:pPr>
        <w:spacing w:line="360" w:lineRule="auto"/>
        <w:rPr>
          <w:rFonts w:ascii="Arial" w:hAnsi="Arial" w:cs="Arial"/>
          <w:sz w:val="22"/>
          <w:szCs w:val="22"/>
        </w:rPr>
      </w:pPr>
    </w:p>
    <w:p w14:paraId="1970E17E" w14:textId="006417AE" w:rsidR="001A41E4" w:rsidRPr="00260270" w:rsidRDefault="001A41E4" w:rsidP="0032582C">
      <w:pPr>
        <w:spacing w:line="360" w:lineRule="auto"/>
        <w:jc w:val="both"/>
        <w:rPr>
          <w:rFonts w:ascii="Arial" w:hAnsi="Arial" w:cs="Arial"/>
          <w:i/>
          <w:iCs/>
          <w:sz w:val="22"/>
          <w:szCs w:val="22"/>
          <w:u w:val="single"/>
        </w:rPr>
      </w:pPr>
      <w:r w:rsidRPr="00260270">
        <w:rPr>
          <w:rFonts w:ascii="Arial" w:hAnsi="Arial" w:cs="Arial"/>
          <w:i/>
          <w:iCs/>
          <w:sz w:val="22"/>
          <w:szCs w:val="22"/>
          <w:u w:val="single"/>
        </w:rPr>
        <w:t>7.5 Should Policy HOU6 (and others) insist on compliance with the North Norfolk Design Guide when this does not form part of the plan?</w:t>
      </w:r>
    </w:p>
    <w:p w14:paraId="3DB9456F" w14:textId="77777777" w:rsidR="001A41E4" w:rsidRDefault="001A41E4" w:rsidP="0032582C">
      <w:pPr>
        <w:spacing w:line="360" w:lineRule="auto"/>
        <w:rPr>
          <w:rFonts w:ascii="Arial" w:hAnsi="Arial" w:cs="Arial"/>
          <w:sz w:val="22"/>
          <w:szCs w:val="22"/>
        </w:rPr>
      </w:pPr>
    </w:p>
    <w:p w14:paraId="316FF986" w14:textId="388C69DF" w:rsidR="005B10C7" w:rsidRDefault="00260270" w:rsidP="0032582C">
      <w:pPr>
        <w:spacing w:line="360" w:lineRule="auto"/>
        <w:rPr>
          <w:rFonts w:ascii="Arial" w:hAnsi="Arial" w:cs="Arial"/>
          <w:sz w:val="22"/>
          <w:szCs w:val="22"/>
        </w:rPr>
      </w:pPr>
      <w:r>
        <w:rPr>
          <w:rFonts w:ascii="Arial" w:hAnsi="Arial" w:cs="Arial"/>
          <w:sz w:val="22"/>
          <w:szCs w:val="22"/>
        </w:rPr>
        <w:t>No comment</w:t>
      </w:r>
    </w:p>
    <w:p w14:paraId="19F75057" w14:textId="77777777" w:rsidR="005B10C7" w:rsidRDefault="005B10C7" w:rsidP="0032582C">
      <w:pPr>
        <w:spacing w:line="360" w:lineRule="auto"/>
        <w:rPr>
          <w:rFonts w:ascii="Arial" w:hAnsi="Arial" w:cs="Arial"/>
          <w:sz w:val="22"/>
          <w:szCs w:val="22"/>
        </w:rPr>
      </w:pPr>
    </w:p>
    <w:p w14:paraId="1A874FC7" w14:textId="16184FC7" w:rsidR="001A41E4" w:rsidRPr="00260270" w:rsidRDefault="001A41E4" w:rsidP="0032582C">
      <w:pPr>
        <w:spacing w:line="360" w:lineRule="auto"/>
        <w:jc w:val="both"/>
        <w:rPr>
          <w:rFonts w:ascii="Arial" w:hAnsi="Arial" w:cs="Arial"/>
          <w:i/>
          <w:iCs/>
          <w:sz w:val="22"/>
          <w:szCs w:val="22"/>
          <w:u w:val="single"/>
        </w:rPr>
      </w:pPr>
      <w:r w:rsidRPr="00260270">
        <w:rPr>
          <w:rFonts w:ascii="Arial" w:hAnsi="Arial" w:cs="Arial"/>
          <w:i/>
          <w:iCs/>
          <w:sz w:val="22"/>
          <w:szCs w:val="22"/>
          <w:u w:val="single"/>
        </w:rPr>
        <w:t>7.6 In Policy HOU7, should the NPPF term redundant or disused buildings be used? Are the criteria in the policy justified? Should the test be a substantial proportion of the structural elements and existing fabric would be retained?</w:t>
      </w:r>
    </w:p>
    <w:p w14:paraId="0BA27813" w14:textId="77777777" w:rsidR="001A41E4" w:rsidRDefault="001A41E4" w:rsidP="0032582C">
      <w:pPr>
        <w:spacing w:line="360" w:lineRule="auto"/>
        <w:rPr>
          <w:rFonts w:ascii="Arial" w:hAnsi="Arial" w:cs="Arial"/>
          <w:sz w:val="22"/>
          <w:szCs w:val="22"/>
        </w:rPr>
      </w:pPr>
    </w:p>
    <w:p w14:paraId="6EF4AD74" w14:textId="0902FA7C" w:rsidR="005B10C7" w:rsidRDefault="00260270" w:rsidP="0032582C">
      <w:pPr>
        <w:spacing w:line="360" w:lineRule="auto"/>
        <w:rPr>
          <w:rFonts w:ascii="Arial" w:hAnsi="Arial" w:cs="Arial"/>
          <w:sz w:val="22"/>
          <w:szCs w:val="22"/>
        </w:rPr>
      </w:pPr>
      <w:r>
        <w:rPr>
          <w:rFonts w:ascii="Arial" w:hAnsi="Arial" w:cs="Arial"/>
          <w:sz w:val="22"/>
          <w:szCs w:val="22"/>
        </w:rPr>
        <w:t xml:space="preserve">No comment </w:t>
      </w:r>
    </w:p>
    <w:p w14:paraId="4A5C898C" w14:textId="77777777" w:rsidR="005B10C7" w:rsidRDefault="005B10C7" w:rsidP="0032582C">
      <w:pPr>
        <w:spacing w:line="360" w:lineRule="auto"/>
        <w:rPr>
          <w:rFonts w:ascii="Arial" w:hAnsi="Arial" w:cs="Arial"/>
          <w:sz w:val="22"/>
          <w:szCs w:val="22"/>
        </w:rPr>
      </w:pPr>
    </w:p>
    <w:p w14:paraId="240791FD" w14:textId="07A97963" w:rsidR="005E14F8" w:rsidRPr="00260270" w:rsidRDefault="001A41E4" w:rsidP="0032582C">
      <w:pPr>
        <w:spacing w:line="360" w:lineRule="auto"/>
        <w:jc w:val="both"/>
        <w:rPr>
          <w:rFonts w:ascii="Arial" w:hAnsi="Arial" w:cs="Arial"/>
          <w:i/>
          <w:iCs/>
          <w:sz w:val="22"/>
          <w:szCs w:val="22"/>
          <w:u w:val="single"/>
        </w:rPr>
      </w:pPr>
      <w:r w:rsidRPr="00260270">
        <w:rPr>
          <w:rFonts w:ascii="Arial" w:hAnsi="Arial" w:cs="Arial"/>
          <w:i/>
          <w:iCs/>
          <w:sz w:val="22"/>
          <w:szCs w:val="22"/>
          <w:u w:val="single"/>
        </w:rPr>
        <w:t>7.7 Are Policies HOU8 and HOU9 justified in relation to the evidence and their effect on development viability? In Policy HOU8(2), do both criteria have to be met or just one? In Policy HOU9, should a sentence to address possible exemptions be included as in Policy HOU8?</w:t>
      </w:r>
    </w:p>
    <w:p w14:paraId="5664FF21" w14:textId="77777777" w:rsidR="005E14F8" w:rsidRDefault="005E14F8" w:rsidP="0032582C">
      <w:pPr>
        <w:spacing w:line="360" w:lineRule="auto"/>
        <w:rPr>
          <w:rFonts w:ascii="Arial" w:hAnsi="Arial" w:cs="Arial"/>
          <w:sz w:val="22"/>
          <w:szCs w:val="22"/>
        </w:rPr>
      </w:pPr>
    </w:p>
    <w:p w14:paraId="48F48913" w14:textId="62174DF0" w:rsidR="00B755D9" w:rsidRDefault="004D609F" w:rsidP="0086165E">
      <w:pPr>
        <w:spacing w:line="360" w:lineRule="auto"/>
        <w:jc w:val="both"/>
        <w:rPr>
          <w:rFonts w:ascii="Arial" w:hAnsi="Arial" w:cs="Arial"/>
          <w:sz w:val="22"/>
          <w:szCs w:val="22"/>
        </w:rPr>
      </w:pPr>
      <w:r>
        <w:rPr>
          <w:rFonts w:ascii="Arial" w:hAnsi="Arial" w:cs="Arial"/>
          <w:sz w:val="22"/>
          <w:szCs w:val="22"/>
        </w:rPr>
        <w:lastRenderedPageBreak/>
        <w:t>With rega</w:t>
      </w:r>
      <w:r w:rsidR="0086165E">
        <w:rPr>
          <w:rFonts w:ascii="Arial" w:hAnsi="Arial" w:cs="Arial"/>
          <w:sz w:val="22"/>
          <w:szCs w:val="22"/>
        </w:rPr>
        <w:t xml:space="preserve">rd to Part M4(2) the </w:t>
      </w:r>
      <w:r w:rsidR="00512E22">
        <w:rPr>
          <w:rFonts w:ascii="Arial" w:hAnsi="Arial" w:cs="Arial"/>
          <w:sz w:val="22"/>
          <w:szCs w:val="22"/>
        </w:rPr>
        <w:t xml:space="preserve">Government have stated that they plan to make </w:t>
      </w:r>
      <w:r w:rsidR="00AB4262">
        <w:rPr>
          <w:rFonts w:ascii="Arial" w:hAnsi="Arial" w:cs="Arial"/>
          <w:sz w:val="22"/>
          <w:szCs w:val="22"/>
        </w:rPr>
        <w:t xml:space="preserve">this level of accessibility the minimum standard for new homes. Whilst this is still to be introduced if it </w:t>
      </w:r>
      <w:r w:rsidR="00B60390">
        <w:rPr>
          <w:rFonts w:ascii="Arial" w:hAnsi="Arial" w:cs="Arial"/>
          <w:sz w:val="22"/>
          <w:szCs w:val="22"/>
        </w:rPr>
        <w:t xml:space="preserve">is adopted prior to the conclusion of the examination the HBF would recommend that the </w:t>
      </w:r>
      <w:r w:rsidR="004F4355">
        <w:rPr>
          <w:rFonts w:ascii="Arial" w:hAnsi="Arial" w:cs="Arial"/>
          <w:sz w:val="22"/>
          <w:szCs w:val="22"/>
        </w:rPr>
        <w:t>policy</w:t>
      </w:r>
      <w:r w:rsidR="00500B07">
        <w:rPr>
          <w:rFonts w:ascii="Arial" w:hAnsi="Arial" w:cs="Arial"/>
          <w:sz w:val="22"/>
          <w:szCs w:val="22"/>
        </w:rPr>
        <w:t xml:space="preserve"> be amended t</w:t>
      </w:r>
      <w:r w:rsidR="004F4355">
        <w:rPr>
          <w:rFonts w:ascii="Arial" w:hAnsi="Arial" w:cs="Arial"/>
          <w:sz w:val="22"/>
          <w:szCs w:val="22"/>
        </w:rPr>
        <w:t>o</w:t>
      </w:r>
      <w:r w:rsidR="00500B07">
        <w:rPr>
          <w:rFonts w:ascii="Arial" w:hAnsi="Arial" w:cs="Arial"/>
          <w:sz w:val="22"/>
          <w:szCs w:val="22"/>
        </w:rPr>
        <w:t xml:space="preserve"> avoid repetition of building regulations. </w:t>
      </w:r>
      <w:r w:rsidR="004F4355">
        <w:rPr>
          <w:rFonts w:ascii="Arial" w:hAnsi="Arial" w:cs="Arial"/>
          <w:sz w:val="22"/>
          <w:szCs w:val="22"/>
        </w:rPr>
        <w:t xml:space="preserve">It is also unclear within HOU8 whether the </w:t>
      </w:r>
      <w:r w:rsidR="00775990">
        <w:rPr>
          <w:rFonts w:ascii="Arial" w:hAnsi="Arial" w:cs="Arial"/>
          <w:sz w:val="22"/>
          <w:szCs w:val="22"/>
        </w:rPr>
        <w:t>requirement</w:t>
      </w:r>
      <w:r w:rsidR="003C5F94">
        <w:rPr>
          <w:rFonts w:ascii="Arial" w:hAnsi="Arial" w:cs="Arial"/>
          <w:sz w:val="22"/>
          <w:szCs w:val="22"/>
        </w:rPr>
        <w:t xml:space="preserve"> for </w:t>
      </w:r>
      <w:r w:rsidR="004F4355">
        <w:rPr>
          <w:rFonts w:ascii="Arial" w:hAnsi="Arial" w:cs="Arial"/>
          <w:sz w:val="22"/>
          <w:szCs w:val="22"/>
        </w:rPr>
        <w:t xml:space="preserve">M4(3) applies to all homes or just those </w:t>
      </w:r>
      <w:r w:rsidR="003C5F94">
        <w:rPr>
          <w:rFonts w:ascii="Arial" w:hAnsi="Arial" w:cs="Arial"/>
          <w:sz w:val="22"/>
          <w:szCs w:val="22"/>
        </w:rPr>
        <w:t xml:space="preserve">where the Council has nomination rights. It is important that the </w:t>
      </w:r>
      <w:r w:rsidR="00775990">
        <w:rPr>
          <w:rFonts w:ascii="Arial" w:hAnsi="Arial" w:cs="Arial"/>
          <w:sz w:val="22"/>
          <w:szCs w:val="22"/>
        </w:rPr>
        <w:t>Council</w:t>
      </w:r>
      <w:r w:rsidR="003C5F94">
        <w:rPr>
          <w:rFonts w:ascii="Arial" w:hAnsi="Arial" w:cs="Arial"/>
          <w:sz w:val="22"/>
          <w:szCs w:val="22"/>
        </w:rPr>
        <w:t xml:space="preserve"> clarifies it position as </w:t>
      </w:r>
      <w:r w:rsidR="00B44114">
        <w:rPr>
          <w:rFonts w:ascii="Arial" w:hAnsi="Arial" w:cs="Arial"/>
          <w:sz w:val="22"/>
          <w:szCs w:val="22"/>
        </w:rPr>
        <w:t xml:space="preserve">Part M4(3) refer to both </w:t>
      </w:r>
      <w:r w:rsidR="00775990">
        <w:rPr>
          <w:rFonts w:ascii="Arial" w:hAnsi="Arial" w:cs="Arial"/>
          <w:sz w:val="22"/>
          <w:szCs w:val="22"/>
        </w:rPr>
        <w:t>wheelchair</w:t>
      </w:r>
      <w:r w:rsidR="00B44114">
        <w:rPr>
          <w:rFonts w:ascii="Arial" w:hAnsi="Arial" w:cs="Arial"/>
          <w:sz w:val="22"/>
          <w:szCs w:val="22"/>
        </w:rPr>
        <w:t xml:space="preserve"> </w:t>
      </w:r>
      <w:r w:rsidR="00775990">
        <w:rPr>
          <w:rFonts w:ascii="Arial" w:hAnsi="Arial" w:cs="Arial"/>
          <w:sz w:val="22"/>
          <w:szCs w:val="22"/>
        </w:rPr>
        <w:t>adaptable</w:t>
      </w:r>
      <w:r w:rsidR="00B44114">
        <w:rPr>
          <w:rFonts w:ascii="Arial" w:hAnsi="Arial" w:cs="Arial"/>
          <w:sz w:val="22"/>
          <w:szCs w:val="22"/>
        </w:rPr>
        <w:t xml:space="preserve"> homes, which are </w:t>
      </w:r>
      <w:r w:rsidR="00775990">
        <w:rPr>
          <w:rFonts w:ascii="Arial" w:hAnsi="Arial" w:cs="Arial"/>
          <w:sz w:val="22"/>
          <w:szCs w:val="22"/>
        </w:rPr>
        <w:t>applicable</w:t>
      </w:r>
      <w:r w:rsidR="00B44114">
        <w:rPr>
          <w:rFonts w:ascii="Arial" w:hAnsi="Arial" w:cs="Arial"/>
          <w:sz w:val="22"/>
          <w:szCs w:val="22"/>
        </w:rPr>
        <w:t xml:space="preserve"> to all tenures and wheelchair accessible homes which </w:t>
      </w:r>
      <w:r w:rsidR="00775990">
        <w:rPr>
          <w:rFonts w:ascii="Arial" w:hAnsi="Arial" w:cs="Arial"/>
          <w:sz w:val="22"/>
          <w:szCs w:val="22"/>
        </w:rPr>
        <w:t xml:space="preserve">can only be required where the council has nomination rights. </w:t>
      </w:r>
    </w:p>
    <w:p w14:paraId="3372B2A7" w14:textId="77777777" w:rsidR="00500B07" w:rsidRDefault="00500B07" w:rsidP="0086165E">
      <w:pPr>
        <w:spacing w:line="360" w:lineRule="auto"/>
        <w:jc w:val="both"/>
        <w:rPr>
          <w:rFonts w:ascii="Arial" w:hAnsi="Arial" w:cs="Arial"/>
          <w:sz w:val="22"/>
          <w:szCs w:val="22"/>
        </w:rPr>
      </w:pPr>
    </w:p>
    <w:p w14:paraId="26DD35BD" w14:textId="51D65FA7" w:rsidR="004B3FEE" w:rsidRDefault="00391C2E" w:rsidP="0086165E">
      <w:pPr>
        <w:spacing w:line="360" w:lineRule="auto"/>
        <w:jc w:val="both"/>
        <w:rPr>
          <w:rFonts w:ascii="Arial" w:hAnsi="Arial" w:cs="Arial"/>
          <w:sz w:val="22"/>
          <w:szCs w:val="22"/>
        </w:rPr>
      </w:pPr>
      <w:r>
        <w:rPr>
          <w:rFonts w:ascii="Arial" w:hAnsi="Arial" w:cs="Arial"/>
          <w:sz w:val="22"/>
          <w:szCs w:val="22"/>
        </w:rPr>
        <w:t>I</w:t>
      </w:r>
      <w:r w:rsidR="005D1C5C">
        <w:rPr>
          <w:rFonts w:ascii="Arial" w:hAnsi="Arial" w:cs="Arial"/>
          <w:sz w:val="22"/>
          <w:szCs w:val="22"/>
        </w:rPr>
        <w:t>n</w:t>
      </w:r>
      <w:r>
        <w:rPr>
          <w:rFonts w:ascii="Arial" w:hAnsi="Arial" w:cs="Arial"/>
          <w:sz w:val="22"/>
          <w:szCs w:val="22"/>
        </w:rPr>
        <w:t xml:space="preserve"> our </w:t>
      </w:r>
      <w:r w:rsidR="005D1C5C">
        <w:rPr>
          <w:rFonts w:ascii="Arial" w:hAnsi="Arial" w:cs="Arial"/>
          <w:sz w:val="22"/>
          <w:szCs w:val="22"/>
        </w:rPr>
        <w:t>representations</w:t>
      </w:r>
      <w:r>
        <w:rPr>
          <w:rFonts w:ascii="Arial" w:hAnsi="Arial" w:cs="Arial"/>
          <w:sz w:val="22"/>
          <w:szCs w:val="22"/>
        </w:rPr>
        <w:t xml:space="preserve"> the HBF raised </w:t>
      </w:r>
      <w:r w:rsidR="004E1D5E">
        <w:rPr>
          <w:rFonts w:ascii="Arial" w:hAnsi="Arial" w:cs="Arial"/>
          <w:sz w:val="22"/>
          <w:szCs w:val="22"/>
        </w:rPr>
        <w:t>concerns</w:t>
      </w:r>
      <w:r>
        <w:rPr>
          <w:rFonts w:ascii="Arial" w:hAnsi="Arial" w:cs="Arial"/>
          <w:sz w:val="22"/>
          <w:szCs w:val="22"/>
        </w:rPr>
        <w:t xml:space="preserve"> regarding the evidence base. </w:t>
      </w:r>
      <w:r w:rsidR="00DB6A00">
        <w:rPr>
          <w:rFonts w:ascii="Arial" w:hAnsi="Arial" w:cs="Arial"/>
          <w:sz w:val="22"/>
          <w:szCs w:val="22"/>
        </w:rPr>
        <w:t xml:space="preserve">The Council have </w:t>
      </w:r>
      <w:r w:rsidR="000118B2">
        <w:rPr>
          <w:rFonts w:ascii="Arial" w:hAnsi="Arial" w:cs="Arial"/>
          <w:sz w:val="22"/>
          <w:szCs w:val="22"/>
        </w:rPr>
        <w:t xml:space="preserve">now included more evidence in </w:t>
      </w:r>
      <w:r w:rsidR="001D2A4B">
        <w:rPr>
          <w:rFonts w:ascii="Arial" w:hAnsi="Arial" w:cs="Arial"/>
          <w:sz w:val="22"/>
          <w:szCs w:val="22"/>
        </w:rPr>
        <w:t xml:space="preserve">the update to Paper 7 </w:t>
      </w:r>
      <w:r w:rsidR="005D1C5C">
        <w:rPr>
          <w:rFonts w:ascii="Arial" w:hAnsi="Arial" w:cs="Arial"/>
          <w:sz w:val="22"/>
          <w:szCs w:val="22"/>
        </w:rPr>
        <w:t xml:space="preserve">on housing </w:t>
      </w:r>
      <w:r w:rsidR="001D2A4B">
        <w:rPr>
          <w:rFonts w:ascii="Arial" w:hAnsi="Arial" w:cs="Arial"/>
          <w:sz w:val="22"/>
          <w:szCs w:val="22"/>
        </w:rPr>
        <w:t xml:space="preserve">construction standards. This provides </w:t>
      </w:r>
      <w:r w:rsidR="005D1C5C">
        <w:rPr>
          <w:rFonts w:ascii="Arial" w:hAnsi="Arial" w:cs="Arial"/>
          <w:sz w:val="22"/>
          <w:szCs w:val="22"/>
        </w:rPr>
        <w:t xml:space="preserve">additional evidence </w:t>
      </w:r>
      <w:r w:rsidR="004E1D5E">
        <w:rPr>
          <w:rFonts w:ascii="Arial" w:hAnsi="Arial" w:cs="Arial"/>
          <w:sz w:val="22"/>
          <w:szCs w:val="22"/>
        </w:rPr>
        <w:t xml:space="preserve">based on the space standard in nearly 2,000 homes. </w:t>
      </w:r>
      <w:r w:rsidR="0044136B">
        <w:rPr>
          <w:rFonts w:ascii="Arial" w:hAnsi="Arial" w:cs="Arial"/>
          <w:sz w:val="22"/>
          <w:szCs w:val="22"/>
        </w:rPr>
        <w:t>Whilst the evidence does not suggest that there</w:t>
      </w:r>
      <w:r w:rsidR="00D42508">
        <w:rPr>
          <w:rFonts w:ascii="Arial" w:hAnsi="Arial" w:cs="Arial"/>
          <w:sz w:val="22"/>
          <w:szCs w:val="22"/>
        </w:rPr>
        <w:t xml:space="preserve"> </w:t>
      </w:r>
      <w:r w:rsidR="0044136B">
        <w:rPr>
          <w:rFonts w:ascii="Arial" w:hAnsi="Arial" w:cs="Arial"/>
          <w:sz w:val="22"/>
          <w:szCs w:val="22"/>
        </w:rPr>
        <w:t>is an endemic problem of small homes in the Borough the HBF accept tha</w:t>
      </w:r>
      <w:r w:rsidR="00DF7DD3">
        <w:rPr>
          <w:rFonts w:ascii="Arial" w:hAnsi="Arial" w:cs="Arial"/>
          <w:sz w:val="22"/>
          <w:szCs w:val="22"/>
        </w:rPr>
        <w:t xml:space="preserve">t there is </w:t>
      </w:r>
      <w:r w:rsidR="00D42508">
        <w:rPr>
          <w:rFonts w:ascii="Arial" w:hAnsi="Arial" w:cs="Arial"/>
          <w:sz w:val="22"/>
          <w:szCs w:val="22"/>
        </w:rPr>
        <w:t>evidence</w:t>
      </w:r>
      <w:r w:rsidR="00DF7DD3">
        <w:rPr>
          <w:rFonts w:ascii="Arial" w:hAnsi="Arial" w:cs="Arial"/>
          <w:sz w:val="22"/>
          <w:szCs w:val="22"/>
        </w:rPr>
        <w:t xml:space="preserve"> </w:t>
      </w:r>
      <w:r w:rsidR="00D42508">
        <w:rPr>
          <w:rFonts w:ascii="Arial" w:hAnsi="Arial" w:cs="Arial"/>
          <w:sz w:val="22"/>
          <w:szCs w:val="22"/>
        </w:rPr>
        <w:t>to</w:t>
      </w:r>
      <w:r w:rsidR="00DF7DD3">
        <w:rPr>
          <w:rFonts w:ascii="Arial" w:hAnsi="Arial" w:cs="Arial"/>
          <w:sz w:val="22"/>
          <w:szCs w:val="22"/>
        </w:rPr>
        <w:t xml:space="preserve"> support their application in NNDC. However, we would also suggest that </w:t>
      </w:r>
      <w:r w:rsidR="003928E0">
        <w:rPr>
          <w:rFonts w:ascii="Arial" w:hAnsi="Arial" w:cs="Arial"/>
          <w:sz w:val="22"/>
          <w:szCs w:val="22"/>
        </w:rPr>
        <w:t xml:space="preserve">some </w:t>
      </w:r>
      <w:r w:rsidR="00D42508">
        <w:rPr>
          <w:rFonts w:ascii="Arial" w:hAnsi="Arial" w:cs="Arial"/>
          <w:sz w:val="22"/>
          <w:szCs w:val="22"/>
        </w:rPr>
        <w:t>flexibility</w:t>
      </w:r>
      <w:r w:rsidR="003928E0">
        <w:rPr>
          <w:rFonts w:ascii="Arial" w:hAnsi="Arial" w:cs="Arial"/>
          <w:sz w:val="22"/>
          <w:szCs w:val="22"/>
        </w:rPr>
        <w:t xml:space="preserve"> is </w:t>
      </w:r>
      <w:r w:rsidR="00D42508">
        <w:rPr>
          <w:rFonts w:ascii="Arial" w:hAnsi="Arial" w:cs="Arial"/>
          <w:sz w:val="22"/>
          <w:szCs w:val="22"/>
        </w:rPr>
        <w:t>included</w:t>
      </w:r>
      <w:r w:rsidR="003928E0">
        <w:rPr>
          <w:rFonts w:ascii="Arial" w:hAnsi="Arial" w:cs="Arial"/>
          <w:sz w:val="22"/>
          <w:szCs w:val="22"/>
        </w:rPr>
        <w:t xml:space="preserve"> the plan to support development of hoes below spaces standards where these</w:t>
      </w:r>
      <w:r w:rsidR="00192A5F">
        <w:rPr>
          <w:rFonts w:ascii="Arial" w:hAnsi="Arial" w:cs="Arial"/>
          <w:sz w:val="22"/>
          <w:szCs w:val="22"/>
        </w:rPr>
        <w:t xml:space="preserve"> would</w:t>
      </w:r>
      <w:r w:rsidR="00840E4E">
        <w:rPr>
          <w:rFonts w:ascii="Arial" w:hAnsi="Arial" w:cs="Arial"/>
          <w:sz w:val="22"/>
          <w:szCs w:val="22"/>
        </w:rPr>
        <w:t xml:space="preserve"> enable the </w:t>
      </w:r>
      <w:r w:rsidR="00D42508">
        <w:rPr>
          <w:rFonts w:ascii="Arial" w:hAnsi="Arial" w:cs="Arial"/>
          <w:sz w:val="22"/>
          <w:szCs w:val="22"/>
        </w:rPr>
        <w:t xml:space="preserve">delivery </w:t>
      </w:r>
      <w:r w:rsidR="00840E4E">
        <w:rPr>
          <w:rFonts w:ascii="Arial" w:hAnsi="Arial" w:cs="Arial"/>
          <w:sz w:val="22"/>
          <w:szCs w:val="22"/>
        </w:rPr>
        <w:t>o</w:t>
      </w:r>
      <w:r w:rsidR="00D42508">
        <w:rPr>
          <w:rFonts w:ascii="Arial" w:hAnsi="Arial" w:cs="Arial"/>
          <w:sz w:val="22"/>
          <w:szCs w:val="22"/>
        </w:rPr>
        <w:t xml:space="preserve">f </w:t>
      </w:r>
      <w:r w:rsidR="00192A5F">
        <w:rPr>
          <w:rFonts w:ascii="Arial" w:hAnsi="Arial" w:cs="Arial"/>
          <w:sz w:val="22"/>
          <w:szCs w:val="22"/>
        </w:rPr>
        <w:t>well-designed, high-quality</w:t>
      </w:r>
      <w:r w:rsidR="00D42508">
        <w:rPr>
          <w:rFonts w:ascii="Arial" w:hAnsi="Arial" w:cs="Arial"/>
          <w:sz w:val="22"/>
          <w:szCs w:val="22"/>
        </w:rPr>
        <w:t xml:space="preserve"> homes. </w:t>
      </w:r>
    </w:p>
    <w:p w14:paraId="4DB25715" w14:textId="77777777" w:rsidR="00B755D9" w:rsidRDefault="00B755D9" w:rsidP="0032582C">
      <w:pPr>
        <w:spacing w:line="360" w:lineRule="auto"/>
        <w:rPr>
          <w:rFonts w:ascii="Arial" w:hAnsi="Arial" w:cs="Arial"/>
          <w:sz w:val="22"/>
          <w:szCs w:val="22"/>
        </w:rPr>
      </w:pPr>
    </w:p>
    <w:p w14:paraId="39CD9383" w14:textId="77777777" w:rsidR="00B755D9" w:rsidRPr="00D862A9" w:rsidRDefault="00B755D9" w:rsidP="0032582C">
      <w:pPr>
        <w:spacing w:line="360" w:lineRule="auto"/>
        <w:rPr>
          <w:rFonts w:ascii="Arial" w:hAnsi="Arial" w:cs="Arial"/>
          <w:sz w:val="22"/>
          <w:szCs w:val="22"/>
        </w:rPr>
      </w:pPr>
      <w:r w:rsidRPr="00D862A9">
        <w:rPr>
          <w:rFonts w:ascii="Arial" w:hAnsi="Arial" w:cs="Arial"/>
          <w:sz w:val="22"/>
          <w:szCs w:val="22"/>
        </w:rPr>
        <w:t>Mark Behrendt</w:t>
      </w:r>
      <w:r>
        <w:rPr>
          <w:rFonts w:ascii="Arial" w:hAnsi="Arial" w:cs="Arial"/>
          <w:sz w:val="22"/>
          <w:szCs w:val="22"/>
        </w:rPr>
        <w:t xml:space="preserve"> MRTPI</w:t>
      </w:r>
    </w:p>
    <w:p w14:paraId="1EA0E055" w14:textId="77777777" w:rsidR="00B755D9" w:rsidRDefault="00B755D9" w:rsidP="0032582C">
      <w:pPr>
        <w:spacing w:line="360" w:lineRule="auto"/>
        <w:rPr>
          <w:rFonts w:ascii="Arial" w:hAnsi="Arial" w:cs="Arial"/>
          <w:sz w:val="22"/>
          <w:szCs w:val="22"/>
        </w:rPr>
      </w:pPr>
      <w:r w:rsidRPr="00D862A9">
        <w:rPr>
          <w:rFonts w:ascii="Arial" w:hAnsi="Arial" w:cs="Arial"/>
          <w:sz w:val="22"/>
          <w:szCs w:val="22"/>
        </w:rPr>
        <w:t>Planning Manager – Local Plans</w:t>
      </w:r>
      <w:r>
        <w:rPr>
          <w:rFonts w:ascii="Arial" w:hAnsi="Arial" w:cs="Arial"/>
          <w:sz w:val="22"/>
          <w:szCs w:val="22"/>
        </w:rPr>
        <w:t xml:space="preserve"> SE and E</w:t>
      </w:r>
    </w:p>
    <w:p w14:paraId="482B0B76" w14:textId="366380D0" w:rsidR="00B755D9" w:rsidRDefault="00B755D9" w:rsidP="0032582C">
      <w:pPr>
        <w:spacing w:line="360" w:lineRule="auto"/>
        <w:rPr>
          <w:rFonts w:ascii="Arial" w:hAnsi="Arial" w:cs="Arial"/>
          <w:sz w:val="22"/>
          <w:szCs w:val="22"/>
        </w:rPr>
      </w:pPr>
      <w:r>
        <w:rPr>
          <w:rFonts w:ascii="Arial" w:hAnsi="Arial" w:cs="Arial"/>
          <w:sz w:val="22"/>
          <w:szCs w:val="22"/>
        </w:rPr>
        <w:br w:type="page"/>
      </w:r>
    </w:p>
    <w:p w14:paraId="18068026" w14:textId="77777777" w:rsidR="000A4535" w:rsidRDefault="000A4535" w:rsidP="0032582C">
      <w:pPr>
        <w:spacing w:line="360" w:lineRule="auto"/>
        <w:rPr>
          <w:rFonts w:ascii="Arial" w:hAnsi="Arial" w:cs="Arial"/>
          <w:sz w:val="24"/>
        </w:rPr>
      </w:pPr>
      <w:r>
        <w:rPr>
          <w:rFonts w:ascii="Arial" w:hAnsi="Arial" w:cs="Arial"/>
          <w:noProof/>
          <w:sz w:val="24"/>
          <w:lang w:eastAsia="en-GB"/>
        </w:rPr>
        <w:lastRenderedPageBreak/>
        <w:drawing>
          <wp:anchor distT="0" distB="0" distL="114300" distR="114300" simplePos="0" relativeHeight="251658243" behindDoc="0" locked="0" layoutInCell="1" allowOverlap="1" wp14:anchorId="0BA6FE82" wp14:editId="207E81D1">
            <wp:simplePos x="0" y="0"/>
            <wp:positionH relativeFrom="column">
              <wp:posOffset>4505325</wp:posOffset>
            </wp:positionH>
            <wp:positionV relativeFrom="paragraph">
              <wp:posOffset>-533400</wp:posOffset>
            </wp:positionV>
            <wp:extent cx="876300" cy="876300"/>
            <wp:effectExtent l="0" t="0" r="0" b="0"/>
            <wp:wrapNone/>
            <wp:docPr id="1191176649" name="Picture 1191176649" descr="A logo with a cast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797782" name="Picture 906797782" descr="A logo with a castle and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A78EE9" w14:textId="77777777" w:rsidR="000A4535" w:rsidRDefault="000A4535" w:rsidP="0032582C">
      <w:pPr>
        <w:spacing w:line="360" w:lineRule="auto"/>
        <w:rPr>
          <w:rFonts w:ascii="Arial" w:hAnsi="Arial" w:cs="Arial"/>
          <w:sz w:val="24"/>
        </w:rPr>
      </w:pPr>
    </w:p>
    <w:p w14:paraId="14223B9E" w14:textId="77777777" w:rsidR="000A4535" w:rsidRPr="00A6394A" w:rsidRDefault="000A4535" w:rsidP="0032582C">
      <w:pPr>
        <w:spacing w:line="360" w:lineRule="auto"/>
        <w:jc w:val="right"/>
        <w:rPr>
          <w:rFonts w:ascii="Arial" w:hAnsi="Arial" w:cs="Arial"/>
          <w:b/>
          <w:sz w:val="24"/>
          <w:szCs w:val="24"/>
        </w:rPr>
      </w:pPr>
      <w:r w:rsidRPr="00A6394A">
        <w:rPr>
          <w:rFonts w:ascii="Arial" w:hAnsi="Arial" w:cs="Arial"/>
          <w:b/>
          <w:sz w:val="24"/>
          <w:szCs w:val="24"/>
        </w:rPr>
        <w:t>Home Builders Federation</w:t>
      </w:r>
    </w:p>
    <w:p w14:paraId="0055CE02" w14:textId="77777777" w:rsidR="000A4535" w:rsidRPr="00A6394A" w:rsidRDefault="000A4535" w:rsidP="0032582C">
      <w:pPr>
        <w:spacing w:line="360" w:lineRule="auto"/>
        <w:rPr>
          <w:rFonts w:ascii="Arial" w:hAnsi="Arial" w:cs="Arial"/>
          <w:b/>
          <w:sz w:val="24"/>
          <w:szCs w:val="24"/>
        </w:rPr>
      </w:pPr>
    </w:p>
    <w:p w14:paraId="76CCC4C7" w14:textId="550EC06A" w:rsidR="000A4535" w:rsidRPr="00A6394A" w:rsidRDefault="000A4535" w:rsidP="0032582C">
      <w:pPr>
        <w:spacing w:line="360" w:lineRule="auto"/>
        <w:ind w:firstLine="720"/>
        <w:jc w:val="right"/>
        <w:rPr>
          <w:rFonts w:ascii="Arial" w:hAnsi="Arial" w:cs="Arial"/>
          <w:b/>
          <w:sz w:val="24"/>
          <w:szCs w:val="24"/>
        </w:rPr>
      </w:pPr>
      <w:r w:rsidRPr="00A6394A">
        <w:rPr>
          <w:rFonts w:ascii="Arial" w:hAnsi="Arial" w:cs="Arial"/>
          <w:b/>
          <w:sz w:val="24"/>
          <w:szCs w:val="24"/>
        </w:rPr>
        <w:t xml:space="preserve">Matter </w:t>
      </w:r>
      <w:r w:rsidR="00AF027E">
        <w:rPr>
          <w:rFonts w:ascii="Arial" w:hAnsi="Arial" w:cs="Arial"/>
          <w:b/>
          <w:sz w:val="24"/>
          <w:szCs w:val="24"/>
        </w:rPr>
        <w:t>9</w:t>
      </w:r>
    </w:p>
    <w:p w14:paraId="28A608A2" w14:textId="77777777" w:rsidR="000A4535" w:rsidRPr="00A6394A" w:rsidRDefault="000A4535" w:rsidP="0032582C">
      <w:pPr>
        <w:spacing w:line="360" w:lineRule="auto"/>
        <w:rPr>
          <w:rFonts w:ascii="Arial" w:hAnsi="Arial" w:cs="Arial"/>
          <w:b/>
          <w:sz w:val="24"/>
          <w:szCs w:val="24"/>
        </w:rPr>
      </w:pPr>
    </w:p>
    <w:p w14:paraId="04A6028D" w14:textId="77777777" w:rsidR="000A4535" w:rsidRPr="00A6394A" w:rsidRDefault="000A4535" w:rsidP="0032582C">
      <w:pPr>
        <w:spacing w:line="360" w:lineRule="auto"/>
        <w:jc w:val="both"/>
        <w:rPr>
          <w:rFonts w:ascii="Arial" w:hAnsi="Arial" w:cs="Arial"/>
          <w:b/>
          <w:caps/>
          <w:sz w:val="24"/>
          <w:szCs w:val="24"/>
        </w:rPr>
      </w:pPr>
      <w:r>
        <w:rPr>
          <w:rFonts w:ascii="Arial" w:hAnsi="Arial" w:cs="Arial"/>
          <w:b/>
          <w:caps/>
          <w:sz w:val="24"/>
          <w:szCs w:val="24"/>
        </w:rPr>
        <w:t>North norfolk</w:t>
      </w:r>
      <w:r w:rsidRPr="00A6394A">
        <w:rPr>
          <w:rFonts w:ascii="Arial" w:hAnsi="Arial" w:cs="Arial"/>
          <w:b/>
          <w:caps/>
          <w:sz w:val="24"/>
          <w:szCs w:val="24"/>
        </w:rPr>
        <w:t xml:space="preserve"> Local Plan Examination</w:t>
      </w:r>
    </w:p>
    <w:p w14:paraId="6FBC8A93" w14:textId="77777777" w:rsidR="000A4535" w:rsidRPr="00A6394A" w:rsidRDefault="000A4535" w:rsidP="00A23584">
      <w:pPr>
        <w:spacing w:line="360" w:lineRule="auto"/>
        <w:jc w:val="both"/>
        <w:rPr>
          <w:rFonts w:ascii="Arial" w:hAnsi="Arial" w:cs="Arial"/>
          <w:b/>
          <w:sz w:val="24"/>
          <w:szCs w:val="24"/>
        </w:rPr>
      </w:pPr>
    </w:p>
    <w:p w14:paraId="7A7DA514" w14:textId="77777777" w:rsidR="00AF027E" w:rsidRPr="00AF027E" w:rsidRDefault="00AF027E" w:rsidP="00A23584">
      <w:pPr>
        <w:spacing w:line="360" w:lineRule="auto"/>
        <w:jc w:val="both"/>
        <w:rPr>
          <w:rFonts w:ascii="Arial" w:hAnsi="Arial" w:cs="Arial"/>
          <w:b/>
          <w:bCs/>
          <w:sz w:val="22"/>
          <w:szCs w:val="22"/>
        </w:rPr>
      </w:pPr>
      <w:r w:rsidRPr="00AF027E">
        <w:rPr>
          <w:rFonts w:ascii="Arial" w:hAnsi="Arial" w:cs="Arial"/>
          <w:b/>
          <w:bCs/>
          <w:sz w:val="22"/>
          <w:szCs w:val="22"/>
        </w:rPr>
        <w:t>Matter 9: Delivering Climate Resilient Sustainable Growth (CC policies)</w:t>
      </w:r>
    </w:p>
    <w:p w14:paraId="72744F9A" w14:textId="77777777" w:rsidR="00AF027E" w:rsidRDefault="00AF027E" w:rsidP="00A23584">
      <w:pPr>
        <w:spacing w:line="360" w:lineRule="auto"/>
        <w:jc w:val="both"/>
        <w:rPr>
          <w:rFonts w:ascii="Arial" w:hAnsi="Arial" w:cs="Arial"/>
          <w:sz w:val="22"/>
          <w:szCs w:val="22"/>
        </w:rPr>
      </w:pPr>
    </w:p>
    <w:p w14:paraId="4132E202" w14:textId="7778DAF1" w:rsidR="00AF027E" w:rsidRPr="00AF027E" w:rsidRDefault="00AF027E" w:rsidP="00A23584">
      <w:pPr>
        <w:spacing w:line="360" w:lineRule="auto"/>
        <w:jc w:val="both"/>
        <w:rPr>
          <w:rFonts w:ascii="Arial" w:hAnsi="Arial" w:cs="Arial"/>
          <w:b/>
          <w:bCs/>
          <w:i/>
          <w:iCs/>
          <w:sz w:val="22"/>
          <w:szCs w:val="22"/>
        </w:rPr>
      </w:pPr>
      <w:r w:rsidRPr="00AF027E">
        <w:rPr>
          <w:rFonts w:ascii="Arial" w:hAnsi="Arial" w:cs="Arial"/>
          <w:b/>
          <w:bCs/>
          <w:i/>
          <w:iCs/>
          <w:sz w:val="22"/>
          <w:szCs w:val="22"/>
        </w:rPr>
        <w:t>Issue: Whether the policies for delivering climate resilient sustainable growth are positively prepared, justified, effective and consistent with national policy.</w:t>
      </w:r>
    </w:p>
    <w:p w14:paraId="3253FD91" w14:textId="77777777" w:rsidR="00AF027E" w:rsidRDefault="00AF027E" w:rsidP="00A23584">
      <w:pPr>
        <w:spacing w:line="360" w:lineRule="auto"/>
        <w:jc w:val="both"/>
        <w:rPr>
          <w:rFonts w:ascii="Arial" w:hAnsi="Arial" w:cs="Arial"/>
          <w:sz w:val="22"/>
          <w:szCs w:val="22"/>
        </w:rPr>
      </w:pPr>
    </w:p>
    <w:p w14:paraId="58153660" w14:textId="20853BCD" w:rsidR="00AF027E" w:rsidRPr="00AF027E" w:rsidRDefault="00AF027E" w:rsidP="00A23584">
      <w:pPr>
        <w:spacing w:line="360" w:lineRule="auto"/>
        <w:jc w:val="both"/>
        <w:rPr>
          <w:rFonts w:ascii="Arial" w:hAnsi="Arial" w:cs="Arial"/>
          <w:sz w:val="22"/>
          <w:szCs w:val="22"/>
        </w:rPr>
      </w:pPr>
      <w:r w:rsidRPr="00AF027E">
        <w:rPr>
          <w:rFonts w:ascii="Arial" w:hAnsi="Arial" w:cs="Arial"/>
          <w:sz w:val="22"/>
          <w:szCs w:val="22"/>
        </w:rPr>
        <w:t>Questions:</w:t>
      </w:r>
    </w:p>
    <w:p w14:paraId="7B7DB492" w14:textId="77777777" w:rsidR="00AF027E" w:rsidRDefault="00AF027E" w:rsidP="00A23584">
      <w:pPr>
        <w:spacing w:line="360" w:lineRule="auto"/>
        <w:jc w:val="both"/>
        <w:rPr>
          <w:rFonts w:ascii="Arial" w:hAnsi="Arial" w:cs="Arial"/>
          <w:sz w:val="22"/>
          <w:szCs w:val="22"/>
        </w:rPr>
      </w:pPr>
    </w:p>
    <w:p w14:paraId="40D3DDF0" w14:textId="4EE29D91" w:rsidR="00AF027E" w:rsidRPr="00A23584" w:rsidRDefault="00AF027E" w:rsidP="00A23584">
      <w:pPr>
        <w:spacing w:line="360" w:lineRule="auto"/>
        <w:jc w:val="both"/>
        <w:rPr>
          <w:rFonts w:ascii="Arial" w:hAnsi="Arial" w:cs="Arial"/>
          <w:i/>
          <w:iCs/>
          <w:sz w:val="22"/>
          <w:szCs w:val="22"/>
          <w:u w:val="single"/>
        </w:rPr>
      </w:pPr>
      <w:r w:rsidRPr="00A23584">
        <w:rPr>
          <w:rFonts w:ascii="Arial" w:hAnsi="Arial" w:cs="Arial"/>
          <w:i/>
          <w:iCs/>
          <w:sz w:val="22"/>
          <w:szCs w:val="22"/>
          <w:u w:val="single"/>
        </w:rPr>
        <w:t xml:space="preserve">9.1 Are the CC policies positively prepared, justified, effective and consistent with national policy? Are any main modifications necessary, and if </w:t>
      </w:r>
      <w:r w:rsidR="000D08E1" w:rsidRPr="00A23584">
        <w:rPr>
          <w:rFonts w:ascii="Arial" w:hAnsi="Arial" w:cs="Arial"/>
          <w:i/>
          <w:iCs/>
          <w:sz w:val="22"/>
          <w:szCs w:val="22"/>
          <w:u w:val="single"/>
        </w:rPr>
        <w:t>so,</w:t>
      </w:r>
      <w:r w:rsidRPr="00A23584">
        <w:rPr>
          <w:rFonts w:ascii="Arial" w:hAnsi="Arial" w:cs="Arial"/>
          <w:i/>
          <w:iCs/>
          <w:sz w:val="22"/>
          <w:szCs w:val="22"/>
          <w:u w:val="single"/>
        </w:rPr>
        <w:t xml:space="preserve"> what should these be?</w:t>
      </w:r>
    </w:p>
    <w:p w14:paraId="3EADA7A0" w14:textId="77777777" w:rsidR="00AA1F29" w:rsidRDefault="00AA1F29" w:rsidP="00A23584">
      <w:pPr>
        <w:spacing w:line="360" w:lineRule="auto"/>
        <w:jc w:val="both"/>
        <w:rPr>
          <w:rFonts w:ascii="Arial" w:hAnsi="Arial" w:cs="Arial"/>
          <w:sz w:val="22"/>
          <w:szCs w:val="22"/>
        </w:rPr>
      </w:pPr>
    </w:p>
    <w:p w14:paraId="157AD85A" w14:textId="49B175D8" w:rsidR="00585150" w:rsidRDefault="006E096F" w:rsidP="00A23584">
      <w:pPr>
        <w:spacing w:line="360" w:lineRule="auto"/>
        <w:jc w:val="both"/>
        <w:rPr>
          <w:rFonts w:ascii="Arial" w:hAnsi="Arial" w:cs="Arial"/>
          <w:sz w:val="22"/>
          <w:szCs w:val="22"/>
        </w:rPr>
      </w:pPr>
      <w:r>
        <w:rPr>
          <w:rFonts w:ascii="Arial" w:hAnsi="Arial" w:cs="Arial"/>
          <w:sz w:val="22"/>
          <w:szCs w:val="22"/>
        </w:rPr>
        <w:t xml:space="preserve">The HBF are concerned that </w:t>
      </w:r>
      <w:r w:rsidR="0040075C">
        <w:rPr>
          <w:rFonts w:ascii="Arial" w:hAnsi="Arial" w:cs="Arial"/>
          <w:sz w:val="22"/>
          <w:szCs w:val="22"/>
        </w:rPr>
        <w:t xml:space="preserve">CC3 and CC8 have been superseded by building regulations </w:t>
      </w:r>
      <w:r w:rsidR="00A00721">
        <w:rPr>
          <w:rFonts w:ascii="Arial" w:hAnsi="Arial" w:cs="Arial"/>
          <w:sz w:val="22"/>
          <w:szCs w:val="22"/>
        </w:rPr>
        <w:t xml:space="preserve">therefore parts of these policies are no longer required. These </w:t>
      </w:r>
      <w:r w:rsidR="002D1F25">
        <w:rPr>
          <w:rFonts w:ascii="Arial" w:hAnsi="Arial" w:cs="Arial"/>
          <w:sz w:val="22"/>
          <w:szCs w:val="22"/>
        </w:rPr>
        <w:t xml:space="preserve">concerns </w:t>
      </w:r>
      <w:r w:rsidR="00A00721">
        <w:rPr>
          <w:rFonts w:ascii="Arial" w:hAnsi="Arial" w:cs="Arial"/>
          <w:sz w:val="22"/>
          <w:szCs w:val="22"/>
        </w:rPr>
        <w:t xml:space="preserve">are set out below. </w:t>
      </w:r>
    </w:p>
    <w:p w14:paraId="7A759E0D" w14:textId="77777777" w:rsidR="00AA1F29" w:rsidRPr="00AF027E" w:rsidRDefault="00AA1F29" w:rsidP="00A23584">
      <w:pPr>
        <w:spacing w:line="360" w:lineRule="auto"/>
        <w:jc w:val="both"/>
        <w:rPr>
          <w:rFonts w:ascii="Arial" w:hAnsi="Arial" w:cs="Arial"/>
          <w:sz w:val="22"/>
          <w:szCs w:val="22"/>
        </w:rPr>
      </w:pPr>
    </w:p>
    <w:p w14:paraId="1AF60A98" w14:textId="77777777" w:rsidR="00AF027E" w:rsidRPr="00A23584" w:rsidRDefault="00AF027E" w:rsidP="00A23584">
      <w:pPr>
        <w:spacing w:line="360" w:lineRule="auto"/>
        <w:jc w:val="both"/>
        <w:rPr>
          <w:rFonts w:ascii="Arial" w:hAnsi="Arial" w:cs="Arial"/>
          <w:i/>
          <w:iCs/>
          <w:sz w:val="22"/>
          <w:szCs w:val="22"/>
          <w:u w:val="single"/>
        </w:rPr>
      </w:pPr>
      <w:r w:rsidRPr="00A23584">
        <w:rPr>
          <w:rFonts w:ascii="Arial" w:hAnsi="Arial" w:cs="Arial"/>
          <w:i/>
          <w:iCs/>
          <w:sz w:val="22"/>
          <w:szCs w:val="22"/>
          <w:u w:val="single"/>
        </w:rPr>
        <w:t>9.2 Does Policy CC2 provide appropriate guidance for the consideration of Renewable &amp; Low Carbon Energy projects in the district? Are areas classified as moderate-high sensitivity in the Landscape Sensitivity Assessment SPD suitable for development in principle as proposed, and is the assessment sufficiently detailed to determine this? Should moderate-high sensitivity or less be reflected in Figure 5, which appears to be solely based on AONB &amp; Broads designations? Are the other criteria in the policy justified and would they be effective? Has potential windfarm development at the</w:t>
      </w:r>
      <w:r w:rsidRPr="00AF027E">
        <w:rPr>
          <w:rFonts w:ascii="Arial" w:hAnsi="Arial" w:cs="Arial"/>
          <w:sz w:val="22"/>
          <w:szCs w:val="22"/>
        </w:rPr>
        <w:t xml:space="preserve"> </w:t>
      </w:r>
      <w:r w:rsidRPr="00A23584">
        <w:rPr>
          <w:rFonts w:ascii="Arial" w:hAnsi="Arial" w:cs="Arial"/>
          <w:i/>
          <w:iCs/>
          <w:sz w:val="22"/>
          <w:szCs w:val="22"/>
          <w:u w:val="single"/>
        </w:rPr>
        <w:t>district’s airfields been sufficiently assessed to justify the less restrictive policy?</w:t>
      </w:r>
    </w:p>
    <w:p w14:paraId="719BE601" w14:textId="77777777" w:rsidR="00AA1F29" w:rsidRDefault="00AA1F29" w:rsidP="00A23584">
      <w:pPr>
        <w:spacing w:line="360" w:lineRule="auto"/>
        <w:jc w:val="both"/>
        <w:rPr>
          <w:rFonts w:ascii="Arial" w:hAnsi="Arial" w:cs="Arial"/>
          <w:sz w:val="22"/>
          <w:szCs w:val="22"/>
        </w:rPr>
      </w:pPr>
    </w:p>
    <w:p w14:paraId="075DD8D8" w14:textId="032A3924" w:rsidR="00AA1F29" w:rsidRDefault="00A23584" w:rsidP="00A23584">
      <w:pPr>
        <w:spacing w:line="360" w:lineRule="auto"/>
        <w:jc w:val="both"/>
        <w:rPr>
          <w:rFonts w:ascii="Arial" w:hAnsi="Arial" w:cs="Arial"/>
          <w:sz w:val="22"/>
          <w:szCs w:val="22"/>
        </w:rPr>
      </w:pPr>
      <w:r>
        <w:rPr>
          <w:rFonts w:ascii="Arial" w:hAnsi="Arial" w:cs="Arial"/>
          <w:sz w:val="22"/>
          <w:szCs w:val="22"/>
        </w:rPr>
        <w:t>No comment.</w:t>
      </w:r>
    </w:p>
    <w:p w14:paraId="17E86BCB" w14:textId="77777777" w:rsidR="00585150" w:rsidRPr="00AF027E" w:rsidRDefault="00585150" w:rsidP="00A23584">
      <w:pPr>
        <w:spacing w:line="360" w:lineRule="auto"/>
        <w:jc w:val="both"/>
        <w:rPr>
          <w:rFonts w:ascii="Arial" w:hAnsi="Arial" w:cs="Arial"/>
          <w:sz w:val="22"/>
          <w:szCs w:val="22"/>
        </w:rPr>
      </w:pPr>
    </w:p>
    <w:p w14:paraId="6C012ADB" w14:textId="77777777" w:rsidR="00AF027E" w:rsidRPr="00A23584" w:rsidRDefault="00AF027E" w:rsidP="00A23584">
      <w:pPr>
        <w:spacing w:line="360" w:lineRule="auto"/>
        <w:jc w:val="both"/>
        <w:rPr>
          <w:rFonts w:ascii="Arial" w:hAnsi="Arial" w:cs="Arial"/>
          <w:i/>
          <w:iCs/>
          <w:sz w:val="22"/>
          <w:szCs w:val="22"/>
          <w:u w:val="single"/>
        </w:rPr>
      </w:pPr>
      <w:r w:rsidRPr="00A23584">
        <w:rPr>
          <w:rFonts w:ascii="Arial" w:hAnsi="Arial" w:cs="Arial"/>
          <w:i/>
          <w:iCs/>
          <w:sz w:val="22"/>
          <w:szCs w:val="22"/>
          <w:u w:val="single"/>
        </w:rPr>
        <w:lastRenderedPageBreak/>
        <w:t>9.3 How do the energy efficiency standards set out in section 1 of Policy CC3 relate to current and potential future building regulations? Does it need updating? Are any differences from building regulations standards justified? What does ‘zero carbon ready’ by 2035 mean in practice? What are the implications for the cost of development?</w:t>
      </w:r>
    </w:p>
    <w:p w14:paraId="0052FF35" w14:textId="77777777" w:rsidR="00A23584" w:rsidRDefault="00A23584" w:rsidP="00A23584">
      <w:pPr>
        <w:pStyle w:val="Default"/>
      </w:pPr>
    </w:p>
    <w:p w14:paraId="0B1557B1" w14:textId="24036DDB" w:rsidR="00A23584" w:rsidRDefault="00A23584" w:rsidP="00A23584">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Part L of the 2021 </w:t>
      </w:r>
      <w:r w:rsidRPr="00A23584">
        <w:rPr>
          <w:rFonts w:asciiTheme="minorHAnsi" w:hAnsiTheme="minorHAnsi" w:cstheme="minorHAnsi"/>
          <w:sz w:val="22"/>
          <w:szCs w:val="22"/>
        </w:rPr>
        <w:t xml:space="preserve">Building Regulations </w:t>
      </w:r>
      <w:r>
        <w:rPr>
          <w:rFonts w:asciiTheme="minorHAnsi" w:hAnsiTheme="minorHAnsi" w:cstheme="minorHAnsi"/>
          <w:sz w:val="22"/>
          <w:szCs w:val="22"/>
        </w:rPr>
        <w:t>that came into force in June 2022 will deliver a circa 30%</w:t>
      </w:r>
      <w:r w:rsidRPr="00A23584">
        <w:rPr>
          <w:rFonts w:asciiTheme="minorHAnsi" w:hAnsiTheme="minorHAnsi" w:cstheme="minorHAnsi"/>
          <w:sz w:val="22"/>
          <w:szCs w:val="22"/>
        </w:rPr>
        <w:t xml:space="preserve"> reduction in CO</w:t>
      </w:r>
      <w:r w:rsidRPr="00A23584">
        <w:rPr>
          <w:rFonts w:asciiTheme="minorHAnsi" w:hAnsiTheme="minorHAnsi" w:cstheme="minorHAnsi"/>
          <w:sz w:val="14"/>
          <w:szCs w:val="14"/>
        </w:rPr>
        <w:t xml:space="preserve">2 </w:t>
      </w:r>
      <w:r w:rsidRPr="00A23584">
        <w:rPr>
          <w:rFonts w:asciiTheme="minorHAnsi" w:hAnsiTheme="minorHAnsi" w:cstheme="minorHAnsi"/>
          <w:sz w:val="22"/>
          <w:szCs w:val="22"/>
        </w:rPr>
        <w:t xml:space="preserve">on </w:t>
      </w:r>
      <w:r>
        <w:rPr>
          <w:rFonts w:asciiTheme="minorHAnsi" w:hAnsiTheme="minorHAnsi" w:cstheme="minorHAnsi"/>
          <w:sz w:val="22"/>
          <w:szCs w:val="22"/>
        </w:rPr>
        <w:t>the 2013 Building Regulations. As such it is unnecessary for the council to include</w:t>
      </w:r>
      <w:r w:rsidR="00F56CCD">
        <w:rPr>
          <w:rFonts w:asciiTheme="minorHAnsi" w:hAnsiTheme="minorHAnsi" w:cstheme="minorHAnsi"/>
          <w:sz w:val="22"/>
          <w:szCs w:val="22"/>
        </w:rPr>
        <w:t xml:space="preserve"> </w:t>
      </w:r>
      <w:r>
        <w:rPr>
          <w:rFonts w:asciiTheme="minorHAnsi" w:hAnsiTheme="minorHAnsi" w:cstheme="minorHAnsi"/>
          <w:sz w:val="22"/>
          <w:szCs w:val="22"/>
        </w:rPr>
        <w:t xml:space="preserve">this requirement </w:t>
      </w:r>
      <w:r w:rsidR="00F56CCD">
        <w:rPr>
          <w:rFonts w:asciiTheme="minorHAnsi" w:hAnsiTheme="minorHAnsi" w:cstheme="minorHAnsi"/>
          <w:sz w:val="22"/>
          <w:szCs w:val="22"/>
        </w:rPr>
        <w:t xml:space="preserve">in </w:t>
      </w:r>
      <w:r>
        <w:rPr>
          <w:rFonts w:asciiTheme="minorHAnsi" w:hAnsiTheme="minorHAnsi" w:cstheme="minorHAnsi"/>
          <w:sz w:val="22"/>
          <w:szCs w:val="22"/>
        </w:rPr>
        <w:t xml:space="preserve">it its </w:t>
      </w:r>
      <w:r w:rsidR="00F56CCD">
        <w:rPr>
          <w:rFonts w:asciiTheme="minorHAnsi" w:hAnsiTheme="minorHAnsi" w:cstheme="minorHAnsi"/>
          <w:sz w:val="22"/>
          <w:szCs w:val="22"/>
        </w:rPr>
        <w:t xml:space="preserve">local plan </w:t>
      </w:r>
      <w:r>
        <w:rPr>
          <w:rFonts w:asciiTheme="minorHAnsi" w:hAnsiTheme="minorHAnsi" w:cstheme="minorHAnsi"/>
          <w:sz w:val="22"/>
          <w:szCs w:val="22"/>
        </w:rPr>
        <w:t xml:space="preserve">as </w:t>
      </w:r>
      <w:r w:rsidR="00F56CCD">
        <w:rPr>
          <w:rFonts w:asciiTheme="minorHAnsi" w:hAnsiTheme="minorHAnsi" w:cstheme="minorHAnsi"/>
          <w:sz w:val="22"/>
          <w:szCs w:val="22"/>
        </w:rPr>
        <w:t>the policy</w:t>
      </w:r>
      <w:r>
        <w:rPr>
          <w:rFonts w:asciiTheme="minorHAnsi" w:hAnsiTheme="minorHAnsi" w:cstheme="minorHAnsi"/>
          <w:sz w:val="22"/>
          <w:szCs w:val="22"/>
        </w:rPr>
        <w:t xml:space="preserve"> has been superseded by building regulations. </w:t>
      </w:r>
    </w:p>
    <w:p w14:paraId="5ECC81F0" w14:textId="77777777" w:rsidR="00F56CCD" w:rsidRDefault="00F56CCD" w:rsidP="00A23584">
      <w:pPr>
        <w:spacing w:line="360" w:lineRule="auto"/>
        <w:jc w:val="both"/>
        <w:rPr>
          <w:rFonts w:asciiTheme="minorHAnsi" w:hAnsiTheme="minorHAnsi" w:cstheme="minorHAnsi"/>
          <w:sz w:val="22"/>
          <w:szCs w:val="22"/>
        </w:rPr>
      </w:pPr>
    </w:p>
    <w:p w14:paraId="66A6314B" w14:textId="12DD7891" w:rsidR="00F56CCD" w:rsidRPr="00A23584" w:rsidRDefault="00F56CCD" w:rsidP="00A23584">
      <w:pPr>
        <w:spacing w:line="360" w:lineRule="auto"/>
        <w:jc w:val="both"/>
        <w:rPr>
          <w:rFonts w:asciiTheme="minorHAnsi" w:hAnsiTheme="minorHAnsi" w:cstheme="minorHAnsi"/>
          <w:sz w:val="22"/>
          <w:szCs w:val="22"/>
        </w:rPr>
      </w:pPr>
      <w:r>
        <w:rPr>
          <w:rFonts w:asciiTheme="minorHAnsi" w:hAnsiTheme="minorHAnsi" w:cstheme="minorHAnsi"/>
          <w:sz w:val="22"/>
          <w:szCs w:val="22"/>
        </w:rPr>
        <w:t>The Government is proposing that from 2025 new homes will have to meet the proposed Future Homes Standard. This will mean that homes will be prevented from using gas boilers and appliances meaning that they will become zero carbon as the national grid decarbonises. As set out in our statements to matter 4 t</w:t>
      </w:r>
      <w:r w:rsidRPr="00F56CCD">
        <w:rPr>
          <w:rFonts w:asciiTheme="minorHAnsi" w:hAnsiTheme="minorHAnsi" w:cstheme="minorHAnsi"/>
          <w:sz w:val="22"/>
          <w:szCs w:val="22"/>
        </w:rPr>
        <w:t xml:space="preserve">he Future Homes Hub has undertaken some work to support and inform the implementation of the Future Homes Standard </w:t>
      </w:r>
      <w:r>
        <w:rPr>
          <w:rFonts w:asciiTheme="minorHAnsi" w:hAnsiTheme="minorHAnsi" w:cstheme="minorHAnsi"/>
          <w:sz w:val="22"/>
          <w:szCs w:val="22"/>
        </w:rPr>
        <w:t xml:space="preserve">and have published </w:t>
      </w:r>
      <w:r w:rsidRPr="00F56CCD">
        <w:rPr>
          <w:rFonts w:asciiTheme="minorHAnsi" w:hAnsiTheme="minorHAnsi" w:cstheme="minorHAnsi"/>
          <w:sz w:val="22"/>
          <w:szCs w:val="22"/>
        </w:rPr>
        <w:t xml:space="preserve">evidence </w:t>
      </w:r>
      <w:r w:rsidR="002321C3">
        <w:rPr>
          <w:rFonts w:asciiTheme="minorHAnsi" w:hAnsiTheme="minorHAnsi" w:cstheme="minorHAnsi"/>
          <w:sz w:val="22"/>
          <w:szCs w:val="22"/>
        </w:rPr>
        <w:t xml:space="preserve">which </w:t>
      </w:r>
      <w:r w:rsidRPr="00F56CCD">
        <w:rPr>
          <w:rFonts w:asciiTheme="minorHAnsi" w:hAnsiTheme="minorHAnsi" w:cstheme="minorHAnsi"/>
          <w:sz w:val="22"/>
          <w:szCs w:val="22"/>
        </w:rPr>
        <w:t xml:space="preserve">indicates that </w:t>
      </w:r>
      <w:r w:rsidR="002321C3">
        <w:rPr>
          <w:rFonts w:asciiTheme="minorHAnsi" w:hAnsiTheme="minorHAnsi" w:cstheme="minorHAnsi"/>
          <w:sz w:val="22"/>
          <w:szCs w:val="22"/>
        </w:rPr>
        <w:t xml:space="preserve">for a three bedroomed end of terrace house </w:t>
      </w:r>
      <w:r w:rsidRPr="00F56CCD">
        <w:rPr>
          <w:rFonts w:asciiTheme="minorHAnsi" w:hAnsiTheme="minorHAnsi" w:cstheme="minorHAnsi"/>
          <w:sz w:val="22"/>
          <w:szCs w:val="22"/>
        </w:rPr>
        <w:t>the Future Homes Standard would</w:t>
      </w:r>
      <w:r w:rsidR="002321C3">
        <w:rPr>
          <w:rFonts w:asciiTheme="minorHAnsi" w:hAnsiTheme="minorHAnsi" w:cstheme="minorHAnsi"/>
          <w:sz w:val="22"/>
          <w:szCs w:val="22"/>
        </w:rPr>
        <w:t xml:space="preserve"> add</w:t>
      </w:r>
      <w:r w:rsidRPr="00F56CCD">
        <w:rPr>
          <w:rFonts w:asciiTheme="minorHAnsi" w:hAnsiTheme="minorHAnsi" w:cstheme="minorHAnsi"/>
          <w:sz w:val="22"/>
          <w:szCs w:val="22"/>
        </w:rPr>
        <w:t xml:space="preserve"> a 5% increase </w:t>
      </w:r>
      <w:r w:rsidR="002321C3">
        <w:rPr>
          <w:rFonts w:asciiTheme="minorHAnsi" w:hAnsiTheme="minorHAnsi" w:cstheme="minorHAnsi"/>
          <w:sz w:val="22"/>
          <w:szCs w:val="22"/>
        </w:rPr>
        <w:t>to</w:t>
      </w:r>
      <w:r w:rsidRPr="00F56CCD">
        <w:rPr>
          <w:rFonts w:asciiTheme="minorHAnsi" w:hAnsiTheme="minorHAnsi" w:cstheme="minorHAnsi"/>
          <w:sz w:val="22"/>
          <w:szCs w:val="22"/>
        </w:rPr>
        <w:t xml:space="preserve"> per unit </w:t>
      </w:r>
      <w:r w:rsidR="002321C3">
        <w:rPr>
          <w:rFonts w:asciiTheme="minorHAnsi" w:hAnsiTheme="minorHAnsi" w:cstheme="minorHAnsi"/>
          <w:sz w:val="22"/>
          <w:szCs w:val="22"/>
        </w:rPr>
        <w:t xml:space="preserve">build </w:t>
      </w:r>
      <w:r w:rsidRPr="00F56CCD">
        <w:rPr>
          <w:rFonts w:asciiTheme="minorHAnsi" w:hAnsiTheme="minorHAnsi" w:cstheme="minorHAnsi"/>
          <w:sz w:val="22"/>
          <w:szCs w:val="22"/>
        </w:rPr>
        <w:t>cost compared to the 2021 Building Regulations.</w:t>
      </w:r>
    </w:p>
    <w:p w14:paraId="4ED41A05" w14:textId="77777777" w:rsidR="00A23584" w:rsidRPr="00AF027E" w:rsidRDefault="00A23584" w:rsidP="00A23584">
      <w:pPr>
        <w:spacing w:line="360" w:lineRule="auto"/>
        <w:jc w:val="both"/>
        <w:rPr>
          <w:rFonts w:ascii="Arial" w:hAnsi="Arial" w:cs="Arial"/>
          <w:sz w:val="22"/>
          <w:szCs w:val="22"/>
        </w:rPr>
      </w:pPr>
    </w:p>
    <w:p w14:paraId="03D5F1E6" w14:textId="47694617" w:rsidR="00AF027E" w:rsidRPr="00A23584" w:rsidRDefault="00AF027E" w:rsidP="00A23584">
      <w:pPr>
        <w:spacing w:line="360" w:lineRule="auto"/>
        <w:jc w:val="both"/>
        <w:rPr>
          <w:rFonts w:ascii="Arial" w:hAnsi="Arial" w:cs="Arial"/>
          <w:i/>
          <w:iCs/>
          <w:sz w:val="22"/>
          <w:szCs w:val="22"/>
          <w:u w:val="single"/>
        </w:rPr>
      </w:pPr>
      <w:r w:rsidRPr="00A23584">
        <w:rPr>
          <w:rFonts w:ascii="Arial" w:hAnsi="Arial" w:cs="Arial"/>
          <w:i/>
          <w:iCs/>
          <w:sz w:val="22"/>
          <w:szCs w:val="22"/>
          <w:u w:val="single"/>
        </w:rPr>
        <w:t xml:space="preserve">9.4 Is the requirement in section 2 of Policy CC3 for all proposals to be accompanied by a compliance statement justified? Does this include minor </w:t>
      </w:r>
      <w:r w:rsidR="002321C3" w:rsidRPr="00A23584">
        <w:rPr>
          <w:rFonts w:ascii="Arial" w:hAnsi="Arial" w:cs="Arial"/>
          <w:i/>
          <w:iCs/>
          <w:sz w:val="22"/>
          <w:szCs w:val="22"/>
          <w:u w:val="single"/>
        </w:rPr>
        <w:t>development,</w:t>
      </w:r>
      <w:r w:rsidRPr="00A23584">
        <w:rPr>
          <w:rFonts w:ascii="Arial" w:hAnsi="Arial" w:cs="Arial"/>
          <w:i/>
          <w:iCs/>
          <w:sz w:val="22"/>
          <w:szCs w:val="22"/>
          <w:u w:val="single"/>
        </w:rPr>
        <w:t xml:space="preserve"> or should there be a threshold?</w:t>
      </w:r>
    </w:p>
    <w:p w14:paraId="0A29DF3D" w14:textId="77777777" w:rsidR="00AA1F29" w:rsidRDefault="00AA1F29" w:rsidP="00A23584">
      <w:pPr>
        <w:spacing w:line="360" w:lineRule="auto"/>
        <w:jc w:val="both"/>
        <w:rPr>
          <w:rFonts w:ascii="Arial" w:hAnsi="Arial" w:cs="Arial"/>
          <w:sz w:val="22"/>
          <w:szCs w:val="22"/>
        </w:rPr>
      </w:pPr>
    </w:p>
    <w:p w14:paraId="5F1F6786" w14:textId="40117692" w:rsidR="002321C3" w:rsidRDefault="002321C3" w:rsidP="00A23584">
      <w:pPr>
        <w:spacing w:line="360" w:lineRule="auto"/>
        <w:jc w:val="both"/>
        <w:rPr>
          <w:rFonts w:ascii="Arial" w:hAnsi="Arial" w:cs="Arial"/>
          <w:sz w:val="22"/>
          <w:szCs w:val="22"/>
        </w:rPr>
      </w:pPr>
      <w:r>
        <w:rPr>
          <w:rFonts w:ascii="Arial" w:hAnsi="Arial" w:cs="Arial"/>
          <w:sz w:val="22"/>
          <w:szCs w:val="22"/>
        </w:rPr>
        <w:t xml:space="preserve">Compliance statements must be proportionate to the scale of development. We would also suggest that it is not necessary to require development to address part b given that this will now be addressed through the building regulations. </w:t>
      </w:r>
    </w:p>
    <w:p w14:paraId="175E3658" w14:textId="77777777" w:rsidR="00F56CCD" w:rsidRPr="00AF027E" w:rsidRDefault="00F56CCD" w:rsidP="00A23584">
      <w:pPr>
        <w:spacing w:line="360" w:lineRule="auto"/>
        <w:jc w:val="both"/>
        <w:rPr>
          <w:rFonts w:ascii="Arial" w:hAnsi="Arial" w:cs="Arial"/>
          <w:sz w:val="22"/>
          <w:szCs w:val="22"/>
        </w:rPr>
      </w:pPr>
    </w:p>
    <w:p w14:paraId="41ADAC0B" w14:textId="77777777" w:rsidR="00AF027E" w:rsidRPr="00F56CCD" w:rsidRDefault="00AF027E" w:rsidP="00A23584">
      <w:pPr>
        <w:spacing w:line="360" w:lineRule="auto"/>
        <w:jc w:val="both"/>
        <w:rPr>
          <w:rFonts w:ascii="Arial" w:hAnsi="Arial" w:cs="Arial"/>
          <w:i/>
          <w:iCs/>
          <w:sz w:val="22"/>
          <w:szCs w:val="22"/>
          <w:u w:val="single"/>
        </w:rPr>
      </w:pPr>
      <w:r w:rsidRPr="00F56CCD">
        <w:rPr>
          <w:rFonts w:ascii="Arial" w:hAnsi="Arial" w:cs="Arial"/>
          <w:i/>
          <w:iCs/>
          <w:sz w:val="22"/>
          <w:szCs w:val="22"/>
          <w:u w:val="single"/>
        </w:rPr>
        <w:t>9.5 Is the requirement in section 3 of Policy CC3 for non-residential development over 250 sq m floorspace to achieve BREEAM ‘very good’ standard justified? What are the implications for the cost of development?</w:t>
      </w:r>
    </w:p>
    <w:p w14:paraId="0B0E36C7" w14:textId="77777777" w:rsidR="00AA1F29" w:rsidRDefault="00AA1F29" w:rsidP="00A23584">
      <w:pPr>
        <w:spacing w:line="360" w:lineRule="auto"/>
        <w:jc w:val="both"/>
        <w:rPr>
          <w:rFonts w:ascii="Arial" w:hAnsi="Arial" w:cs="Arial"/>
          <w:sz w:val="22"/>
          <w:szCs w:val="22"/>
        </w:rPr>
      </w:pPr>
    </w:p>
    <w:p w14:paraId="57F15BCB" w14:textId="35D58C35" w:rsidR="002321C3" w:rsidRDefault="002321C3" w:rsidP="00A23584">
      <w:pPr>
        <w:spacing w:line="360" w:lineRule="auto"/>
        <w:jc w:val="both"/>
        <w:rPr>
          <w:rFonts w:ascii="Arial" w:hAnsi="Arial" w:cs="Arial"/>
          <w:sz w:val="22"/>
          <w:szCs w:val="22"/>
        </w:rPr>
      </w:pPr>
      <w:r>
        <w:rPr>
          <w:rFonts w:ascii="Arial" w:hAnsi="Arial" w:cs="Arial"/>
          <w:sz w:val="22"/>
          <w:szCs w:val="22"/>
        </w:rPr>
        <w:t xml:space="preserve">No comment </w:t>
      </w:r>
    </w:p>
    <w:p w14:paraId="3D084945" w14:textId="77777777" w:rsidR="00AA1F29" w:rsidRDefault="00AA1F29" w:rsidP="00A23584">
      <w:pPr>
        <w:spacing w:line="360" w:lineRule="auto"/>
        <w:jc w:val="both"/>
        <w:rPr>
          <w:rFonts w:ascii="Arial" w:hAnsi="Arial" w:cs="Arial"/>
          <w:sz w:val="22"/>
          <w:szCs w:val="22"/>
        </w:rPr>
      </w:pPr>
    </w:p>
    <w:p w14:paraId="3EADF145" w14:textId="3B58141C" w:rsidR="00AF027E" w:rsidRPr="002321C3" w:rsidRDefault="00AF027E" w:rsidP="00A23584">
      <w:pPr>
        <w:spacing w:line="360" w:lineRule="auto"/>
        <w:jc w:val="both"/>
        <w:rPr>
          <w:rFonts w:ascii="Arial" w:hAnsi="Arial" w:cs="Arial"/>
          <w:i/>
          <w:iCs/>
          <w:sz w:val="22"/>
          <w:szCs w:val="22"/>
          <w:u w:val="single"/>
        </w:rPr>
      </w:pPr>
      <w:r w:rsidRPr="002321C3">
        <w:rPr>
          <w:rFonts w:ascii="Arial" w:hAnsi="Arial" w:cs="Arial"/>
          <w:i/>
          <w:iCs/>
          <w:sz w:val="22"/>
          <w:szCs w:val="22"/>
          <w:u w:val="single"/>
        </w:rPr>
        <w:t>9.6 Is the requirement in Policy CC4 for compliance with any future local water efficiency standard justified when these are not currently known?</w:t>
      </w:r>
    </w:p>
    <w:p w14:paraId="76984457" w14:textId="77777777" w:rsidR="00AA1F29" w:rsidRDefault="00AA1F29" w:rsidP="00A23584">
      <w:pPr>
        <w:spacing w:line="360" w:lineRule="auto"/>
        <w:jc w:val="both"/>
        <w:rPr>
          <w:rFonts w:ascii="Arial" w:hAnsi="Arial" w:cs="Arial"/>
          <w:sz w:val="22"/>
          <w:szCs w:val="22"/>
        </w:rPr>
      </w:pPr>
    </w:p>
    <w:p w14:paraId="70E99CE6" w14:textId="7A5FA22F" w:rsidR="00AA1F29" w:rsidRDefault="002321C3" w:rsidP="00A23584">
      <w:pPr>
        <w:spacing w:line="360" w:lineRule="auto"/>
        <w:jc w:val="both"/>
        <w:rPr>
          <w:rFonts w:ascii="Arial" w:hAnsi="Arial" w:cs="Arial"/>
          <w:sz w:val="22"/>
          <w:szCs w:val="22"/>
        </w:rPr>
      </w:pPr>
      <w:r>
        <w:rPr>
          <w:rFonts w:ascii="Arial" w:hAnsi="Arial" w:cs="Arial"/>
          <w:sz w:val="22"/>
          <w:szCs w:val="22"/>
        </w:rPr>
        <w:t>No comment</w:t>
      </w:r>
    </w:p>
    <w:p w14:paraId="65E456A0" w14:textId="77777777" w:rsidR="002321C3" w:rsidRPr="00AF027E" w:rsidRDefault="002321C3" w:rsidP="00A23584">
      <w:pPr>
        <w:spacing w:line="360" w:lineRule="auto"/>
        <w:jc w:val="both"/>
        <w:rPr>
          <w:rFonts w:ascii="Arial" w:hAnsi="Arial" w:cs="Arial"/>
          <w:sz w:val="22"/>
          <w:szCs w:val="22"/>
        </w:rPr>
      </w:pPr>
    </w:p>
    <w:p w14:paraId="320DC4A6" w14:textId="77777777" w:rsidR="00AF027E" w:rsidRPr="002321C3" w:rsidRDefault="00AF027E" w:rsidP="00A23584">
      <w:pPr>
        <w:spacing w:line="360" w:lineRule="auto"/>
        <w:jc w:val="both"/>
        <w:rPr>
          <w:rFonts w:ascii="Arial" w:hAnsi="Arial" w:cs="Arial"/>
          <w:i/>
          <w:iCs/>
          <w:sz w:val="22"/>
          <w:szCs w:val="22"/>
          <w:u w:val="single"/>
        </w:rPr>
      </w:pPr>
      <w:r w:rsidRPr="002321C3">
        <w:rPr>
          <w:rFonts w:ascii="Arial" w:hAnsi="Arial" w:cs="Arial"/>
          <w:i/>
          <w:iCs/>
          <w:sz w:val="22"/>
          <w:szCs w:val="22"/>
          <w:u w:val="single"/>
        </w:rPr>
        <w:t>9.7 Do Policies CC5 and CC6 provide appropriate guidance for the management of change and relocation of existing uses within the Coastal Change Management Area (CCMA)? Do they provide sufficient flexibility for tourist accommodation businesses operating within the CCMA? How reliable is the CCMA designation, what assumptions are made in drawing it up and when might it be reviewed? Is the vulnerable within 50 years period justified in relation to potential blight and investment decisions? Should it be more flexible or relate to the use concerned? Is the ‘no net detrimental impact’ test justified when the development being replaced remains temporarily?</w:t>
      </w:r>
    </w:p>
    <w:p w14:paraId="123D3C9B" w14:textId="77777777" w:rsidR="00AA1F29" w:rsidRDefault="00AA1F29" w:rsidP="00A23584">
      <w:pPr>
        <w:spacing w:line="360" w:lineRule="auto"/>
        <w:jc w:val="both"/>
        <w:rPr>
          <w:rFonts w:ascii="Arial" w:hAnsi="Arial" w:cs="Arial"/>
          <w:sz w:val="22"/>
          <w:szCs w:val="22"/>
        </w:rPr>
      </w:pPr>
    </w:p>
    <w:p w14:paraId="184D3F9E" w14:textId="105EAF61" w:rsidR="00AA1F29" w:rsidRDefault="002321C3" w:rsidP="00A23584">
      <w:pPr>
        <w:spacing w:line="360" w:lineRule="auto"/>
        <w:jc w:val="both"/>
        <w:rPr>
          <w:rFonts w:ascii="Arial" w:hAnsi="Arial" w:cs="Arial"/>
          <w:sz w:val="22"/>
          <w:szCs w:val="22"/>
        </w:rPr>
      </w:pPr>
      <w:r>
        <w:rPr>
          <w:rFonts w:ascii="Arial" w:hAnsi="Arial" w:cs="Arial"/>
          <w:sz w:val="22"/>
          <w:szCs w:val="22"/>
        </w:rPr>
        <w:t>No comment</w:t>
      </w:r>
    </w:p>
    <w:p w14:paraId="60E95C11" w14:textId="77777777" w:rsidR="00AA1F29" w:rsidRPr="00AF027E" w:rsidRDefault="00AA1F29" w:rsidP="00A23584">
      <w:pPr>
        <w:spacing w:line="360" w:lineRule="auto"/>
        <w:jc w:val="both"/>
        <w:rPr>
          <w:rFonts w:ascii="Arial" w:hAnsi="Arial" w:cs="Arial"/>
          <w:sz w:val="22"/>
          <w:szCs w:val="22"/>
        </w:rPr>
      </w:pPr>
    </w:p>
    <w:p w14:paraId="4ADF7B0A" w14:textId="553DF350" w:rsidR="00AF027E" w:rsidRDefault="00AF027E" w:rsidP="00A23584">
      <w:pPr>
        <w:spacing w:line="360" w:lineRule="auto"/>
        <w:jc w:val="both"/>
        <w:rPr>
          <w:rFonts w:ascii="Arial" w:hAnsi="Arial" w:cs="Arial"/>
          <w:sz w:val="22"/>
          <w:szCs w:val="22"/>
        </w:rPr>
      </w:pPr>
      <w:r w:rsidRPr="002321C3">
        <w:rPr>
          <w:rFonts w:ascii="Arial" w:hAnsi="Arial" w:cs="Arial"/>
          <w:i/>
          <w:iCs/>
          <w:sz w:val="22"/>
          <w:szCs w:val="22"/>
          <w:u w:val="single"/>
        </w:rPr>
        <w:t>9.8 Does Policy CC8 provide appropriate guidance for the provision of electric vehicle charging points in new development? Are the proposed standards justified, how do they relate to the building regulations and what are the implications for the cost of development? Is the text in 3.8.3 and 3.8.7 justified in requiring compliance with any future County Council electric vehicle parking standards when these are not currently known?</w:t>
      </w:r>
    </w:p>
    <w:p w14:paraId="50EFB79E" w14:textId="77777777" w:rsidR="002321C3" w:rsidRDefault="002321C3" w:rsidP="00A23584">
      <w:pPr>
        <w:spacing w:line="360" w:lineRule="auto"/>
        <w:jc w:val="both"/>
        <w:rPr>
          <w:rFonts w:ascii="Arial" w:hAnsi="Arial" w:cs="Arial"/>
          <w:sz w:val="22"/>
          <w:szCs w:val="22"/>
        </w:rPr>
      </w:pPr>
    </w:p>
    <w:p w14:paraId="74C79808" w14:textId="2E26B669" w:rsidR="002321C3" w:rsidRDefault="002321C3" w:rsidP="00A23584">
      <w:pPr>
        <w:spacing w:line="360" w:lineRule="auto"/>
        <w:jc w:val="both"/>
        <w:rPr>
          <w:rFonts w:ascii="Arial" w:hAnsi="Arial" w:cs="Arial"/>
          <w:sz w:val="22"/>
          <w:szCs w:val="22"/>
        </w:rPr>
      </w:pPr>
      <w:r>
        <w:rPr>
          <w:rFonts w:ascii="Arial" w:hAnsi="Arial" w:cs="Arial"/>
          <w:sz w:val="22"/>
          <w:szCs w:val="22"/>
        </w:rPr>
        <w:t xml:space="preserve">Standard for electric vehicle charging are now set out in </w:t>
      </w:r>
      <w:r w:rsidRPr="002321C3">
        <w:rPr>
          <w:rFonts w:ascii="Arial" w:hAnsi="Arial" w:cs="Arial"/>
          <w:sz w:val="22"/>
          <w:szCs w:val="22"/>
        </w:rPr>
        <w:t xml:space="preserve">building regulations being </w:t>
      </w:r>
      <w:r>
        <w:rPr>
          <w:rFonts w:ascii="Arial" w:hAnsi="Arial" w:cs="Arial"/>
          <w:sz w:val="22"/>
          <w:szCs w:val="22"/>
        </w:rPr>
        <w:t>through the</w:t>
      </w:r>
      <w:r w:rsidRPr="002321C3">
        <w:rPr>
          <w:rFonts w:ascii="Arial" w:hAnsi="Arial" w:cs="Arial"/>
          <w:sz w:val="22"/>
          <w:szCs w:val="22"/>
        </w:rPr>
        <w:t xml:space="preserve"> update part S of the Building Regulations</w:t>
      </w:r>
      <w:r>
        <w:rPr>
          <w:rFonts w:ascii="Arial" w:hAnsi="Arial" w:cs="Arial"/>
          <w:sz w:val="22"/>
          <w:szCs w:val="22"/>
        </w:rPr>
        <w:t>. These came into force in</w:t>
      </w:r>
      <w:r w:rsidRPr="002321C3">
        <w:rPr>
          <w:rFonts w:ascii="Arial" w:hAnsi="Arial" w:cs="Arial"/>
          <w:sz w:val="22"/>
          <w:szCs w:val="22"/>
        </w:rPr>
        <w:t xml:space="preserve"> June 2022. This approach provides the necessary consistency across the country as to what is required both in terms of the number of charging points but also the technical standard as to the type of charger to be used. As such the Council should delete the requirement for electric vehicle charging points </w:t>
      </w:r>
      <w:r>
        <w:rPr>
          <w:rFonts w:ascii="Arial" w:hAnsi="Arial" w:cs="Arial"/>
          <w:sz w:val="22"/>
          <w:szCs w:val="22"/>
        </w:rPr>
        <w:t xml:space="preserve">set out in part 2 of this policy or state that residential development will be expected to meet the requirements set out in Part S.  </w:t>
      </w:r>
    </w:p>
    <w:p w14:paraId="5AB73DAC" w14:textId="77777777" w:rsidR="008C69A8" w:rsidRDefault="008C69A8" w:rsidP="00A23584">
      <w:pPr>
        <w:spacing w:line="360" w:lineRule="auto"/>
        <w:jc w:val="both"/>
        <w:rPr>
          <w:rFonts w:ascii="Arial" w:hAnsi="Arial" w:cs="Arial"/>
          <w:sz w:val="22"/>
          <w:szCs w:val="22"/>
        </w:rPr>
      </w:pPr>
    </w:p>
    <w:p w14:paraId="38F464E3" w14:textId="12CF1A68" w:rsidR="008C69A8" w:rsidRDefault="008C69A8">
      <w:pPr>
        <w:rPr>
          <w:rFonts w:ascii="Arial" w:hAnsi="Arial" w:cs="Arial"/>
          <w:sz w:val="22"/>
          <w:szCs w:val="22"/>
        </w:rPr>
      </w:pPr>
      <w:r>
        <w:rPr>
          <w:rFonts w:ascii="Arial" w:hAnsi="Arial" w:cs="Arial"/>
          <w:sz w:val="22"/>
          <w:szCs w:val="22"/>
        </w:rPr>
        <w:br w:type="page"/>
      </w:r>
    </w:p>
    <w:p w14:paraId="371AAEFF" w14:textId="77777777" w:rsidR="008C69A8" w:rsidRDefault="008C69A8" w:rsidP="008C69A8">
      <w:pPr>
        <w:spacing w:line="360" w:lineRule="auto"/>
        <w:rPr>
          <w:rFonts w:ascii="Arial" w:hAnsi="Arial" w:cs="Arial"/>
          <w:sz w:val="24"/>
        </w:rPr>
      </w:pPr>
      <w:r>
        <w:rPr>
          <w:rFonts w:ascii="Arial" w:hAnsi="Arial" w:cs="Arial"/>
          <w:noProof/>
          <w:sz w:val="24"/>
          <w:lang w:eastAsia="en-GB"/>
        </w:rPr>
        <w:lastRenderedPageBreak/>
        <w:drawing>
          <wp:anchor distT="0" distB="0" distL="114300" distR="114300" simplePos="0" relativeHeight="251658245" behindDoc="0" locked="0" layoutInCell="1" allowOverlap="1" wp14:anchorId="6FBE782E" wp14:editId="79155F50">
            <wp:simplePos x="0" y="0"/>
            <wp:positionH relativeFrom="column">
              <wp:posOffset>4505325</wp:posOffset>
            </wp:positionH>
            <wp:positionV relativeFrom="paragraph">
              <wp:posOffset>-533400</wp:posOffset>
            </wp:positionV>
            <wp:extent cx="876300" cy="876300"/>
            <wp:effectExtent l="0" t="0" r="0" b="0"/>
            <wp:wrapNone/>
            <wp:docPr id="1220287567" name="Picture 1220287567" descr="A logo with a cast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797782" name="Picture 906797782" descr="A logo with a castle and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ECE555" w14:textId="77777777" w:rsidR="008C69A8" w:rsidRDefault="008C69A8" w:rsidP="008C69A8">
      <w:pPr>
        <w:spacing w:line="360" w:lineRule="auto"/>
        <w:rPr>
          <w:rFonts w:ascii="Arial" w:hAnsi="Arial" w:cs="Arial"/>
          <w:sz w:val="24"/>
        </w:rPr>
      </w:pPr>
    </w:p>
    <w:p w14:paraId="2826DDF9" w14:textId="77777777" w:rsidR="008C69A8" w:rsidRPr="00A6394A" w:rsidRDefault="008C69A8" w:rsidP="008C69A8">
      <w:pPr>
        <w:spacing w:line="360" w:lineRule="auto"/>
        <w:jc w:val="right"/>
        <w:rPr>
          <w:rFonts w:ascii="Arial" w:hAnsi="Arial" w:cs="Arial"/>
          <w:b/>
          <w:sz w:val="24"/>
          <w:szCs w:val="24"/>
        </w:rPr>
      </w:pPr>
      <w:r w:rsidRPr="00A6394A">
        <w:rPr>
          <w:rFonts w:ascii="Arial" w:hAnsi="Arial" w:cs="Arial"/>
          <w:b/>
          <w:sz w:val="24"/>
          <w:szCs w:val="24"/>
        </w:rPr>
        <w:t>Home Builders Federation</w:t>
      </w:r>
    </w:p>
    <w:p w14:paraId="761E691A" w14:textId="77777777" w:rsidR="008C69A8" w:rsidRPr="00A6394A" w:rsidRDefault="008C69A8" w:rsidP="008C69A8">
      <w:pPr>
        <w:spacing w:line="360" w:lineRule="auto"/>
        <w:rPr>
          <w:rFonts w:ascii="Arial" w:hAnsi="Arial" w:cs="Arial"/>
          <w:b/>
          <w:sz w:val="24"/>
          <w:szCs w:val="24"/>
        </w:rPr>
      </w:pPr>
    </w:p>
    <w:p w14:paraId="07B30DE0" w14:textId="53509BF3" w:rsidR="008C69A8" w:rsidRPr="00A6394A" w:rsidRDefault="008C69A8" w:rsidP="008C69A8">
      <w:pPr>
        <w:spacing w:line="360" w:lineRule="auto"/>
        <w:ind w:firstLine="720"/>
        <w:jc w:val="right"/>
        <w:rPr>
          <w:rFonts w:ascii="Arial" w:hAnsi="Arial" w:cs="Arial"/>
          <w:b/>
          <w:sz w:val="24"/>
          <w:szCs w:val="24"/>
        </w:rPr>
      </w:pPr>
      <w:r w:rsidRPr="00A6394A">
        <w:rPr>
          <w:rFonts w:ascii="Arial" w:hAnsi="Arial" w:cs="Arial"/>
          <w:b/>
          <w:sz w:val="24"/>
          <w:szCs w:val="24"/>
        </w:rPr>
        <w:t xml:space="preserve">Matter </w:t>
      </w:r>
      <w:r>
        <w:rPr>
          <w:rFonts w:ascii="Arial" w:hAnsi="Arial" w:cs="Arial"/>
          <w:b/>
          <w:sz w:val="24"/>
          <w:szCs w:val="24"/>
        </w:rPr>
        <w:t>10</w:t>
      </w:r>
    </w:p>
    <w:p w14:paraId="7B27EE90" w14:textId="77777777" w:rsidR="008C69A8" w:rsidRPr="00A6394A" w:rsidRDefault="008C69A8" w:rsidP="008C69A8">
      <w:pPr>
        <w:spacing w:line="360" w:lineRule="auto"/>
        <w:rPr>
          <w:rFonts w:ascii="Arial" w:hAnsi="Arial" w:cs="Arial"/>
          <w:b/>
          <w:sz w:val="24"/>
          <w:szCs w:val="24"/>
        </w:rPr>
      </w:pPr>
    </w:p>
    <w:p w14:paraId="45F80040" w14:textId="77777777" w:rsidR="008C69A8" w:rsidRPr="00A6394A" w:rsidRDefault="008C69A8" w:rsidP="008C69A8">
      <w:pPr>
        <w:spacing w:line="360" w:lineRule="auto"/>
        <w:jc w:val="both"/>
        <w:rPr>
          <w:rFonts w:ascii="Arial" w:hAnsi="Arial" w:cs="Arial"/>
          <w:b/>
          <w:caps/>
          <w:sz w:val="24"/>
          <w:szCs w:val="24"/>
        </w:rPr>
      </w:pPr>
      <w:r>
        <w:rPr>
          <w:rFonts w:ascii="Arial" w:hAnsi="Arial" w:cs="Arial"/>
          <w:b/>
          <w:caps/>
          <w:sz w:val="24"/>
          <w:szCs w:val="24"/>
        </w:rPr>
        <w:t>North norfolk</w:t>
      </w:r>
      <w:r w:rsidRPr="00A6394A">
        <w:rPr>
          <w:rFonts w:ascii="Arial" w:hAnsi="Arial" w:cs="Arial"/>
          <w:b/>
          <w:caps/>
          <w:sz w:val="24"/>
          <w:szCs w:val="24"/>
        </w:rPr>
        <w:t xml:space="preserve"> Local Plan Examination</w:t>
      </w:r>
    </w:p>
    <w:p w14:paraId="562E6D7E" w14:textId="77777777" w:rsidR="008C69A8" w:rsidRPr="00A6394A" w:rsidRDefault="008C69A8" w:rsidP="008C69A8">
      <w:pPr>
        <w:spacing w:line="360" w:lineRule="auto"/>
        <w:jc w:val="both"/>
        <w:rPr>
          <w:rFonts w:ascii="Arial" w:hAnsi="Arial" w:cs="Arial"/>
          <w:b/>
          <w:sz w:val="24"/>
          <w:szCs w:val="24"/>
        </w:rPr>
      </w:pPr>
    </w:p>
    <w:p w14:paraId="4E2B573C" w14:textId="40234E45" w:rsidR="008C69A8" w:rsidRPr="00AF027E" w:rsidRDefault="008C69A8" w:rsidP="008C69A8">
      <w:pPr>
        <w:spacing w:line="360" w:lineRule="auto"/>
        <w:jc w:val="both"/>
        <w:rPr>
          <w:rFonts w:ascii="Arial" w:hAnsi="Arial" w:cs="Arial"/>
          <w:b/>
          <w:bCs/>
          <w:sz w:val="22"/>
          <w:szCs w:val="22"/>
        </w:rPr>
      </w:pPr>
      <w:r w:rsidRPr="00AF027E">
        <w:rPr>
          <w:rFonts w:ascii="Arial" w:hAnsi="Arial" w:cs="Arial"/>
          <w:b/>
          <w:bCs/>
          <w:sz w:val="22"/>
          <w:szCs w:val="22"/>
        </w:rPr>
        <w:t xml:space="preserve">Matter </w:t>
      </w:r>
      <w:r>
        <w:rPr>
          <w:rFonts w:ascii="Arial" w:hAnsi="Arial" w:cs="Arial"/>
          <w:b/>
          <w:bCs/>
          <w:sz w:val="22"/>
          <w:szCs w:val="22"/>
        </w:rPr>
        <w:t>10</w:t>
      </w:r>
      <w:r w:rsidRPr="00AF027E">
        <w:rPr>
          <w:rFonts w:ascii="Arial" w:hAnsi="Arial" w:cs="Arial"/>
          <w:b/>
          <w:bCs/>
          <w:sz w:val="22"/>
          <w:szCs w:val="22"/>
        </w:rPr>
        <w:t xml:space="preserve">: </w:t>
      </w:r>
      <w:r w:rsidRPr="008C69A8">
        <w:rPr>
          <w:rFonts w:ascii="Arial" w:hAnsi="Arial" w:cs="Arial"/>
          <w:b/>
          <w:bCs/>
          <w:sz w:val="22"/>
          <w:szCs w:val="22"/>
        </w:rPr>
        <w:t>Delivering Well Connected, Healthy Communities (HC policies)</w:t>
      </w:r>
    </w:p>
    <w:p w14:paraId="2E34B544" w14:textId="77777777" w:rsidR="008C69A8" w:rsidRDefault="008C69A8" w:rsidP="00A23584">
      <w:pPr>
        <w:spacing w:line="360" w:lineRule="auto"/>
        <w:jc w:val="both"/>
        <w:rPr>
          <w:rFonts w:ascii="Arial" w:hAnsi="Arial" w:cs="Arial"/>
          <w:sz w:val="22"/>
          <w:szCs w:val="22"/>
        </w:rPr>
      </w:pPr>
    </w:p>
    <w:p w14:paraId="6F685DE6" w14:textId="46840D38" w:rsidR="00F34E58" w:rsidRPr="00F34E58" w:rsidRDefault="00F34E58" w:rsidP="00A23584">
      <w:pPr>
        <w:spacing w:line="360" w:lineRule="auto"/>
        <w:jc w:val="both"/>
        <w:rPr>
          <w:rFonts w:ascii="Arial" w:hAnsi="Arial" w:cs="Arial"/>
          <w:b/>
          <w:bCs/>
          <w:sz w:val="22"/>
          <w:szCs w:val="22"/>
          <w:u w:val="single"/>
        </w:rPr>
      </w:pPr>
      <w:r w:rsidRPr="00F34E58">
        <w:rPr>
          <w:rFonts w:ascii="Arial" w:hAnsi="Arial" w:cs="Arial"/>
          <w:b/>
          <w:bCs/>
          <w:sz w:val="22"/>
          <w:szCs w:val="22"/>
          <w:u w:val="single"/>
        </w:rPr>
        <w:t>Issue: Whether the policies to deliver well connected, healthy communities are positively prepared, justified, effective and consistent with national policy.</w:t>
      </w:r>
    </w:p>
    <w:p w14:paraId="6B2E7E7C" w14:textId="77777777" w:rsidR="00F34E58" w:rsidRPr="00214BB6" w:rsidRDefault="00F34E58" w:rsidP="00F34E58">
      <w:pPr>
        <w:spacing w:line="360" w:lineRule="auto"/>
        <w:jc w:val="both"/>
        <w:rPr>
          <w:rFonts w:asciiTheme="minorHAnsi" w:hAnsiTheme="minorHAnsi" w:cstheme="minorHAnsi"/>
          <w:sz w:val="22"/>
          <w:szCs w:val="22"/>
        </w:rPr>
      </w:pPr>
    </w:p>
    <w:p w14:paraId="6B1821D1" w14:textId="77777777" w:rsidR="00214BB6" w:rsidRPr="00400410" w:rsidRDefault="00214BB6" w:rsidP="00F34E58">
      <w:pPr>
        <w:spacing w:line="360" w:lineRule="auto"/>
        <w:jc w:val="both"/>
        <w:rPr>
          <w:rFonts w:asciiTheme="minorHAnsi" w:hAnsiTheme="minorHAnsi" w:cstheme="minorHAnsi"/>
          <w:i/>
          <w:iCs/>
          <w:sz w:val="22"/>
          <w:szCs w:val="22"/>
          <w:u w:val="single"/>
        </w:rPr>
      </w:pPr>
      <w:r w:rsidRPr="00400410">
        <w:rPr>
          <w:rFonts w:asciiTheme="minorHAnsi" w:hAnsiTheme="minorHAnsi" w:cstheme="minorHAnsi"/>
          <w:i/>
          <w:iCs/>
          <w:sz w:val="22"/>
          <w:szCs w:val="22"/>
          <w:u w:val="single"/>
        </w:rPr>
        <w:t xml:space="preserve">10.2 Does Policy HC1 need to be clarified for effectiveness? Is a reduction in the threshold for an HIA to 250 dwellings justified? Should there be a threshold for non-allocated sites to be justified? In (1), how do the two sentences relate together? In (2), how is ‘major development’ defined? </w:t>
      </w:r>
    </w:p>
    <w:p w14:paraId="1E96ED2E" w14:textId="77777777" w:rsidR="00F34E58" w:rsidRDefault="00F34E58" w:rsidP="00F34E58">
      <w:pPr>
        <w:spacing w:line="360" w:lineRule="auto"/>
        <w:jc w:val="both"/>
        <w:rPr>
          <w:rFonts w:asciiTheme="minorHAnsi" w:hAnsiTheme="minorHAnsi" w:cstheme="minorHAnsi"/>
          <w:sz w:val="22"/>
          <w:szCs w:val="22"/>
        </w:rPr>
      </w:pPr>
    </w:p>
    <w:p w14:paraId="2F9E62AF" w14:textId="58BC303D" w:rsidR="002E28E9" w:rsidRDefault="002E28E9" w:rsidP="00F34E58">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The HBF did not </w:t>
      </w:r>
      <w:r w:rsidR="00B6275D">
        <w:rPr>
          <w:rFonts w:asciiTheme="minorHAnsi" w:hAnsiTheme="minorHAnsi" w:cstheme="minorHAnsi"/>
          <w:sz w:val="22"/>
          <w:szCs w:val="22"/>
        </w:rPr>
        <w:t>comment</w:t>
      </w:r>
      <w:r>
        <w:rPr>
          <w:rFonts w:asciiTheme="minorHAnsi" w:hAnsiTheme="minorHAnsi" w:cstheme="minorHAnsi"/>
          <w:sz w:val="22"/>
          <w:szCs w:val="22"/>
        </w:rPr>
        <w:t xml:space="preserve"> on HC1 but </w:t>
      </w:r>
      <w:r w:rsidR="00B6275D">
        <w:rPr>
          <w:rFonts w:asciiTheme="minorHAnsi" w:hAnsiTheme="minorHAnsi" w:cstheme="minorHAnsi"/>
          <w:sz w:val="22"/>
          <w:szCs w:val="22"/>
        </w:rPr>
        <w:t>would</w:t>
      </w:r>
      <w:r>
        <w:rPr>
          <w:rFonts w:asciiTheme="minorHAnsi" w:hAnsiTheme="minorHAnsi" w:cstheme="minorHAnsi"/>
          <w:sz w:val="22"/>
          <w:szCs w:val="22"/>
        </w:rPr>
        <w:t xml:space="preserve"> not </w:t>
      </w:r>
      <w:r w:rsidR="009715FC">
        <w:rPr>
          <w:rFonts w:asciiTheme="minorHAnsi" w:hAnsiTheme="minorHAnsi" w:cstheme="minorHAnsi"/>
          <w:sz w:val="22"/>
          <w:szCs w:val="22"/>
        </w:rPr>
        <w:t xml:space="preserve">consider </w:t>
      </w:r>
      <w:r>
        <w:rPr>
          <w:rFonts w:asciiTheme="minorHAnsi" w:hAnsiTheme="minorHAnsi" w:cstheme="minorHAnsi"/>
          <w:sz w:val="22"/>
          <w:szCs w:val="22"/>
        </w:rPr>
        <w:t xml:space="preserve">a </w:t>
      </w:r>
      <w:r w:rsidR="00B6275D">
        <w:rPr>
          <w:rFonts w:asciiTheme="minorHAnsi" w:hAnsiTheme="minorHAnsi" w:cstheme="minorHAnsi"/>
          <w:sz w:val="22"/>
          <w:szCs w:val="22"/>
        </w:rPr>
        <w:t>reduction in the threshold to 250 dwellings</w:t>
      </w:r>
      <w:r w:rsidR="00C94851">
        <w:rPr>
          <w:rFonts w:asciiTheme="minorHAnsi" w:hAnsiTheme="minorHAnsi" w:cstheme="minorHAnsi"/>
          <w:sz w:val="22"/>
          <w:szCs w:val="22"/>
        </w:rPr>
        <w:t xml:space="preserve"> to be </w:t>
      </w:r>
      <w:r w:rsidR="00C92549">
        <w:rPr>
          <w:rFonts w:asciiTheme="minorHAnsi" w:hAnsiTheme="minorHAnsi" w:cstheme="minorHAnsi"/>
          <w:sz w:val="22"/>
          <w:szCs w:val="22"/>
        </w:rPr>
        <w:t>justified</w:t>
      </w:r>
      <w:r w:rsidR="00B6275D">
        <w:rPr>
          <w:rFonts w:asciiTheme="minorHAnsi" w:hAnsiTheme="minorHAnsi" w:cstheme="minorHAnsi"/>
          <w:sz w:val="22"/>
          <w:szCs w:val="22"/>
        </w:rPr>
        <w:t>.</w:t>
      </w:r>
    </w:p>
    <w:p w14:paraId="22741F7C" w14:textId="77777777" w:rsidR="00F34E58" w:rsidRPr="00214BB6" w:rsidRDefault="00F34E58" w:rsidP="00F34E58">
      <w:pPr>
        <w:spacing w:line="360" w:lineRule="auto"/>
        <w:jc w:val="both"/>
        <w:rPr>
          <w:rFonts w:asciiTheme="minorHAnsi" w:hAnsiTheme="minorHAnsi" w:cstheme="minorHAnsi"/>
          <w:sz w:val="22"/>
          <w:szCs w:val="22"/>
        </w:rPr>
      </w:pPr>
    </w:p>
    <w:p w14:paraId="17D64564" w14:textId="77777777" w:rsidR="00214BB6" w:rsidRPr="002E28E9" w:rsidRDefault="00214BB6" w:rsidP="00F34E58">
      <w:pPr>
        <w:spacing w:line="360" w:lineRule="auto"/>
        <w:jc w:val="both"/>
        <w:rPr>
          <w:rFonts w:asciiTheme="minorHAnsi" w:hAnsiTheme="minorHAnsi" w:cstheme="minorHAnsi"/>
          <w:i/>
          <w:iCs/>
          <w:sz w:val="22"/>
          <w:szCs w:val="22"/>
          <w:u w:val="single"/>
        </w:rPr>
      </w:pPr>
      <w:r w:rsidRPr="002E28E9">
        <w:rPr>
          <w:rFonts w:asciiTheme="minorHAnsi" w:hAnsiTheme="minorHAnsi" w:cstheme="minorHAnsi"/>
          <w:i/>
          <w:iCs/>
          <w:sz w:val="22"/>
          <w:szCs w:val="22"/>
          <w:u w:val="single"/>
        </w:rPr>
        <w:t xml:space="preserve">10.3 Should Policy HC2 refer to the definition of major development in the NPPF rather than developments of 11 or more dwellings/1000 sq m? Are the open space requirements in Appendix 2 and Table 3 justified? How would financial contributions to off-site open space be calculated? </w:t>
      </w:r>
    </w:p>
    <w:p w14:paraId="06ACFDC8" w14:textId="77777777" w:rsidR="00F34E58" w:rsidRDefault="00F34E58" w:rsidP="00F34E58">
      <w:pPr>
        <w:spacing w:line="360" w:lineRule="auto"/>
        <w:jc w:val="both"/>
        <w:rPr>
          <w:rFonts w:asciiTheme="minorHAnsi" w:hAnsiTheme="minorHAnsi" w:cstheme="minorHAnsi"/>
          <w:sz w:val="22"/>
          <w:szCs w:val="22"/>
        </w:rPr>
      </w:pPr>
    </w:p>
    <w:p w14:paraId="65EF9477" w14:textId="47F4B45A" w:rsidR="00C94851" w:rsidRDefault="00EB5AA7" w:rsidP="00F34E58">
      <w:pPr>
        <w:spacing w:line="360" w:lineRule="auto"/>
        <w:jc w:val="both"/>
        <w:rPr>
          <w:rFonts w:asciiTheme="minorHAnsi" w:hAnsiTheme="minorHAnsi" w:cstheme="minorHAnsi"/>
          <w:sz w:val="22"/>
          <w:szCs w:val="22"/>
        </w:rPr>
      </w:pPr>
      <w:r>
        <w:rPr>
          <w:rFonts w:asciiTheme="minorHAnsi" w:hAnsiTheme="minorHAnsi" w:cstheme="minorHAnsi"/>
          <w:sz w:val="22"/>
          <w:szCs w:val="22"/>
        </w:rPr>
        <w:t>No comment.</w:t>
      </w:r>
    </w:p>
    <w:p w14:paraId="07628345" w14:textId="77777777" w:rsidR="00F34E58" w:rsidRPr="00214BB6" w:rsidRDefault="00F34E58" w:rsidP="00F34E58">
      <w:pPr>
        <w:spacing w:line="360" w:lineRule="auto"/>
        <w:jc w:val="both"/>
        <w:rPr>
          <w:rFonts w:asciiTheme="minorHAnsi" w:hAnsiTheme="minorHAnsi" w:cstheme="minorHAnsi"/>
          <w:sz w:val="22"/>
          <w:szCs w:val="22"/>
        </w:rPr>
      </w:pPr>
    </w:p>
    <w:p w14:paraId="1230C78D" w14:textId="77777777" w:rsidR="00214BB6" w:rsidRPr="00C94851" w:rsidRDefault="00214BB6" w:rsidP="00F34E58">
      <w:pPr>
        <w:spacing w:line="360" w:lineRule="auto"/>
        <w:jc w:val="both"/>
        <w:rPr>
          <w:rFonts w:asciiTheme="minorHAnsi" w:hAnsiTheme="minorHAnsi" w:cstheme="minorHAnsi"/>
          <w:i/>
          <w:iCs/>
          <w:sz w:val="22"/>
          <w:szCs w:val="22"/>
          <w:u w:val="single"/>
        </w:rPr>
      </w:pPr>
      <w:r w:rsidRPr="00C94851">
        <w:rPr>
          <w:rFonts w:asciiTheme="minorHAnsi" w:hAnsiTheme="minorHAnsi" w:cstheme="minorHAnsi"/>
          <w:i/>
          <w:iCs/>
          <w:sz w:val="22"/>
          <w:szCs w:val="22"/>
          <w:u w:val="single"/>
        </w:rPr>
        <w:t xml:space="preserve">10.4 Is all the land designated as open/green land on the policies map and thus within the scope of Policy HC2(4&amp;5) justified? Areas subject to objection include land at The Pastures, Blakeney, land at Hempstead Road &amp; A148 Holt, land at Sheringham House and land off Warren Road, High Kelling. Are any other sites the subject of objection? Can the Council provide plans of these sites. Is the wording of sections 4 &amp; 5` justified and effective? </w:t>
      </w:r>
    </w:p>
    <w:p w14:paraId="1F6B816F" w14:textId="77777777" w:rsidR="00F34E58" w:rsidRDefault="00F34E58" w:rsidP="00F34E58">
      <w:pPr>
        <w:spacing w:line="360" w:lineRule="auto"/>
        <w:jc w:val="both"/>
        <w:rPr>
          <w:rFonts w:asciiTheme="minorHAnsi" w:hAnsiTheme="minorHAnsi" w:cstheme="minorHAnsi"/>
          <w:sz w:val="22"/>
          <w:szCs w:val="22"/>
        </w:rPr>
      </w:pPr>
    </w:p>
    <w:p w14:paraId="06BA1BA4" w14:textId="6B66B586" w:rsidR="000C5A4B" w:rsidRDefault="000C5A4B" w:rsidP="00F34E58">
      <w:pPr>
        <w:spacing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No comment</w:t>
      </w:r>
    </w:p>
    <w:p w14:paraId="18CEABDF" w14:textId="77777777" w:rsidR="00F34E58" w:rsidRPr="00214BB6" w:rsidRDefault="00F34E58" w:rsidP="00F34E58">
      <w:pPr>
        <w:spacing w:line="360" w:lineRule="auto"/>
        <w:jc w:val="both"/>
        <w:rPr>
          <w:rFonts w:asciiTheme="minorHAnsi" w:hAnsiTheme="minorHAnsi" w:cstheme="minorHAnsi"/>
          <w:sz w:val="22"/>
          <w:szCs w:val="22"/>
        </w:rPr>
      </w:pPr>
    </w:p>
    <w:p w14:paraId="746424DE" w14:textId="77777777" w:rsidR="00214BB6" w:rsidRPr="00EB5AA7" w:rsidRDefault="00214BB6" w:rsidP="00F34E58">
      <w:pPr>
        <w:spacing w:line="360" w:lineRule="auto"/>
        <w:jc w:val="both"/>
        <w:rPr>
          <w:rFonts w:asciiTheme="minorHAnsi" w:hAnsiTheme="minorHAnsi" w:cstheme="minorHAnsi"/>
          <w:i/>
          <w:iCs/>
          <w:sz w:val="22"/>
          <w:szCs w:val="22"/>
          <w:u w:val="single"/>
        </w:rPr>
      </w:pPr>
      <w:r w:rsidRPr="00EB5AA7">
        <w:rPr>
          <w:rFonts w:asciiTheme="minorHAnsi" w:hAnsiTheme="minorHAnsi" w:cstheme="minorHAnsi"/>
          <w:i/>
          <w:iCs/>
          <w:sz w:val="22"/>
          <w:szCs w:val="22"/>
          <w:u w:val="single"/>
        </w:rPr>
        <w:t xml:space="preserve">10.5 Is the wording of Policy HC3 justified and effective? In Policy HC3(2b), should criteria (a) and (c) be combined for clarity and thus effectiveness? Should criterion (b) be strengthened to demonstrate alternative modes of operation are not viable? Is it justified for the footnote to require marketing to comply with best practice guidance that does not form part of the plan? </w:t>
      </w:r>
    </w:p>
    <w:p w14:paraId="77842E52" w14:textId="77777777" w:rsidR="00F34E58" w:rsidRDefault="00F34E58" w:rsidP="00F34E58">
      <w:pPr>
        <w:spacing w:line="360" w:lineRule="auto"/>
        <w:jc w:val="both"/>
        <w:rPr>
          <w:rFonts w:asciiTheme="minorHAnsi" w:hAnsiTheme="minorHAnsi" w:cstheme="minorHAnsi"/>
          <w:sz w:val="22"/>
          <w:szCs w:val="22"/>
        </w:rPr>
      </w:pPr>
    </w:p>
    <w:p w14:paraId="7055E348" w14:textId="5AE6F892" w:rsidR="00F34E58" w:rsidRDefault="000C5A4B" w:rsidP="00F34E58">
      <w:pPr>
        <w:spacing w:line="360" w:lineRule="auto"/>
        <w:jc w:val="both"/>
        <w:rPr>
          <w:rFonts w:asciiTheme="minorHAnsi" w:hAnsiTheme="minorHAnsi" w:cstheme="minorHAnsi"/>
          <w:sz w:val="22"/>
          <w:szCs w:val="22"/>
        </w:rPr>
      </w:pPr>
      <w:r>
        <w:rPr>
          <w:rFonts w:asciiTheme="minorHAnsi" w:hAnsiTheme="minorHAnsi" w:cstheme="minorHAnsi"/>
          <w:sz w:val="22"/>
          <w:szCs w:val="22"/>
        </w:rPr>
        <w:t>No comment</w:t>
      </w:r>
    </w:p>
    <w:p w14:paraId="0C7F49C1" w14:textId="77777777" w:rsidR="000C5A4B" w:rsidRPr="00214BB6" w:rsidRDefault="000C5A4B" w:rsidP="00F34E58">
      <w:pPr>
        <w:spacing w:line="360" w:lineRule="auto"/>
        <w:jc w:val="both"/>
        <w:rPr>
          <w:rFonts w:asciiTheme="minorHAnsi" w:hAnsiTheme="minorHAnsi" w:cstheme="minorHAnsi"/>
          <w:sz w:val="22"/>
          <w:szCs w:val="22"/>
        </w:rPr>
      </w:pPr>
    </w:p>
    <w:p w14:paraId="40E73EC7" w14:textId="77777777" w:rsidR="00214BB6" w:rsidRPr="000C5A4B" w:rsidRDefault="00214BB6" w:rsidP="00F34E58">
      <w:pPr>
        <w:spacing w:line="360" w:lineRule="auto"/>
        <w:jc w:val="both"/>
        <w:rPr>
          <w:rFonts w:asciiTheme="minorHAnsi" w:hAnsiTheme="minorHAnsi" w:cstheme="minorHAnsi"/>
          <w:i/>
          <w:iCs/>
          <w:sz w:val="22"/>
          <w:szCs w:val="22"/>
          <w:u w:val="single"/>
        </w:rPr>
      </w:pPr>
      <w:r w:rsidRPr="000C5A4B">
        <w:rPr>
          <w:rFonts w:asciiTheme="minorHAnsi" w:hAnsiTheme="minorHAnsi" w:cstheme="minorHAnsi"/>
          <w:i/>
          <w:iCs/>
          <w:sz w:val="22"/>
          <w:szCs w:val="22"/>
          <w:u w:val="single"/>
        </w:rPr>
        <w:t xml:space="preserve">10.6 In Policy HC4(1a), is it justified to require compliance with infrastructure requirements set out in supplementary planning documents that do not form part of the plan? In 4b, is it justified to require the highest viable level of affordable housing? Should there be a reference to Policy HOU2 which sets out affordable housing requirements? Should 6 state proposals not accompanied by a viability assessment will be required to be policy compliant? </w:t>
      </w:r>
    </w:p>
    <w:p w14:paraId="6FC4C600" w14:textId="77777777" w:rsidR="00F34E58" w:rsidRDefault="00F34E58" w:rsidP="00F34E58">
      <w:pPr>
        <w:spacing w:line="360" w:lineRule="auto"/>
        <w:jc w:val="both"/>
        <w:rPr>
          <w:rFonts w:asciiTheme="minorHAnsi" w:hAnsiTheme="minorHAnsi" w:cstheme="minorHAnsi"/>
          <w:sz w:val="22"/>
          <w:szCs w:val="22"/>
        </w:rPr>
      </w:pPr>
    </w:p>
    <w:p w14:paraId="0E4B4BB6" w14:textId="5C976815" w:rsidR="000C5A4B" w:rsidRDefault="000C5A4B" w:rsidP="00F34E58">
      <w:pPr>
        <w:spacing w:line="360" w:lineRule="auto"/>
        <w:jc w:val="both"/>
        <w:rPr>
          <w:rFonts w:asciiTheme="minorHAnsi" w:hAnsiTheme="minorHAnsi" w:cstheme="minorHAnsi"/>
          <w:sz w:val="22"/>
          <w:szCs w:val="22"/>
        </w:rPr>
      </w:pPr>
      <w:r>
        <w:rPr>
          <w:rFonts w:asciiTheme="minorHAnsi" w:hAnsiTheme="minorHAnsi" w:cstheme="minorHAnsi"/>
          <w:sz w:val="22"/>
          <w:szCs w:val="22"/>
        </w:rPr>
        <w:t>No comment</w:t>
      </w:r>
    </w:p>
    <w:p w14:paraId="1F302A91" w14:textId="77777777" w:rsidR="00F34E58" w:rsidRPr="00214BB6" w:rsidRDefault="00F34E58" w:rsidP="00F34E58">
      <w:pPr>
        <w:spacing w:line="360" w:lineRule="auto"/>
        <w:jc w:val="both"/>
        <w:rPr>
          <w:rFonts w:asciiTheme="minorHAnsi" w:hAnsiTheme="minorHAnsi" w:cstheme="minorHAnsi"/>
          <w:sz w:val="22"/>
          <w:szCs w:val="22"/>
        </w:rPr>
      </w:pPr>
    </w:p>
    <w:p w14:paraId="026021F4" w14:textId="77777777" w:rsidR="00214BB6" w:rsidRPr="000C5A4B" w:rsidRDefault="00214BB6" w:rsidP="00F34E58">
      <w:pPr>
        <w:spacing w:line="360" w:lineRule="auto"/>
        <w:jc w:val="both"/>
        <w:rPr>
          <w:rFonts w:asciiTheme="minorHAnsi" w:hAnsiTheme="minorHAnsi" w:cstheme="minorHAnsi"/>
          <w:i/>
          <w:iCs/>
          <w:sz w:val="22"/>
          <w:szCs w:val="22"/>
          <w:u w:val="single"/>
        </w:rPr>
      </w:pPr>
      <w:r w:rsidRPr="000C5A4B">
        <w:rPr>
          <w:rFonts w:asciiTheme="minorHAnsi" w:hAnsiTheme="minorHAnsi" w:cstheme="minorHAnsi"/>
          <w:i/>
          <w:iCs/>
          <w:sz w:val="22"/>
          <w:szCs w:val="22"/>
          <w:u w:val="single"/>
        </w:rPr>
        <w:t xml:space="preserve">10.7 Does the Plan Wide Viability Assessment (Document I11) properly assess the impact of the policies of the plan on the economic viability of development so as to not undermine the deliverability of the plan? (NPPF paragraph 34) Does it properly assess the costs of development including affordable housing, biodiversity net gain, energy efficient standards, accessible &amp; adaptable homes, minimum space standards, electric vehicle charging and digital infrastructure? </w:t>
      </w:r>
    </w:p>
    <w:p w14:paraId="7819F30A" w14:textId="77777777" w:rsidR="00F34E58" w:rsidRDefault="00F34E58" w:rsidP="00F34E58">
      <w:pPr>
        <w:spacing w:line="360" w:lineRule="auto"/>
        <w:jc w:val="both"/>
        <w:rPr>
          <w:rFonts w:asciiTheme="minorHAnsi" w:hAnsiTheme="minorHAnsi" w:cstheme="minorHAnsi"/>
          <w:sz w:val="22"/>
          <w:szCs w:val="22"/>
        </w:rPr>
      </w:pPr>
    </w:p>
    <w:p w14:paraId="51C3364E" w14:textId="4A09E01E" w:rsidR="002A25A0" w:rsidRPr="002A25A0" w:rsidRDefault="002A25A0" w:rsidP="002A25A0">
      <w:pPr>
        <w:spacing w:line="360" w:lineRule="auto"/>
        <w:jc w:val="both"/>
        <w:rPr>
          <w:rFonts w:asciiTheme="minorHAnsi" w:hAnsiTheme="minorHAnsi" w:cstheme="minorHAnsi"/>
          <w:sz w:val="22"/>
          <w:szCs w:val="22"/>
        </w:rPr>
      </w:pPr>
      <w:r>
        <w:rPr>
          <w:rFonts w:asciiTheme="minorHAnsi" w:hAnsiTheme="minorHAnsi" w:cstheme="minorHAnsi"/>
          <w:sz w:val="22"/>
          <w:szCs w:val="22"/>
        </w:rPr>
        <w:t>As set out in our statements on matter 4 t</w:t>
      </w:r>
      <w:r w:rsidRPr="002A25A0">
        <w:rPr>
          <w:rFonts w:asciiTheme="minorHAnsi" w:hAnsiTheme="minorHAnsi" w:cstheme="minorHAnsi"/>
          <w:sz w:val="22"/>
          <w:szCs w:val="22"/>
        </w:rPr>
        <w:t>he Council have published an updated viability assessment following the regulation 19 consultation which includes those policy costs that were missing from the earlier assessment. The only consideration not undertaken in the study is the impact of the Future Homes Standard that is expected to be introduced in 2025. The Government have recently announced a further consultation on these standards and whilst the final detail is not known some degree of sensitivity testing is necessary to ensure that development remains viable</w:t>
      </w:r>
      <w:r w:rsidR="006D668E">
        <w:rPr>
          <w:rFonts w:asciiTheme="minorHAnsi" w:hAnsiTheme="minorHAnsi" w:cstheme="minorHAnsi"/>
          <w:sz w:val="22"/>
          <w:szCs w:val="22"/>
        </w:rPr>
        <w:t xml:space="preserve"> and deliverable </w:t>
      </w:r>
      <w:r w:rsidRPr="002A25A0">
        <w:rPr>
          <w:rFonts w:asciiTheme="minorHAnsi" w:hAnsiTheme="minorHAnsi" w:cstheme="minorHAnsi"/>
          <w:sz w:val="22"/>
          <w:szCs w:val="22"/>
        </w:rPr>
        <w:t>across the plan period.</w:t>
      </w:r>
    </w:p>
    <w:p w14:paraId="5098E70A" w14:textId="77777777" w:rsidR="006D668E" w:rsidRPr="00214BB6" w:rsidRDefault="006D668E" w:rsidP="002A25A0">
      <w:pPr>
        <w:spacing w:line="360" w:lineRule="auto"/>
        <w:jc w:val="both"/>
        <w:rPr>
          <w:rFonts w:asciiTheme="minorHAnsi" w:hAnsiTheme="minorHAnsi" w:cstheme="minorHAnsi"/>
          <w:sz w:val="22"/>
          <w:szCs w:val="22"/>
        </w:rPr>
      </w:pPr>
    </w:p>
    <w:p w14:paraId="3D032FF5" w14:textId="77777777" w:rsidR="00214BB6" w:rsidRPr="000C5A4B" w:rsidRDefault="00214BB6" w:rsidP="00F34E58">
      <w:pPr>
        <w:spacing w:line="360" w:lineRule="auto"/>
        <w:jc w:val="both"/>
        <w:rPr>
          <w:rFonts w:asciiTheme="minorHAnsi" w:hAnsiTheme="minorHAnsi" w:cstheme="minorHAnsi"/>
          <w:i/>
          <w:iCs/>
          <w:sz w:val="22"/>
          <w:szCs w:val="22"/>
          <w:u w:val="single"/>
        </w:rPr>
      </w:pPr>
      <w:r w:rsidRPr="000C5A4B">
        <w:rPr>
          <w:rFonts w:asciiTheme="minorHAnsi" w:hAnsiTheme="minorHAnsi" w:cstheme="minorHAnsi"/>
          <w:i/>
          <w:iCs/>
          <w:sz w:val="22"/>
          <w:szCs w:val="22"/>
          <w:u w:val="single"/>
        </w:rPr>
        <w:lastRenderedPageBreak/>
        <w:t xml:space="preserve">10.8 Is the requirement for a Digital Infrastructure Connectivity Plan in paragraph 5.5.3 to assess compliance with Policies HC5 and HC6 justified for all proposals over 100 sq m? </w:t>
      </w:r>
    </w:p>
    <w:p w14:paraId="50937EEF" w14:textId="77777777" w:rsidR="00F34E58" w:rsidRDefault="00F34E58" w:rsidP="00F34E58">
      <w:pPr>
        <w:spacing w:line="360" w:lineRule="auto"/>
        <w:jc w:val="both"/>
        <w:rPr>
          <w:rFonts w:asciiTheme="minorHAnsi" w:hAnsiTheme="minorHAnsi" w:cstheme="minorHAnsi"/>
          <w:sz w:val="22"/>
          <w:szCs w:val="22"/>
        </w:rPr>
      </w:pPr>
    </w:p>
    <w:p w14:paraId="185C11AF" w14:textId="7CC2CD52" w:rsidR="00C933D7" w:rsidRDefault="001F77EE" w:rsidP="00F34E58">
      <w:pPr>
        <w:spacing w:line="360" w:lineRule="auto"/>
        <w:jc w:val="both"/>
        <w:rPr>
          <w:rFonts w:asciiTheme="minorHAnsi" w:hAnsiTheme="minorHAnsi" w:cstheme="minorHAnsi"/>
          <w:sz w:val="22"/>
          <w:szCs w:val="22"/>
        </w:rPr>
      </w:pPr>
      <w:r>
        <w:rPr>
          <w:rFonts w:asciiTheme="minorHAnsi" w:hAnsiTheme="minorHAnsi" w:cstheme="minorHAnsi"/>
          <w:sz w:val="22"/>
          <w:szCs w:val="22"/>
        </w:rPr>
        <w:t>No comment.</w:t>
      </w:r>
    </w:p>
    <w:p w14:paraId="5DFB25E7" w14:textId="77777777" w:rsidR="00F34E58" w:rsidRPr="00214BB6" w:rsidRDefault="00F34E58" w:rsidP="00F34E58">
      <w:pPr>
        <w:spacing w:line="360" w:lineRule="auto"/>
        <w:jc w:val="both"/>
        <w:rPr>
          <w:rFonts w:asciiTheme="minorHAnsi" w:hAnsiTheme="minorHAnsi" w:cstheme="minorHAnsi"/>
          <w:sz w:val="22"/>
          <w:szCs w:val="22"/>
        </w:rPr>
      </w:pPr>
    </w:p>
    <w:p w14:paraId="3E53AB30" w14:textId="77777777" w:rsidR="00214BB6" w:rsidRPr="00D459ED" w:rsidRDefault="00214BB6" w:rsidP="00F34E58">
      <w:pPr>
        <w:spacing w:line="360" w:lineRule="auto"/>
        <w:jc w:val="both"/>
        <w:rPr>
          <w:rFonts w:asciiTheme="minorHAnsi" w:hAnsiTheme="minorHAnsi" w:cstheme="minorHAnsi"/>
          <w:i/>
          <w:iCs/>
          <w:sz w:val="22"/>
          <w:szCs w:val="22"/>
          <w:u w:val="single"/>
        </w:rPr>
      </w:pPr>
      <w:r w:rsidRPr="00D459ED">
        <w:rPr>
          <w:rFonts w:asciiTheme="minorHAnsi" w:hAnsiTheme="minorHAnsi" w:cstheme="minorHAnsi"/>
          <w:i/>
          <w:iCs/>
          <w:sz w:val="22"/>
          <w:szCs w:val="22"/>
          <w:u w:val="single"/>
        </w:rPr>
        <w:t xml:space="preserve">10.9 Is it justified for Policy HC7(4) to require compliance with the North Norfolk Design Guide when this does not form part of the plan? </w:t>
      </w:r>
    </w:p>
    <w:p w14:paraId="25683733" w14:textId="77777777" w:rsidR="00C933D7" w:rsidRDefault="00C933D7" w:rsidP="00214BB6">
      <w:pPr>
        <w:pStyle w:val="Default"/>
        <w:numPr>
          <w:ilvl w:val="0"/>
          <w:numId w:val="4"/>
        </w:numPr>
        <w:rPr>
          <w:rFonts w:asciiTheme="minorHAnsi" w:hAnsiTheme="minorHAnsi" w:cstheme="minorHAnsi"/>
          <w:sz w:val="22"/>
          <w:szCs w:val="22"/>
        </w:rPr>
      </w:pPr>
    </w:p>
    <w:p w14:paraId="2ADB3179" w14:textId="2A1A5F71" w:rsidR="00214BB6" w:rsidRPr="00214BB6" w:rsidRDefault="00C933D7" w:rsidP="00214BB6">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No comment.</w:t>
      </w:r>
    </w:p>
    <w:p w14:paraId="467F5B26" w14:textId="77777777" w:rsidR="00E86C14" w:rsidRDefault="00E86C14" w:rsidP="00A23584">
      <w:pPr>
        <w:spacing w:line="360" w:lineRule="auto"/>
        <w:jc w:val="both"/>
        <w:rPr>
          <w:rFonts w:ascii="Arial" w:hAnsi="Arial" w:cs="Arial"/>
          <w:sz w:val="22"/>
          <w:szCs w:val="22"/>
        </w:rPr>
      </w:pPr>
    </w:p>
    <w:p w14:paraId="7957DF17" w14:textId="77777777" w:rsidR="00E86C14" w:rsidRDefault="00E86C14" w:rsidP="00A23584">
      <w:pPr>
        <w:spacing w:line="360" w:lineRule="auto"/>
        <w:jc w:val="both"/>
        <w:rPr>
          <w:rFonts w:ascii="Arial" w:hAnsi="Arial" w:cs="Arial"/>
          <w:sz w:val="22"/>
          <w:szCs w:val="22"/>
        </w:rPr>
      </w:pPr>
    </w:p>
    <w:p w14:paraId="0FC8F245" w14:textId="77777777" w:rsidR="00E86C14" w:rsidRPr="00E86C14" w:rsidRDefault="00E86C14" w:rsidP="00E86C14">
      <w:pPr>
        <w:spacing w:line="360" w:lineRule="auto"/>
        <w:jc w:val="both"/>
        <w:rPr>
          <w:rFonts w:ascii="Arial" w:hAnsi="Arial" w:cs="Arial"/>
          <w:sz w:val="22"/>
          <w:szCs w:val="22"/>
        </w:rPr>
      </w:pPr>
      <w:r w:rsidRPr="00E86C14">
        <w:rPr>
          <w:rFonts w:ascii="Arial" w:hAnsi="Arial" w:cs="Arial"/>
          <w:sz w:val="22"/>
          <w:szCs w:val="22"/>
        </w:rPr>
        <w:t>Mark Behrendt MRTPI</w:t>
      </w:r>
    </w:p>
    <w:p w14:paraId="659218C0" w14:textId="2B030D6C" w:rsidR="00E86C14" w:rsidRPr="002321C3" w:rsidRDefault="00E86C14" w:rsidP="00E86C14">
      <w:pPr>
        <w:spacing w:line="360" w:lineRule="auto"/>
        <w:jc w:val="both"/>
        <w:rPr>
          <w:rFonts w:ascii="Arial" w:hAnsi="Arial" w:cs="Arial"/>
          <w:sz w:val="22"/>
          <w:szCs w:val="22"/>
        </w:rPr>
      </w:pPr>
      <w:r w:rsidRPr="00E86C14">
        <w:rPr>
          <w:rFonts w:ascii="Arial" w:hAnsi="Arial" w:cs="Arial"/>
          <w:sz w:val="22"/>
          <w:szCs w:val="22"/>
        </w:rPr>
        <w:t>Planning Manager – Local Plans SE and E</w:t>
      </w:r>
    </w:p>
    <w:sectPr w:rsidR="00E86C14" w:rsidRPr="002321C3" w:rsidSect="00196A1D">
      <w:headerReference w:type="default" r:id="rId12"/>
      <w:footerReference w:type="default" r:id="rId13"/>
      <w:footerReference w:type="first" r:id="rId14"/>
      <w:pgSz w:w="11906" w:h="16838" w:code="9"/>
      <w:pgMar w:top="1440" w:right="1797" w:bottom="1702" w:left="1797" w:header="720" w:footer="0" w:gutter="0"/>
      <w:paperSrc w:first="262" w:other="26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7833E" w14:textId="77777777" w:rsidR="007C5943" w:rsidRDefault="007C5943" w:rsidP="00CE103B">
      <w:r>
        <w:separator/>
      </w:r>
    </w:p>
  </w:endnote>
  <w:endnote w:type="continuationSeparator" w:id="0">
    <w:p w14:paraId="491D2EE8" w14:textId="77777777" w:rsidR="007C5943" w:rsidRDefault="007C5943" w:rsidP="00CE103B">
      <w:r>
        <w:continuationSeparator/>
      </w:r>
    </w:p>
  </w:endnote>
  <w:endnote w:type="continuationNotice" w:id="1">
    <w:p w14:paraId="4FF64ED9" w14:textId="77777777" w:rsidR="007C5943" w:rsidRDefault="007C5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BFB8" w14:textId="77777777" w:rsidR="00CE103B" w:rsidRPr="00C3710F" w:rsidRDefault="00E832F5" w:rsidP="00C3710F">
    <w:pPr>
      <w:pStyle w:val="Footer"/>
      <w:jc w:val="both"/>
      <w:rPr>
        <w:rFonts w:ascii="Arial" w:hAnsi="Arial" w:cs="Arial"/>
        <w:color w:val="FFFFFF" w:themeColor="background1"/>
        <w:sz w:val="14"/>
      </w:rPr>
    </w:pPr>
    <w:r>
      <w:rPr>
        <w:rFonts w:ascii="Calibri" w:hAnsi="Calibri"/>
        <w:b/>
        <w:noProof/>
        <w:lang w:eastAsia="en-GB"/>
      </w:rPr>
      <w:drawing>
        <wp:anchor distT="0" distB="0" distL="114300" distR="114300" simplePos="0" relativeHeight="251658240" behindDoc="0" locked="0" layoutInCell="1" allowOverlap="1" wp14:anchorId="1BDE8AE7" wp14:editId="43836ED3">
          <wp:simplePos x="0" y="0"/>
          <wp:positionH relativeFrom="column">
            <wp:posOffset>3739152</wp:posOffset>
          </wp:positionH>
          <wp:positionV relativeFrom="paragraph">
            <wp:posOffset>-19685</wp:posOffset>
          </wp:positionV>
          <wp:extent cx="114300" cy="114300"/>
          <wp:effectExtent l="0" t="0" r="0" b="0"/>
          <wp:wrapNone/>
          <wp:docPr id="1816557175" name="Picture 1816557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witter-bird-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14:sizeRelH relativeFrom="margin">
            <wp14:pctWidth>0</wp14:pctWidth>
          </wp14:sizeRelH>
          <wp14:sizeRelV relativeFrom="margin">
            <wp14:pctHeight>0</wp14:pctHeight>
          </wp14:sizeRelV>
        </wp:anchor>
      </w:drawing>
    </w:r>
  </w:p>
  <w:p w14:paraId="33FAE197" w14:textId="77777777" w:rsidR="00CE103B" w:rsidRDefault="00CE1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AC26" w14:textId="77777777" w:rsidR="007D027F" w:rsidRDefault="00196A1D">
    <w:pPr>
      <w:pStyle w:val="Footer"/>
    </w:pPr>
    <w:r w:rsidRPr="00196A1D">
      <w:rPr>
        <w:noProof/>
        <w:lang w:eastAsia="en-GB"/>
      </w:rPr>
      <mc:AlternateContent>
        <mc:Choice Requires="wps">
          <w:drawing>
            <wp:anchor distT="0" distB="0" distL="114300" distR="114300" simplePos="0" relativeHeight="251658242" behindDoc="0" locked="0" layoutInCell="1" allowOverlap="1" wp14:anchorId="243F6341" wp14:editId="2ECF7CD8">
              <wp:simplePos x="0" y="0"/>
              <wp:positionH relativeFrom="column">
                <wp:posOffset>3878580</wp:posOffset>
              </wp:positionH>
              <wp:positionV relativeFrom="paragraph">
                <wp:posOffset>-506095</wp:posOffset>
              </wp:positionV>
              <wp:extent cx="2462400" cy="662400"/>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400" cy="6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40437"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CF293B0"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71189B61"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80DCD46"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1"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2"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2488EC25" w14:textId="77777777" w:rsidR="00196A1D" w:rsidRPr="00196A1D" w:rsidRDefault="00196A1D" w:rsidP="00196A1D">
                          <w:pPr>
                            <w:pStyle w:val="Header"/>
                            <w:rPr>
                              <w:rFonts w:ascii="AvenirNext LT Pro Regular" w:hAnsi="AvenirNext LT Pro Regular"/>
                              <w:color w:val="53AAB1" w:themeColor="accent1"/>
                              <w:sz w:val="2"/>
                            </w:rPr>
                          </w:pPr>
                        </w:p>
                      </w:txbxContent>
                    </wps:txbx>
                    <wps:bodyPr rot="0" vert="horz" wrap="square" lIns="91440" tIns="45720" rIns="91440" bIns="45720" anchor="t" anchorCtr="0" upright="1">
                      <a:noAutofit/>
                    </wps:bodyPr>
                  </wps:wsp>
                </a:graphicData>
              </a:graphic>
            </wp:anchor>
          </w:drawing>
        </mc:Choice>
        <mc:Fallback>
          <w:pict>
            <v:shapetype w14:anchorId="243F6341" id="_x0000_t202" coordsize="21600,21600" o:spt="202" path="m,l,21600r21600,l21600,xe">
              <v:stroke joinstyle="miter"/>
              <v:path gradientshapeok="t" o:connecttype="rect"/>
            </v:shapetype>
            <v:shape id="Text Box 9" o:spid="_x0000_s1026" type="#_x0000_t202" style="position:absolute;margin-left:305.4pt;margin-top:-39.85pt;width:193.9pt;height:52.1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" filled="f" stroked="f">
              <v:textbox>
                <w:txbxContent>
                  <w:p w14:paraId="3A140437"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CF293B0"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71189B61"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80DCD46"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3"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4"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2488EC25" w14:textId="77777777" w:rsidR="00196A1D" w:rsidRPr="00196A1D" w:rsidRDefault="00196A1D" w:rsidP="00196A1D">
                    <w:pPr>
                      <w:pStyle w:val="Header"/>
                      <w:rPr>
                        <w:rFonts w:ascii="AvenirNext LT Pro Regular" w:hAnsi="AvenirNext LT Pro Regular"/>
                        <w:color w:val="53AAB1" w:themeColor="accent1"/>
                        <w:sz w:val="2"/>
                      </w:rPr>
                    </w:pPr>
                  </w:p>
                </w:txbxContent>
              </v:textbox>
            </v:shape>
          </w:pict>
        </mc:Fallback>
      </mc:AlternateContent>
    </w:r>
    <w:r w:rsidRPr="00196A1D">
      <w:rPr>
        <w:noProof/>
        <w:lang w:eastAsia="en-GB"/>
      </w:rPr>
      <w:drawing>
        <wp:anchor distT="0" distB="0" distL="114300" distR="114300" simplePos="0" relativeHeight="251658241" behindDoc="0" locked="0" layoutInCell="1" allowOverlap="1" wp14:anchorId="68F54834" wp14:editId="24DFD5A6">
          <wp:simplePos x="0" y="0"/>
          <wp:positionH relativeFrom="column">
            <wp:posOffset>-1181100</wp:posOffset>
          </wp:positionH>
          <wp:positionV relativeFrom="paragraph">
            <wp:posOffset>-845820</wp:posOffset>
          </wp:positionV>
          <wp:extent cx="7626985" cy="1009650"/>
          <wp:effectExtent l="0" t="0" r="0" b="0"/>
          <wp:wrapNone/>
          <wp:docPr id="141922098" name="Picture 141922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626985" cy="10096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DF390" w14:textId="77777777" w:rsidR="007C5943" w:rsidRDefault="007C5943" w:rsidP="00CE103B">
      <w:r>
        <w:separator/>
      </w:r>
    </w:p>
  </w:footnote>
  <w:footnote w:type="continuationSeparator" w:id="0">
    <w:p w14:paraId="3E51D058" w14:textId="77777777" w:rsidR="007C5943" w:rsidRDefault="007C5943" w:rsidP="00CE103B">
      <w:r>
        <w:continuationSeparator/>
      </w:r>
    </w:p>
  </w:footnote>
  <w:footnote w:type="continuationNotice" w:id="1">
    <w:p w14:paraId="5692628F" w14:textId="77777777" w:rsidR="007C5943" w:rsidRDefault="007C5943"/>
  </w:footnote>
  <w:footnote w:id="2">
    <w:p w14:paraId="3394E3DE" w14:textId="66E878A0" w:rsidR="00CD56AE" w:rsidRPr="00B3044B" w:rsidRDefault="00CD56AE">
      <w:pPr>
        <w:pStyle w:val="FootnoteText"/>
        <w:rPr>
          <w:rFonts w:asciiTheme="minorHAnsi" w:hAnsiTheme="minorHAnsi" w:cstheme="minorHAnsi"/>
          <w:sz w:val="18"/>
          <w:szCs w:val="18"/>
        </w:rPr>
      </w:pPr>
      <w:r w:rsidRPr="00B3044B">
        <w:rPr>
          <w:rStyle w:val="FootnoteReference"/>
          <w:rFonts w:asciiTheme="minorHAnsi" w:hAnsiTheme="minorHAnsi" w:cstheme="minorHAnsi"/>
          <w:sz w:val="18"/>
          <w:szCs w:val="18"/>
        </w:rPr>
        <w:footnoteRef/>
      </w:r>
      <w:r w:rsidRPr="00B3044B">
        <w:rPr>
          <w:rFonts w:asciiTheme="minorHAnsi" w:hAnsiTheme="minorHAnsi" w:cstheme="minorHAnsi"/>
          <w:sz w:val="18"/>
          <w:szCs w:val="18"/>
        </w:rPr>
        <w:t xml:space="preserve"> The ratios are all taken from the</w:t>
      </w:r>
      <w:r w:rsidR="00B3044B" w:rsidRPr="00B3044B">
        <w:rPr>
          <w:rFonts w:asciiTheme="minorHAnsi" w:hAnsiTheme="minorHAnsi" w:cstheme="minorHAnsi"/>
          <w:sz w:val="18"/>
          <w:szCs w:val="18"/>
        </w:rPr>
        <w:t xml:space="preserve"> ONS Work Place Based Affordability Ratios published</w:t>
      </w:r>
      <w:r w:rsidR="00B3044B">
        <w:rPr>
          <w:rFonts w:asciiTheme="minorHAnsi" w:hAnsiTheme="minorHAnsi" w:cstheme="minorHAnsi"/>
          <w:sz w:val="18"/>
          <w:szCs w:val="18"/>
        </w:rPr>
        <w:t xml:space="preserve"> </w:t>
      </w:r>
      <w:r w:rsidR="00B3044B" w:rsidRPr="00B3044B">
        <w:rPr>
          <w:rFonts w:asciiTheme="minorHAnsi" w:hAnsiTheme="minorHAnsi" w:cstheme="minorHAnsi"/>
          <w:sz w:val="18"/>
          <w:szCs w:val="18"/>
        </w:rPr>
        <w:t>in March 2023.</w:t>
      </w:r>
    </w:p>
  </w:footnote>
  <w:footnote w:id="3">
    <w:p w14:paraId="466B6E98" w14:textId="77777777" w:rsidR="00712F6C" w:rsidRDefault="00712F6C" w:rsidP="00712F6C">
      <w:pPr>
        <w:pStyle w:val="FootnoteText"/>
      </w:pPr>
      <w:r>
        <w:rPr>
          <w:rStyle w:val="FootnoteReference"/>
        </w:rPr>
        <w:footnoteRef/>
      </w:r>
      <w:r>
        <w:t xml:space="preserve"> Cap set at 40% above annual average annual household growth.</w:t>
      </w:r>
    </w:p>
  </w:footnote>
  <w:footnote w:id="4">
    <w:p w14:paraId="12E9FBD9" w14:textId="77777777" w:rsidR="00712F6C" w:rsidRDefault="00712F6C" w:rsidP="00712F6C">
      <w:pPr>
        <w:pStyle w:val="FootnoteText"/>
      </w:pPr>
      <w:r>
        <w:rPr>
          <w:rStyle w:val="FootnoteReference"/>
        </w:rPr>
        <w:footnoteRef/>
      </w:r>
      <w:r>
        <w:t xml:space="preserve"> Capped at 40% above average annual housing requirment in existing relevant policies (400 dpa in Core Strategy Policy SS3)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E011" w14:textId="77777777" w:rsidR="00E832F5" w:rsidRDefault="00E832F5">
    <w:pPr>
      <w:pStyle w:val="Header"/>
    </w:pPr>
    <w:r>
      <w:rPr>
        <w:noProof/>
        <w:lang w:eastAsia="en-GB"/>
      </w:rPr>
      <w:drawing>
        <wp:inline distT="0" distB="0" distL="0" distR="0" wp14:anchorId="5C7D34A7" wp14:editId="4A59E540">
          <wp:extent cx="144780" cy="152400"/>
          <wp:effectExtent l="0" t="0" r="7620" b="0"/>
          <wp:docPr id="1370318609" name="Picture 1370318609"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noProof/>
        <w:lang w:eastAsia="en-GB"/>
      </w:rPr>
      <w:drawing>
        <wp:inline distT="0" distB="0" distL="0" distR="0" wp14:anchorId="75BCA861" wp14:editId="6194932A">
          <wp:extent cx="144780" cy="152400"/>
          <wp:effectExtent l="0" t="0" r="7620" b="0"/>
          <wp:docPr id="874640598" name="Picture 874640598"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8E5E3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B82F3C"/>
    <w:multiLevelType w:val="hybridMultilevel"/>
    <w:tmpl w:val="041C1B88"/>
    <w:lvl w:ilvl="0" w:tplc="08090011">
      <w:start w:val="35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DE6FD5"/>
    <w:multiLevelType w:val="multilevel"/>
    <w:tmpl w:val="1FE4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403B5A"/>
    <w:multiLevelType w:val="hybridMultilevel"/>
    <w:tmpl w:val="4698C49A"/>
    <w:lvl w:ilvl="0" w:tplc="1D5CBE70">
      <w:start w:val="5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64145"/>
    <w:multiLevelType w:val="hybridMultilevel"/>
    <w:tmpl w:val="5156DD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AE5A8A"/>
    <w:multiLevelType w:val="hybridMultilevel"/>
    <w:tmpl w:val="580C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3756388">
    <w:abstractNumId w:val="5"/>
  </w:num>
  <w:num w:numId="2" w16cid:durableId="762532627">
    <w:abstractNumId w:val="2"/>
  </w:num>
  <w:num w:numId="3" w16cid:durableId="1173840405">
    <w:abstractNumId w:val="1"/>
  </w:num>
  <w:num w:numId="4" w16cid:durableId="657005106">
    <w:abstractNumId w:val="0"/>
  </w:num>
  <w:num w:numId="5" w16cid:durableId="1920141229">
    <w:abstractNumId w:val="4"/>
  </w:num>
  <w:num w:numId="6" w16cid:durableId="820274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BF"/>
    <w:rsid w:val="000005B7"/>
    <w:rsid w:val="00000FFE"/>
    <w:rsid w:val="00007710"/>
    <w:rsid w:val="00010E20"/>
    <w:rsid w:val="000118B2"/>
    <w:rsid w:val="00014A74"/>
    <w:rsid w:val="000216A6"/>
    <w:rsid w:val="00023F70"/>
    <w:rsid w:val="0002602E"/>
    <w:rsid w:val="00026901"/>
    <w:rsid w:val="000269FD"/>
    <w:rsid w:val="0003127B"/>
    <w:rsid w:val="0003237E"/>
    <w:rsid w:val="00034133"/>
    <w:rsid w:val="00034B9F"/>
    <w:rsid w:val="000353B7"/>
    <w:rsid w:val="00035EC5"/>
    <w:rsid w:val="00035FB4"/>
    <w:rsid w:val="00036475"/>
    <w:rsid w:val="00036D82"/>
    <w:rsid w:val="00041E68"/>
    <w:rsid w:val="0004716D"/>
    <w:rsid w:val="0004756D"/>
    <w:rsid w:val="00052B66"/>
    <w:rsid w:val="00056B10"/>
    <w:rsid w:val="00057CEF"/>
    <w:rsid w:val="00061EE5"/>
    <w:rsid w:val="00063328"/>
    <w:rsid w:val="0006399C"/>
    <w:rsid w:val="00063EC5"/>
    <w:rsid w:val="0007037A"/>
    <w:rsid w:val="00070D0D"/>
    <w:rsid w:val="00071136"/>
    <w:rsid w:val="00071ECE"/>
    <w:rsid w:val="00075FB6"/>
    <w:rsid w:val="0007732D"/>
    <w:rsid w:val="00077511"/>
    <w:rsid w:val="00080DEA"/>
    <w:rsid w:val="0008209D"/>
    <w:rsid w:val="00082264"/>
    <w:rsid w:val="000826CC"/>
    <w:rsid w:val="00082C40"/>
    <w:rsid w:val="000858B1"/>
    <w:rsid w:val="00090A0E"/>
    <w:rsid w:val="00094B89"/>
    <w:rsid w:val="000A1700"/>
    <w:rsid w:val="000A43AD"/>
    <w:rsid w:val="000A449E"/>
    <w:rsid w:val="000A4535"/>
    <w:rsid w:val="000A502C"/>
    <w:rsid w:val="000B03F9"/>
    <w:rsid w:val="000B16D8"/>
    <w:rsid w:val="000B4292"/>
    <w:rsid w:val="000B6F6C"/>
    <w:rsid w:val="000B761C"/>
    <w:rsid w:val="000C1FFF"/>
    <w:rsid w:val="000C5A4B"/>
    <w:rsid w:val="000C649B"/>
    <w:rsid w:val="000C6DB5"/>
    <w:rsid w:val="000C77A5"/>
    <w:rsid w:val="000D008F"/>
    <w:rsid w:val="000D08E1"/>
    <w:rsid w:val="000D5375"/>
    <w:rsid w:val="000D5D55"/>
    <w:rsid w:val="000D7D97"/>
    <w:rsid w:val="000E336A"/>
    <w:rsid w:val="000E53FB"/>
    <w:rsid w:val="000F3B81"/>
    <w:rsid w:val="000F4C4E"/>
    <w:rsid w:val="000F7B35"/>
    <w:rsid w:val="00100F3C"/>
    <w:rsid w:val="0010361D"/>
    <w:rsid w:val="001048BC"/>
    <w:rsid w:val="00110644"/>
    <w:rsid w:val="0011223C"/>
    <w:rsid w:val="00112586"/>
    <w:rsid w:val="0011398C"/>
    <w:rsid w:val="00114CD3"/>
    <w:rsid w:val="0011625D"/>
    <w:rsid w:val="001170BF"/>
    <w:rsid w:val="00122F3B"/>
    <w:rsid w:val="0012584F"/>
    <w:rsid w:val="00125D34"/>
    <w:rsid w:val="00130FC4"/>
    <w:rsid w:val="00132B94"/>
    <w:rsid w:val="001339B0"/>
    <w:rsid w:val="0013416F"/>
    <w:rsid w:val="00134D73"/>
    <w:rsid w:val="00135C57"/>
    <w:rsid w:val="00140835"/>
    <w:rsid w:val="00142375"/>
    <w:rsid w:val="00144122"/>
    <w:rsid w:val="00146192"/>
    <w:rsid w:val="00147529"/>
    <w:rsid w:val="001500E8"/>
    <w:rsid w:val="00150135"/>
    <w:rsid w:val="00150FD9"/>
    <w:rsid w:val="001523FC"/>
    <w:rsid w:val="00152668"/>
    <w:rsid w:val="00154C11"/>
    <w:rsid w:val="0015567E"/>
    <w:rsid w:val="00155E12"/>
    <w:rsid w:val="00164B9C"/>
    <w:rsid w:val="0016569D"/>
    <w:rsid w:val="001659B9"/>
    <w:rsid w:val="00166DDD"/>
    <w:rsid w:val="00170C43"/>
    <w:rsid w:val="00171258"/>
    <w:rsid w:val="00171817"/>
    <w:rsid w:val="00171D7F"/>
    <w:rsid w:val="00173389"/>
    <w:rsid w:val="00182F46"/>
    <w:rsid w:val="001875A3"/>
    <w:rsid w:val="00187619"/>
    <w:rsid w:val="0019019C"/>
    <w:rsid w:val="00190767"/>
    <w:rsid w:val="00192A5F"/>
    <w:rsid w:val="0019686F"/>
    <w:rsid w:val="00196A1D"/>
    <w:rsid w:val="00196AE7"/>
    <w:rsid w:val="00196BAE"/>
    <w:rsid w:val="001A2777"/>
    <w:rsid w:val="001A41E4"/>
    <w:rsid w:val="001A539B"/>
    <w:rsid w:val="001A7888"/>
    <w:rsid w:val="001B06E6"/>
    <w:rsid w:val="001B15AF"/>
    <w:rsid w:val="001B16E8"/>
    <w:rsid w:val="001B3563"/>
    <w:rsid w:val="001B524F"/>
    <w:rsid w:val="001C0C6E"/>
    <w:rsid w:val="001C242B"/>
    <w:rsid w:val="001C4EBC"/>
    <w:rsid w:val="001D005E"/>
    <w:rsid w:val="001D1912"/>
    <w:rsid w:val="001D277C"/>
    <w:rsid w:val="001D2A4B"/>
    <w:rsid w:val="001D4111"/>
    <w:rsid w:val="001D4C87"/>
    <w:rsid w:val="001D574E"/>
    <w:rsid w:val="001D59C2"/>
    <w:rsid w:val="001E1946"/>
    <w:rsid w:val="001E3386"/>
    <w:rsid w:val="001E390F"/>
    <w:rsid w:val="001E4A5A"/>
    <w:rsid w:val="001F00BE"/>
    <w:rsid w:val="001F26E6"/>
    <w:rsid w:val="001F2E00"/>
    <w:rsid w:val="001F52CC"/>
    <w:rsid w:val="001F6042"/>
    <w:rsid w:val="001F77EE"/>
    <w:rsid w:val="00203893"/>
    <w:rsid w:val="00203A26"/>
    <w:rsid w:val="00205624"/>
    <w:rsid w:val="00206C64"/>
    <w:rsid w:val="00210151"/>
    <w:rsid w:val="00210F1B"/>
    <w:rsid w:val="0021106C"/>
    <w:rsid w:val="00211A95"/>
    <w:rsid w:val="00212901"/>
    <w:rsid w:val="00214BB6"/>
    <w:rsid w:val="00217271"/>
    <w:rsid w:val="00220277"/>
    <w:rsid w:val="002213C3"/>
    <w:rsid w:val="002227D6"/>
    <w:rsid w:val="00224DEF"/>
    <w:rsid w:val="002278F9"/>
    <w:rsid w:val="002321C3"/>
    <w:rsid w:val="00235149"/>
    <w:rsid w:val="0023717C"/>
    <w:rsid w:val="0023749E"/>
    <w:rsid w:val="00237C51"/>
    <w:rsid w:val="0024165B"/>
    <w:rsid w:val="00243F22"/>
    <w:rsid w:val="00245518"/>
    <w:rsid w:val="00245CFF"/>
    <w:rsid w:val="00246284"/>
    <w:rsid w:val="002471C9"/>
    <w:rsid w:val="00256538"/>
    <w:rsid w:val="00257167"/>
    <w:rsid w:val="00257FB4"/>
    <w:rsid w:val="00260270"/>
    <w:rsid w:val="00260BF0"/>
    <w:rsid w:val="002633C1"/>
    <w:rsid w:val="00266063"/>
    <w:rsid w:val="0026703A"/>
    <w:rsid w:val="00270240"/>
    <w:rsid w:val="00271790"/>
    <w:rsid w:val="00277391"/>
    <w:rsid w:val="002856D3"/>
    <w:rsid w:val="00285824"/>
    <w:rsid w:val="00292CC7"/>
    <w:rsid w:val="00293411"/>
    <w:rsid w:val="002A25A0"/>
    <w:rsid w:val="002A2834"/>
    <w:rsid w:val="002A4862"/>
    <w:rsid w:val="002A6FDD"/>
    <w:rsid w:val="002B5D8B"/>
    <w:rsid w:val="002C0F47"/>
    <w:rsid w:val="002C1CAD"/>
    <w:rsid w:val="002C1EFD"/>
    <w:rsid w:val="002C3226"/>
    <w:rsid w:val="002C3602"/>
    <w:rsid w:val="002C3F46"/>
    <w:rsid w:val="002C7DA7"/>
    <w:rsid w:val="002D002B"/>
    <w:rsid w:val="002D1F25"/>
    <w:rsid w:val="002D5342"/>
    <w:rsid w:val="002D6E3B"/>
    <w:rsid w:val="002E123D"/>
    <w:rsid w:val="002E28E9"/>
    <w:rsid w:val="002E5371"/>
    <w:rsid w:val="002F07BC"/>
    <w:rsid w:val="002F3F46"/>
    <w:rsid w:val="002F5CE4"/>
    <w:rsid w:val="002F7E17"/>
    <w:rsid w:val="00300898"/>
    <w:rsid w:val="00301A6A"/>
    <w:rsid w:val="00301B52"/>
    <w:rsid w:val="0030223B"/>
    <w:rsid w:val="003044A2"/>
    <w:rsid w:val="0030483C"/>
    <w:rsid w:val="00307B88"/>
    <w:rsid w:val="00312373"/>
    <w:rsid w:val="0031531C"/>
    <w:rsid w:val="00315E30"/>
    <w:rsid w:val="0031702F"/>
    <w:rsid w:val="00322C4A"/>
    <w:rsid w:val="00324380"/>
    <w:rsid w:val="0032582C"/>
    <w:rsid w:val="00325A72"/>
    <w:rsid w:val="00327AE4"/>
    <w:rsid w:val="00333A7A"/>
    <w:rsid w:val="0033732B"/>
    <w:rsid w:val="00340DF1"/>
    <w:rsid w:val="00343056"/>
    <w:rsid w:val="00343492"/>
    <w:rsid w:val="00347703"/>
    <w:rsid w:val="00350AD9"/>
    <w:rsid w:val="00350C4B"/>
    <w:rsid w:val="003514DE"/>
    <w:rsid w:val="00351F14"/>
    <w:rsid w:val="00353780"/>
    <w:rsid w:val="003561D5"/>
    <w:rsid w:val="003612DC"/>
    <w:rsid w:val="003621D6"/>
    <w:rsid w:val="00365D4B"/>
    <w:rsid w:val="00366440"/>
    <w:rsid w:val="0036655B"/>
    <w:rsid w:val="0037086D"/>
    <w:rsid w:val="00371019"/>
    <w:rsid w:val="00372A4C"/>
    <w:rsid w:val="00374C55"/>
    <w:rsid w:val="00374E61"/>
    <w:rsid w:val="00376067"/>
    <w:rsid w:val="003909DD"/>
    <w:rsid w:val="0039107B"/>
    <w:rsid w:val="0039131C"/>
    <w:rsid w:val="00391AB1"/>
    <w:rsid w:val="00391C2E"/>
    <w:rsid w:val="003928E0"/>
    <w:rsid w:val="00393FFA"/>
    <w:rsid w:val="003A237F"/>
    <w:rsid w:val="003A2A56"/>
    <w:rsid w:val="003A68E7"/>
    <w:rsid w:val="003A6E6E"/>
    <w:rsid w:val="003B224A"/>
    <w:rsid w:val="003B30E2"/>
    <w:rsid w:val="003B32D2"/>
    <w:rsid w:val="003B6D2C"/>
    <w:rsid w:val="003C293B"/>
    <w:rsid w:val="003C5911"/>
    <w:rsid w:val="003C5F94"/>
    <w:rsid w:val="003D0DC0"/>
    <w:rsid w:val="003D111A"/>
    <w:rsid w:val="003D2A48"/>
    <w:rsid w:val="003D31BB"/>
    <w:rsid w:val="003D4682"/>
    <w:rsid w:val="003E5063"/>
    <w:rsid w:val="003E57AF"/>
    <w:rsid w:val="003E6065"/>
    <w:rsid w:val="003E7D4E"/>
    <w:rsid w:val="003F0537"/>
    <w:rsid w:val="003F0626"/>
    <w:rsid w:val="003F160A"/>
    <w:rsid w:val="003F36E6"/>
    <w:rsid w:val="003F3D6B"/>
    <w:rsid w:val="003F42FC"/>
    <w:rsid w:val="003F4633"/>
    <w:rsid w:val="003F5B89"/>
    <w:rsid w:val="003F661A"/>
    <w:rsid w:val="003F6684"/>
    <w:rsid w:val="00400410"/>
    <w:rsid w:val="0040075C"/>
    <w:rsid w:val="00402E5E"/>
    <w:rsid w:val="00403FE0"/>
    <w:rsid w:val="0040444B"/>
    <w:rsid w:val="004054C7"/>
    <w:rsid w:val="00406538"/>
    <w:rsid w:val="00410FED"/>
    <w:rsid w:val="00411769"/>
    <w:rsid w:val="004166CE"/>
    <w:rsid w:val="0041728C"/>
    <w:rsid w:val="00424A83"/>
    <w:rsid w:val="00424FAF"/>
    <w:rsid w:val="00425605"/>
    <w:rsid w:val="00426AF1"/>
    <w:rsid w:val="004331A9"/>
    <w:rsid w:val="00435E0C"/>
    <w:rsid w:val="00435F24"/>
    <w:rsid w:val="0043758A"/>
    <w:rsid w:val="00437D8C"/>
    <w:rsid w:val="0044136B"/>
    <w:rsid w:val="00443808"/>
    <w:rsid w:val="00446DDD"/>
    <w:rsid w:val="00450577"/>
    <w:rsid w:val="0045612C"/>
    <w:rsid w:val="00456B0D"/>
    <w:rsid w:val="00456B35"/>
    <w:rsid w:val="00462CA3"/>
    <w:rsid w:val="0046493B"/>
    <w:rsid w:val="00465899"/>
    <w:rsid w:val="004663E6"/>
    <w:rsid w:val="004671AA"/>
    <w:rsid w:val="00467770"/>
    <w:rsid w:val="00470941"/>
    <w:rsid w:val="0047094F"/>
    <w:rsid w:val="0047229E"/>
    <w:rsid w:val="00472FBC"/>
    <w:rsid w:val="004730F3"/>
    <w:rsid w:val="00473C8C"/>
    <w:rsid w:val="00474272"/>
    <w:rsid w:val="004745C4"/>
    <w:rsid w:val="00475195"/>
    <w:rsid w:val="00481913"/>
    <w:rsid w:val="00482E7D"/>
    <w:rsid w:val="00483F27"/>
    <w:rsid w:val="00487EC5"/>
    <w:rsid w:val="00490A78"/>
    <w:rsid w:val="00491D95"/>
    <w:rsid w:val="00496D7D"/>
    <w:rsid w:val="004A0EF1"/>
    <w:rsid w:val="004A209C"/>
    <w:rsid w:val="004A361A"/>
    <w:rsid w:val="004B0BF0"/>
    <w:rsid w:val="004B0E3C"/>
    <w:rsid w:val="004B203E"/>
    <w:rsid w:val="004B3FEE"/>
    <w:rsid w:val="004B4213"/>
    <w:rsid w:val="004C1F4C"/>
    <w:rsid w:val="004C23B3"/>
    <w:rsid w:val="004D609F"/>
    <w:rsid w:val="004D60E1"/>
    <w:rsid w:val="004E106D"/>
    <w:rsid w:val="004E18E4"/>
    <w:rsid w:val="004E1D5E"/>
    <w:rsid w:val="004E4516"/>
    <w:rsid w:val="004E7108"/>
    <w:rsid w:val="004E79C8"/>
    <w:rsid w:val="004F110D"/>
    <w:rsid w:val="004F1961"/>
    <w:rsid w:val="004F374E"/>
    <w:rsid w:val="004F4355"/>
    <w:rsid w:val="00500725"/>
    <w:rsid w:val="00500B07"/>
    <w:rsid w:val="0050319C"/>
    <w:rsid w:val="00503496"/>
    <w:rsid w:val="0050421C"/>
    <w:rsid w:val="005046B4"/>
    <w:rsid w:val="0050646B"/>
    <w:rsid w:val="00507162"/>
    <w:rsid w:val="00507D2D"/>
    <w:rsid w:val="00512E22"/>
    <w:rsid w:val="00513459"/>
    <w:rsid w:val="00514723"/>
    <w:rsid w:val="0051486F"/>
    <w:rsid w:val="005149FA"/>
    <w:rsid w:val="00514E38"/>
    <w:rsid w:val="0051595C"/>
    <w:rsid w:val="00517873"/>
    <w:rsid w:val="00523C7F"/>
    <w:rsid w:val="00526375"/>
    <w:rsid w:val="00527EF2"/>
    <w:rsid w:val="005329F7"/>
    <w:rsid w:val="005338DC"/>
    <w:rsid w:val="00533F3F"/>
    <w:rsid w:val="00543EF4"/>
    <w:rsid w:val="0054427B"/>
    <w:rsid w:val="00545F86"/>
    <w:rsid w:val="005460FA"/>
    <w:rsid w:val="00550A5E"/>
    <w:rsid w:val="00551C9A"/>
    <w:rsid w:val="00556B37"/>
    <w:rsid w:val="00557309"/>
    <w:rsid w:val="0055771E"/>
    <w:rsid w:val="00560DEA"/>
    <w:rsid w:val="00562032"/>
    <w:rsid w:val="00564F07"/>
    <w:rsid w:val="00567C2B"/>
    <w:rsid w:val="00571AF2"/>
    <w:rsid w:val="00571FAC"/>
    <w:rsid w:val="00577445"/>
    <w:rsid w:val="005821F0"/>
    <w:rsid w:val="005833A0"/>
    <w:rsid w:val="00585150"/>
    <w:rsid w:val="00585368"/>
    <w:rsid w:val="00590239"/>
    <w:rsid w:val="00593D56"/>
    <w:rsid w:val="00595547"/>
    <w:rsid w:val="0059648B"/>
    <w:rsid w:val="005A0DB9"/>
    <w:rsid w:val="005A1859"/>
    <w:rsid w:val="005A7433"/>
    <w:rsid w:val="005A7C66"/>
    <w:rsid w:val="005B00D4"/>
    <w:rsid w:val="005B05EF"/>
    <w:rsid w:val="005B10C7"/>
    <w:rsid w:val="005B1F29"/>
    <w:rsid w:val="005B55FB"/>
    <w:rsid w:val="005B650E"/>
    <w:rsid w:val="005C0A20"/>
    <w:rsid w:val="005C0E88"/>
    <w:rsid w:val="005C161A"/>
    <w:rsid w:val="005C334D"/>
    <w:rsid w:val="005C53B0"/>
    <w:rsid w:val="005C54F7"/>
    <w:rsid w:val="005C675A"/>
    <w:rsid w:val="005C7286"/>
    <w:rsid w:val="005D0D58"/>
    <w:rsid w:val="005D1C5C"/>
    <w:rsid w:val="005D2A00"/>
    <w:rsid w:val="005D3031"/>
    <w:rsid w:val="005D3280"/>
    <w:rsid w:val="005E14F8"/>
    <w:rsid w:val="005F243A"/>
    <w:rsid w:val="005F2F53"/>
    <w:rsid w:val="005F3102"/>
    <w:rsid w:val="005F4D7D"/>
    <w:rsid w:val="005F5057"/>
    <w:rsid w:val="005F6079"/>
    <w:rsid w:val="005F6121"/>
    <w:rsid w:val="00600030"/>
    <w:rsid w:val="006039D2"/>
    <w:rsid w:val="006100AE"/>
    <w:rsid w:val="00610CF5"/>
    <w:rsid w:val="00612030"/>
    <w:rsid w:val="00613DB2"/>
    <w:rsid w:val="00614F94"/>
    <w:rsid w:val="00617E07"/>
    <w:rsid w:val="00617E5C"/>
    <w:rsid w:val="00620817"/>
    <w:rsid w:val="0062399E"/>
    <w:rsid w:val="00630EC9"/>
    <w:rsid w:val="00635B7D"/>
    <w:rsid w:val="00641448"/>
    <w:rsid w:val="00642A84"/>
    <w:rsid w:val="0064322E"/>
    <w:rsid w:val="00644419"/>
    <w:rsid w:val="00645384"/>
    <w:rsid w:val="006468D6"/>
    <w:rsid w:val="00646A6E"/>
    <w:rsid w:val="0064761D"/>
    <w:rsid w:val="00647CE6"/>
    <w:rsid w:val="00651011"/>
    <w:rsid w:val="00653144"/>
    <w:rsid w:val="00654B5D"/>
    <w:rsid w:val="00666108"/>
    <w:rsid w:val="006664AD"/>
    <w:rsid w:val="006667A9"/>
    <w:rsid w:val="0067058C"/>
    <w:rsid w:val="00671757"/>
    <w:rsid w:val="00672671"/>
    <w:rsid w:val="00677640"/>
    <w:rsid w:val="00682CF5"/>
    <w:rsid w:val="00685424"/>
    <w:rsid w:val="006855A4"/>
    <w:rsid w:val="00685EA6"/>
    <w:rsid w:val="0069044C"/>
    <w:rsid w:val="00691D09"/>
    <w:rsid w:val="006928D1"/>
    <w:rsid w:val="00692D82"/>
    <w:rsid w:val="00694D5A"/>
    <w:rsid w:val="00695EAE"/>
    <w:rsid w:val="00697F25"/>
    <w:rsid w:val="006A1CA2"/>
    <w:rsid w:val="006A377C"/>
    <w:rsid w:val="006A5A16"/>
    <w:rsid w:val="006A75F7"/>
    <w:rsid w:val="006B0008"/>
    <w:rsid w:val="006B15E5"/>
    <w:rsid w:val="006C0ED8"/>
    <w:rsid w:val="006C1ADB"/>
    <w:rsid w:val="006C20E8"/>
    <w:rsid w:val="006C2193"/>
    <w:rsid w:val="006C27EE"/>
    <w:rsid w:val="006C565F"/>
    <w:rsid w:val="006D07A2"/>
    <w:rsid w:val="006D0C0A"/>
    <w:rsid w:val="006D2C06"/>
    <w:rsid w:val="006D45B4"/>
    <w:rsid w:val="006D4E64"/>
    <w:rsid w:val="006D54AF"/>
    <w:rsid w:val="006D54FE"/>
    <w:rsid w:val="006D5726"/>
    <w:rsid w:val="006D668E"/>
    <w:rsid w:val="006D6733"/>
    <w:rsid w:val="006E096F"/>
    <w:rsid w:val="006E3A32"/>
    <w:rsid w:val="006E76EC"/>
    <w:rsid w:val="006F0F03"/>
    <w:rsid w:val="006F1096"/>
    <w:rsid w:val="006F33F2"/>
    <w:rsid w:val="006F35A0"/>
    <w:rsid w:val="006F498D"/>
    <w:rsid w:val="006F5FF0"/>
    <w:rsid w:val="006F6129"/>
    <w:rsid w:val="006F685B"/>
    <w:rsid w:val="006F77B0"/>
    <w:rsid w:val="00701BA4"/>
    <w:rsid w:val="00704208"/>
    <w:rsid w:val="00704CD1"/>
    <w:rsid w:val="00705057"/>
    <w:rsid w:val="007057CF"/>
    <w:rsid w:val="00710B12"/>
    <w:rsid w:val="0071239A"/>
    <w:rsid w:val="00712F6C"/>
    <w:rsid w:val="007175C8"/>
    <w:rsid w:val="0072114A"/>
    <w:rsid w:val="0072257C"/>
    <w:rsid w:val="007236F3"/>
    <w:rsid w:val="00725479"/>
    <w:rsid w:val="00726716"/>
    <w:rsid w:val="00726A06"/>
    <w:rsid w:val="00730638"/>
    <w:rsid w:val="0073127F"/>
    <w:rsid w:val="0073189F"/>
    <w:rsid w:val="00732B04"/>
    <w:rsid w:val="0073313A"/>
    <w:rsid w:val="00733255"/>
    <w:rsid w:val="00735688"/>
    <w:rsid w:val="00735C2E"/>
    <w:rsid w:val="00740A84"/>
    <w:rsid w:val="0074583A"/>
    <w:rsid w:val="007512DF"/>
    <w:rsid w:val="007515DF"/>
    <w:rsid w:val="00751BD6"/>
    <w:rsid w:val="00751D53"/>
    <w:rsid w:val="00752A13"/>
    <w:rsid w:val="00753106"/>
    <w:rsid w:val="00760036"/>
    <w:rsid w:val="007603E2"/>
    <w:rsid w:val="007605CD"/>
    <w:rsid w:val="0076154E"/>
    <w:rsid w:val="007634FD"/>
    <w:rsid w:val="0076439F"/>
    <w:rsid w:val="00765493"/>
    <w:rsid w:val="007712E3"/>
    <w:rsid w:val="0077287B"/>
    <w:rsid w:val="007729DC"/>
    <w:rsid w:val="00775990"/>
    <w:rsid w:val="00776B72"/>
    <w:rsid w:val="007844FB"/>
    <w:rsid w:val="0078604B"/>
    <w:rsid w:val="0078659A"/>
    <w:rsid w:val="007878B4"/>
    <w:rsid w:val="007904A1"/>
    <w:rsid w:val="007915E4"/>
    <w:rsid w:val="007922F6"/>
    <w:rsid w:val="007926D2"/>
    <w:rsid w:val="00794A08"/>
    <w:rsid w:val="00797322"/>
    <w:rsid w:val="007A3C40"/>
    <w:rsid w:val="007B254A"/>
    <w:rsid w:val="007B29BA"/>
    <w:rsid w:val="007B58CC"/>
    <w:rsid w:val="007B6196"/>
    <w:rsid w:val="007C072F"/>
    <w:rsid w:val="007C0EFE"/>
    <w:rsid w:val="007C21EB"/>
    <w:rsid w:val="007C302F"/>
    <w:rsid w:val="007C43E8"/>
    <w:rsid w:val="007C5943"/>
    <w:rsid w:val="007D027F"/>
    <w:rsid w:val="007D0482"/>
    <w:rsid w:val="007D1064"/>
    <w:rsid w:val="007D3A19"/>
    <w:rsid w:val="007D4146"/>
    <w:rsid w:val="007D425F"/>
    <w:rsid w:val="007D67BA"/>
    <w:rsid w:val="007E2F33"/>
    <w:rsid w:val="007E666D"/>
    <w:rsid w:val="007E7600"/>
    <w:rsid w:val="007F02E8"/>
    <w:rsid w:val="007F57EC"/>
    <w:rsid w:val="007F5C0B"/>
    <w:rsid w:val="00803338"/>
    <w:rsid w:val="00803971"/>
    <w:rsid w:val="00804848"/>
    <w:rsid w:val="00810BA6"/>
    <w:rsid w:val="00813E13"/>
    <w:rsid w:val="00816591"/>
    <w:rsid w:val="00816BB3"/>
    <w:rsid w:val="00820CF3"/>
    <w:rsid w:val="00822564"/>
    <w:rsid w:val="008261CC"/>
    <w:rsid w:val="00831327"/>
    <w:rsid w:val="00832796"/>
    <w:rsid w:val="008335AE"/>
    <w:rsid w:val="00833772"/>
    <w:rsid w:val="00835BF7"/>
    <w:rsid w:val="00840E4E"/>
    <w:rsid w:val="00843F50"/>
    <w:rsid w:val="00844FDD"/>
    <w:rsid w:val="008460A6"/>
    <w:rsid w:val="00846D9E"/>
    <w:rsid w:val="00847512"/>
    <w:rsid w:val="00851656"/>
    <w:rsid w:val="0085186E"/>
    <w:rsid w:val="00851929"/>
    <w:rsid w:val="00852189"/>
    <w:rsid w:val="008531D0"/>
    <w:rsid w:val="0085409B"/>
    <w:rsid w:val="0086165E"/>
    <w:rsid w:val="008616A5"/>
    <w:rsid w:val="00861A96"/>
    <w:rsid w:val="00861D21"/>
    <w:rsid w:val="00862849"/>
    <w:rsid w:val="008630B8"/>
    <w:rsid w:val="00870723"/>
    <w:rsid w:val="00871C2E"/>
    <w:rsid w:val="008759D7"/>
    <w:rsid w:val="00883398"/>
    <w:rsid w:val="00884CAA"/>
    <w:rsid w:val="008861EC"/>
    <w:rsid w:val="00887A67"/>
    <w:rsid w:val="00887BC5"/>
    <w:rsid w:val="00890482"/>
    <w:rsid w:val="00891A8E"/>
    <w:rsid w:val="008930D7"/>
    <w:rsid w:val="008A08C3"/>
    <w:rsid w:val="008A34BF"/>
    <w:rsid w:val="008A3A8F"/>
    <w:rsid w:val="008A41F2"/>
    <w:rsid w:val="008A6A04"/>
    <w:rsid w:val="008A714C"/>
    <w:rsid w:val="008B063E"/>
    <w:rsid w:val="008B0C18"/>
    <w:rsid w:val="008B4CC7"/>
    <w:rsid w:val="008C0ADC"/>
    <w:rsid w:val="008C186F"/>
    <w:rsid w:val="008C69A8"/>
    <w:rsid w:val="008C6A28"/>
    <w:rsid w:val="008C7B5C"/>
    <w:rsid w:val="008D2924"/>
    <w:rsid w:val="008D44CB"/>
    <w:rsid w:val="008D5E89"/>
    <w:rsid w:val="008E17FF"/>
    <w:rsid w:val="008E2967"/>
    <w:rsid w:val="008F0B13"/>
    <w:rsid w:val="008F3946"/>
    <w:rsid w:val="008F4CF8"/>
    <w:rsid w:val="008F534E"/>
    <w:rsid w:val="008F7AB3"/>
    <w:rsid w:val="008F7FAE"/>
    <w:rsid w:val="00900C17"/>
    <w:rsid w:val="009012E5"/>
    <w:rsid w:val="00902FE6"/>
    <w:rsid w:val="00903867"/>
    <w:rsid w:val="00904473"/>
    <w:rsid w:val="00904F06"/>
    <w:rsid w:val="009078BF"/>
    <w:rsid w:val="00912C33"/>
    <w:rsid w:val="00920BBA"/>
    <w:rsid w:val="00921037"/>
    <w:rsid w:val="009211B6"/>
    <w:rsid w:val="0092502E"/>
    <w:rsid w:val="00927A56"/>
    <w:rsid w:val="00930360"/>
    <w:rsid w:val="00933C92"/>
    <w:rsid w:val="009445BD"/>
    <w:rsid w:val="0095072A"/>
    <w:rsid w:val="00950E9C"/>
    <w:rsid w:val="00951B89"/>
    <w:rsid w:val="00956700"/>
    <w:rsid w:val="009576B7"/>
    <w:rsid w:val="00960A49"/>
    <w:rsid w:val="009617C0"/>
    <w:rsid w:val="009624E0"/>
    <w:rsid w:val="00965DD2"/>
    <w:rsid w:val="00966E7E"/>
    <w:rsid w:val="00970E1A"/>
    <w:rsid w:val="009715FC"/>
    <w:rsid w:val="009732AA"/>
    <w:rsid w:val="00977A4A"/>
    <w:rsid w:val="00980E18"/>
    <w:rsid w:val="00981A28"/>
    <w:rsid w:val="00983782"/>
    <w:rsid w:val="00983D20"/>
    <w:rsid w:val="00991DC8"/>
    <w:rsid w:val="00991E86"/>
    <w:rsid w:val="00992C4D"/>
    <w:rsid w:val="0099469E"/>
    <w:rsid w:val="00995EFF"/>
    <w:rsid w:val="009A017D"/>
    <w:rsid w:val="009A0998"/>
    <w:rsid w:val="009A15AC"/>
    <w:rsid w:val="009A24BC"/>
    <w:rsid w:val="009A3E50"/>
    <w:rsid w:val="009A550B"/>
    <w:rsid w:val="009B1A71"/>
    <w:rsid w:val="009B1AD6"/>
    <w:rsid w:val="009B2435"/>
    <w:rsid w:val="009B25EA"/>
    <w:rsid w:val="009B3887"/>
    <w:rsid w:val="009B3896"/>
    <w:rsid w:val="009B5307"/>
    <w:rsid w:val="009B6498"/>
    <w:rsid w:val="009C22C3"/>
    <w:rsid w:val="009C242C"/>
    <w:rsid w:val="009C46AB"/>
    <w:rsid w:val="009C4C42"/>
    <w:rsid w:val="009D0C19"/>
    <w:rsid w:val="009D1727"/>
    <w:rsid w:val="009D32E0"/>
    <w:rsid w:val="009D51A3"/>
    <w:rsid w:val="009D6D3F"/>
    <w:rsid w:val="009D7448"/>
    <w:rsid w:val="009E09BC"/>
    <w:rsid w:val="009E2757"/>
    <w:rsid w:val="009F322F"/>
    <w:rsid w:val="009F4C14"/>
    <w:rsid w:val="00A00721"/>
    <w:rsid w:val="00A051C4"/>
    <w:rsid w:val="00A06544"/>
    <w:rsid w:val="00A06908"/>
    <w:rsid w:val="00A07437"/>
    <w:rsid w:val="00A07BFE"/>
    <w:rsid w:val="00A110E4"/>
    <w:rsid w:val="00A116C6"/>
    <w:rsid w:val="00A12582"/>
    <w:rsid w:val="00A134A0"/>
    <w:rsid w:val="00A17020"/>
    <w:rsid w:val="00A207CB"/>
    <w:rsid w:val="00A207D8"/>
    <w:rsid w:val="00A20D80"/>
    <w:rsid w:val="00A21D0E"/>
    <w:rsid w:val="00A23584"/>
    <w:rsid w:val="00A23C3E"/>
    <w:rsid w:val="00A272DE"/>
    <w:rsid w:val="00A30FBB"/>
    <w:rsid w:val="00A33C21"/>
    <w:rsid w:val="00A37E66"/>
    <w:rsid w:val="00A404B2"/>
    <w:rsid w:val="00A42A8F"/>
    <w:rsid w:val="00A51C5E"/>
    <w:rsid w:val="00A55DA6"/>
    <w:rsid w:val="00A55E8B"/>
    <w:rsid w:val="00A5706F"/>
    <w:rsid w:val="00A5762A"/>
    <w:rsid w:val="00A60075"/>
    <w:rsid w:val="00A61815"/>
    <w:rsid w:val="00A61912"/>
    <w:rsid w:val="00A6394A"/>
    <w:rsid w:val="00A669DC"/>
    <w:rsid w:val="00A734D4"/>
    <w:rsid w:val="00A755E2"/>
    <w:rsid w:val="00A77B87"/>
    <w:rsid w:val="00A80A67"/>
    <w:rsid w:val="00A819A1"/>
    <w:rsid w:val="00A84514"/>
    <w:rsid w:val="00A91CC1"/>
    <w:rsid w:val="00A941E6"/>
    <w:rsid w:val="00A95CFE"/>
    <w:rsid w:val="00A96060"/>
    <w:rsid w:val="00A9697B"/>
    <w:rsid w:val="00AA0C14"/>
    <w:rsid w:val="00AA1157"/>
    <w:rsid w:val="00AA1DC5"/>
    <w:rsid w:val="00AA1F29"/>
    <w:rsid w:val="00AA2798"/>
    <w:rsid w:val="00AA2A44"/>
    <w:rsid w:val="00AB4262"/>
    <w:rsid w:val="00AB5EA4"/>
    <w:rsid w:val="00AC1192"/>
    <w:rsid w:val="00AC3D91"/>
    <w:rsid w:val="00AC4AF0"/>
    <w:rsid w:val="00AC56F7"/>
    <w:rsid w:val="00AD0F50"/>
    <w:rsid w:val="00AD1E6A"/>
    <w:rsid w:val="00AD2222"/>
    <w:rsid w:val="00AD25CB"/>
    <w:rsid w:val="00AD3E8E"/>
    <w:rsid w:val="00AD49F5"/>
    <w:rsid w:val="00AD6BBE"/>
    <w:rsid w:val="00AD7138"/>
    <w:rsid w:val="00AE0ADA"/>
    <w:rsid w:val="00AE1BE9"/>
    <w:rsid w:val="00AE5FEE"/>
    <w:rsid w:val="00AE6971"/>
    <w:rsid w:val="00AE7440"/>
    <w:rsid w:val="00AF0216"/>
    <w:rsid w:val="00AF027E"/>
    <w:rsid w:val="00AF436C"/>
    <w:rsid w:val="00AF6C0D"/>
    <w:rsid w:val="00B02278"/>
    <w:rsid w:val="00B04DFE"/>
    <w:rsid w:val="00B06916"/>
    <w:rsid w:val="00B107E9"/>
    <w:rsid w:val="00B13747"/>
    <w:rsid w:val="00B14179"/>
    <w:rsid w:val="00B15680"/>
    <w:rsid w:val="00B215EF"/>
    <w:rsid w:val="00B3044B"/>
    <w:rsid w:val="00B30586"/>
    <w:rsid w:val="00B36AD4"/>
    <w:rsid w:val="00B40B3C"/>
    <w:rsid w:val="00B44114"/>
    <w:rsid w:val="00B46A56"/>
    <w:rsid w:val="00B46E5D"/>
    <w:rsid w:val="00B47DD1"/>
    <w:rsid w:val="00B60390"/>
    <w:rsid w:val="00B6275D"/>
    <w:rsid w:val="00B62C96"/>
    <w:rsid w:val="00B65F9B"/>
    <w:rsid w:val="00B72D61"/>
    <w:rsid w:val="00B72DBC"/>
    <w:rsid w:val="00B755D9"/>
    <w:rsid w:val="00B761F7"/>
    <w:rsid w:val="00B76396"/>
    <w:rsid w:val="00B81551"/>
    <w:rsid w:val="00B820C4"/>
    <w:rsid w:val="00B8414C"/>
    <w:rsid w:val="00B90729"/>
    <w:rsid w:val="00B93D46"/>
    <w:rsid w:val="00B942FA"/>
    <w:rsid w:val="00B946EF"/>
    <w:rsid w:val="00BA0597"/>
    <w:rsid w:val="00BA25E4"/>
    <w:rsid w:val="00BA3AED"/>
    <w:rsid w:val="00BA5C57"/>
    <w:rsid w:val="00BA600A"/>
    <w:rsid w:val="00BA7F2D"/>
    <w:rsid w:val="00BB012C"/>
    <w:rsid w:val="00BB0F31"/>
    <w:rsid w:val="00BB2290"/>
    <w:rsid w:val="00BB35A8"/>
    <w:rsid w:val="00BB36EA"/>
    <w:rsid w:val="00BC2285"/>
    <w:rsid w:val="00BC3FF7"/>
    <w:rsid w:val="00BC4313"/>
    <w:rsid w:val="00BC4DEE"/>
    <w:rsid w:val="00BC5358"/>
    <w:rsid w:val="00BC64F6"/>
    <w:rsid w:val="00BC76A1"/>
    <w:rsid w:val="00BD12B2"/>
    <w:rsid w:val="00BD12DA"/>
    <w:rsid w:val="00BD13CE"/>
    <w:rsid w:val="00BD150A"/>
    <w:rsid w:val="00BD203D"/>
    <w:rsid w:val="00BD4738"/>
    <w:rsid w:val="00BD4BE0"/>
    <w:rsid w:val="00BD4D80"/>
    <w:rsid w:val="00BD6ED9"/>
    <w:rsid w:val="00BE0E87"/>
    <w:rsid w:val="00BE27D8"/>
    <w:rsid w:val="00BE45AA"/>
    <w:rsid w:val="00BE59C6"/>
    <w:rsid w:val="00BE6490"/>
    <w:rsid w:val="00BE675F"/>
    <w:rsid w:val="00BF1635"/>
    <w:rsid w:val="00C02A39"/>
    <w:rsid w:val="00C02BCD"/>
    <w:rsid w:val="00C02CAC"/>
    <w:rsid w:val="00C0404E"/>
    <w:rsid w:val="00C04119"/>
    <w:rsid w:val="00C04DDE"/>
    <w:rsid w:val="00C056DD"/>
    <w:rsid w:val="00C05DCD"/>
    <w:rsid w:val="00C111AE"/>
    <w:rsid w:val="00C170DC"/>
    <w:rsid w:val="00C17691"/>
    <w:rsid w:val="00C249D8"/>
    <w:rsid w:val="00C27314"/>
    <w:rsid w:val="00C30464"/>
    <w:rsid w:val="00C31809"/>
    <w:rsid w:val="00C3710F"/>
    <w:rsid w:val="00C41B39"/>
    <w:rsid w:val="00C42045"/>
    <w:rsid w:val="00C44466"/>
    <w:rsid w:val="00C4621F"/>
    <w:rsid w:val="00C52C95"/>
    <w:rsid w:val="00C544E2"/>
    <w:rsid w:val="00C56DA9"/>
    <w:rsid w:val="00C60C28"/>
    <w:rsid w:val="00C70A42"/>
    <w:rsid w:val="00C7171E"/>
    <w:rsid w:val="00C71D0C"/>
    <w:rsid w:val="00C74DF7"/>
    <w:rsid w:val="00C74F33"/>
    <w:rsid w:val="00C779CA"/>
    <w:rsid w:val="00C91CD2"/>
    <w:rsid w:val="00C91E3F"/>
    <w:rsid w:val="00C92549"/>
    <w:rsid w:val="00C933D7"/>
    <w:rsid w:val="00C94297"/>
    <w:rsid w:val="00C94851"/>
    <w:rsid w:val="00C9529F"/>
    <w:rsid w:val="00C97A59"/>
    <w:rsid w:val="00CA3D98"/>
    <w:rsid w:val="00CA6925"/>
    <w:rsid w:val="00CA6D75"/>
    <w:rsid w:val="00CA7008"/>
    <w:rsid w:val="00CA7991"/>
    <w:rsid w:val="00CB1EAF"/>
    <w:rsid w:val="00CB6176"/>
    <w:rsid w:val="00CB6CEE"/>
    <w:rsid w:val="00CC231F"/>
    <w:rsid w:val="00CC3173"/>
    <w:rsid w:val="00CC5BDB"/>
    <w:rsid w:val="00CC6A9C"/>
    <w:rsid w:val="00CD0ECE"/>
    <w:rsid w:val="00CD1E7D"/>
    <w:rsid w:val="00CD4C10"/>
    <w:rsid w:val="00CD56AE"/>
    <w:rsid w:val="00CD650E"/>
    <w:rsid w:val="00CE103B"/>
    <w:rsid w:val="00CE1283"/>
    <w:rsid w:val="00CE2B8A"/>
    <w:rsid w:val="00CE566D"/>
    <w:rsid w:val="00CE69E5"/>
    <w:rsid w:val="00CE6F26"/>
    <w:rsid w:val="00CF0CBF"/>
    <w:rsid w:val="00CF18E6"/>
    <w:rsid w:val="00CF2643"/>
    <w:rsid w:val="00CF6020"/>
    <w:rsid w:val="00CF6235"/>
    <w:rsid w:val="00CF670D"/>
    <w:rsid w:val="00D00006"/>
    <w:rsid w:val="00D0329C"/>
    <w:rsid w:val="00D044AC"/>
    <w:rsid w:val="00D11243"/>
    <w:rsid w:val="00D2239F"/>
    <w:rsid w:val="00D22BDE"/>
    <w:rsid w:val="00D27D46"/>
    <w:rsid w:val="00D31ECA"/>
    <w:rsid w:val="00D34D57"/>
    <w:rsid w:val="00D35448"/>
    <w:rsid w:val="00D36A68"/>
    <w:rsid w:val="00D4041F"/>
    <w:rsid w:val="00D419A3"/>
    <w:rsid w:val="00D42508"/>
    <w:rsid w:val="00D44AEA"/>
    <w:rsid w:val="00D45240"/>
    <w:rsid w:val="00D459ED"/>
    <w:rsid w:val="00D47299"/>
    <w:rsid w:val="00D47CAE"/>
    <w:rsid w:val="00D522A9"/>
    <w:rsid w:val="00D5449E"/>
    <w:rsid w:val="00D62BB3"/>
    <w:rsid w:val="00D63F89"/>
    <w:rsid w:val="00D657F1"/>
    <w:rsid w:val="00D70107"/>
    <w:rsid w:val="00D71DA8"/>
    <w:rsid w:val="00D920DF"/>
    <w:rsid w:val="00D92A16"/>
    <w:rsid w:val="00D96E63"/>
    <w:rsid w:val="00DA15F6"/>
    <w:rsid w:val="00DA20C7"/>
    <w:rsid w:val="00DA25DE"/>
    <w:rsid w:val="00DA5C01"/>
    <w:rsid w:val="00DB0C4E"/>
    <w:rsid w:val="00DB12D0"/>
    <w:rsid w:val="00DB3629"/>
    <w:rsid w:val="00DB4779"/>
    <w:rsid w:val="00DB6093"/>
    <w:rsid w:val="00DB6A00"/>
    <w:rsid w:val="00DC7FC5"/>
    <w:rsid w:val="00DE2E2F"/>
    <w:rsid w:val="00DE6C2C"/>
    <w:rsid w:val="00DF1088"/>
    <w:rsid w:val="00DF3712"/>
    <w:rsid w:val="00DF5DFF"/>
    <w:rsid w:val="00DF7A58"/>
    <w:rsid w:val="00DF7DD3"/>
    <w:rsid w:val="00E02CAB"/>
    <w:rsid w:val="00E03061"/>
    <w:rsid w:val="00E03DDF"/>
    <w:rsid w:val="00E05049"/>
    <w:rsid w:val="00E0704F"/>
    <w:rsid w:val="00E166C4"/>
    <w:rsid w:val="00E175C3"/>
    <w:rsid w:val="00E178CB"/>
    <w:rsid w:val="00E17CA9"/>
    <w:rsid w:val="00E2032C"/>
    <w:rsid w:val="00E205A2"/>
    <w:rsid w:val="00E21F0E"/>
    <w:rsid w:val="00E22F58"/>
    <w:rsid w:val="00E24CB4"/>
    <w:rsid w:val="00E25980"/>
    <w:rsid w:val="00E313B3"/>
    <w:rsid w:val="00E320C8"/>
    <w:rsid w:val="00E324EE"/>
    <w:rsid w:val="00E32917"/>
    <w:rsid w:val="00E3442F"/>
    <w:rsid w:val="00E356C2"/>
    <w:rsid w:val="00E357A7"/>
    <w:rsid w:val="00E369C9"/>
    <w:rsid w:val="00E37F00"/>
    <w:rsid w:val="00E426F7"/>
    <w:rsid w:val="00E42761"/>
    <w:rsid w:val="00E46C6A"/>
    <w:rsid w:val="00E519B1"/>
    <w:rsid w:val="00E527F8"/>
    <w:rsid w:val="00E528B7"/>
    <w:rsid w:val="00E52CD3"/>
    <w:rsid w:val="00E54B7A"/>
    <w:rsid w:val="00E563AD"/>
    <w:rsid w:val="00E62544"/>
    <w:rsid w:val="00E644FF"/>
    <w:rsid w:val="00E64988"/>
    <w:rsid w:val="00E64C91"/>
    <w:rsid w:val="00E65E34"/>
    <w:rsid w:val="00E73BEB"/>
    <w:rsid w:val="00E74515"/>
    <w:rsid w:val="00E75C5A"/>
    <w:rsid w:val="00E812DA"/>
    <w:rsid w:val="00E818B8"/>
    <w:rsid w:val="00E81C99"/>
    <w:rsid w:val="00E832F5"/>
    <w:rsid w:val="00E833B2"/>
    <w:rsid w:val="00E843F4"/>
    <w:rsid w:val="00E85190"/>
    <w:rsid w:val="00E86456"/>
    <w:rsid w:val="00E86C14"/>
    <w:rsid w:val="00E91DF1"/>
    <w:rsid w:val="00E93D8F"/>
    <w:rsid w:val="00EA0A20"/>
    <w:rsid w:val="00EA21AE"/>
    <w:rsid w:val="00EA3D05"/>
    <w:rsid w:val="00EA729C"/>
    <w:rsid w:val="00EB1971"/>
    <w:rsid w:val="00EB2278"/>
    <w:rsid w:val="00EB5AA7"/>
    <w:rsid w:val="00EC051F"/>
    <w:rsid w:val="00EC0F1D"/>
    <w:rsid w:val="00EC1F1E"/>
    <w:rsid w:val="00EC27CB"/>
    <w:rsid w:val="00EC35FC"/>
    <w:rsid w:val="00EC426D"/>
    <w:rsid w:val="00EC42B9"/>
    <w:rsid w:val="00EC441E"/>
    <w:rsid w:val="00EC4B16"/>
    <w:rsid w:val="00EC5798"/>
    <w:rsid w:val="00EC7968"/>
    <w:rsid w:val="00ED2F5F"/>
    <w:rsid w:val="00ED45BA"/>
    <w:rsid w:val="00ED75E9"/>
    <w:rsid w:val="00ED7C40"/>
    <w:rsid w:val="00EE0C87"/>
    <w:rsid w:val="00EE17C0"/>
    <w:rsid w:val="00EE1FA8"/>
    <w:rsid w:val="00EE5FDC"/>
    <w:rsid w:val="00EE601C"/>
    <w:rsid w:val="00EE7172"/>
    <w:rsid w:val="00EF1879"/>
    <w:rsid w:val="00EF18A0"/>
    <w:rsid w:val="00EF4137"/>
    <w:rsid w:val="00EF4A5B"/>
    <w:rsid w:val="00EF5666"/>
    <w:rsid w:val="00F00E19"/>
    <w:rsid w:val="00F0226C"/>
    <w:rsid w:val="00F026FF"/>
    <w:rsid w:val="00F03C45"/>
    <w:rsid w:val="00F06783"/>
    <w:rsid w:val="00F06B55"/>
    <w:rsid w:val="00F114CB"/>
    <w:rsid w:val="00F11F36"/>
    <w:rsid w:val="00F11FE4"/>
    <w:rsid w:val="00F13448"/>
    <w:rsid w:val="00F151C7"/>
    <w:rsid w:val="00F16093"/>
    <w:rsid w:val="00F229F0"/>
    <w:rsid w:val="00F22B84"/>
    <w:rsid w:val="00F23CB4"/>
    <w:rsid w:val="00F25C90"/>
    <w:rsid w:val="00F25E35"/>
    <w:rsid w:val="00F262D5"/>
    <w:rsid w:val="00F315F7"/>
    <w:rsid w:val="00F34E58"/>
    <w:rsid w:val="00F4150B"/>
    <w:rsid w:val="00F447D1"/>
    <w:rsid w:val="00F465C2"/>
    <w:rsid w:val="00F46A8C"/>
    <w:rsid w:val="00F47EB6"/>
    <w:rsid w:val="00F52BDB"/>
    <w:rsid w:val="00F55679"/>
    <w:rsid w:val="00F56CCD"/>
    <w:rsid w:val="00F56DCA"/>
    <w:rsid w:val="00F57EF9"/>
    <w:rsid w:val="00F703D6"/>
    <w:rsid w:val="00F705D5"/>
    <w:rsid w:val="00F735B4"/>
    <w:rsid w:val="00F73BB3"/>
    <w:rsid w:val="00F743A7"/>
    <w:rsid w:val="00F81FC8"/>
    <w:rsid w:val="00F826F3"/>
    <w:rsid w:val="00F831E4"/>
    <w:rsid w:val="00F8743B"/>
    <w:rsid w:val="00F94820"/>
    <w:rsid w:val="00F959E4"/>
    <w:rsid w:val="00F96361"/>
    <w:rsid w:val="00F963CA"/>
    <w:rsid w:val="00F96CEE"/>
    <w:rsid w:val="00FA1170"/>
    <w:rsid w:val="00FA1B08"/>
    <w:rsid w:val="00FA229B"/>
    <w:rsid w:val="00FA26EA"/>
    <w:rsid w:val="00FA26EF"/>
    <w:rsid w:val="00FA5221"/>
    <w:rsid w:val="00FA63DA"/>
    <w:rsid w:val="00FA735E"/>
    <w:rsid w:val="00FA7B1E"/>
    <w:rsid w:val="00FB08E0"/>
    <w:rsid w:val="00FB5287"/>
    <w:rsid w:val="00FB687A"/>
    <w:rsid w:val="00FB7FD8"/>
    <w:rsid w:val="00FC0D64"/>
    <w:rsid w:val="00FC2361"/>
    <w:rsid w:val="00FC27E1"/>
    <w:rsid w:val="00FC30B7"/>
    <w:rsid w:val="00FC5F38"/>
    <w:rsid w:val="00FD0005"/>
    <w:rsid w:val="00FD681F"/>
    <w:rsid w:val="00FE3F3F"/>
    <w:rsid w:val="00FE4507"/>
    <w:rsid w:val="00FE5DD4"/>
    <w:rsid w:val="00FE60B9"/>
    <w:rsid w:val="00FF0918"/>
    <w:rsid w:val="00FF4BA2"/>
    <w:rsid w:val="00FF6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B0F4C"/>
  <w15:chartTrackingRefBased/>
  <w15:docId w15:val="{BD53F33A-9131-4F10-9548-4797EA25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74E"/>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b/>
      <w:sz w:val="28"/>
    </w:rPr>
  </w:style>
  <w:style w:type="paragraph" w:styleId="Heading3">
    <w:name w:val="heading 3"/>
    <w:basedOn w:val="Normal"/>
    <w:next w:val="Normal"/>
    <w:qFormat/>
    <w:pPr>
      <w:keepNext/>
      <w:outlineLvl w:val="2"/>
    </w:pPr>
    <w:rPr>
      <w:rFonts w:ascii="CG Omega" w:hAnsi="CG Omega"/>
      <w:b/>
      <w:sz w:val="24"/>
    </w:rPr>
  </w:style>
  <w:style w:type="paragraph" w:styleId="Heading4">
    <w:name w:val="heading 4"/>
    <w:basedOn w:val="Normal"/>
    <w:next w:val="Normal"/>
    <w:qFormat/>
    <w:pPr>
      <w:keepNext/>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BalloonText">
    <w:name w:val="Balloon Text"/>
    <w:basedOn w:val="Normal"/>
    <w:link w:val="BalloonTextChar"/>
    <w:uiPriority w:val="99"/>
    <w:semiHidden/>
    <w:unhideWhenUsed/>
    <w:rsid w:val="00257167"/>
    <w:rPr>
      <w:rFonts w:ascii="Tahoma" w:hAnsi="Tahoma" w:cs="Tahoma"/>
      <w:sz w:val="16"/>
      <w:szCs w:val="16"/>
    </w:rPr>
  </w:style>
  <w:style w:type="character" w:customStyle="1" w:styleId="BalloonTextChar">
    <w:name w:val="Balloon Text Char"/>
    <w:link w:val="BalloonText"/>
    <w:uiPriority w:val="99"/>
    <w:semiHidden/>
    <w:rsid w:val="00257167"/>
    <w:rPr>
      <w:rFonts w:ascii="Tahoma" w:hAnsi="Tahoma" w:cs="Tahoma"/>
      <w:sz w:val="16"/>
      <w:szCs w:val="16"/>
      <w:lang w:eastAsia="en-US"/>
    </w:rPr>
  </w:style>
  <w:style w:type="paragraph" w:styleId="Header">
    <w:name w:val="header"/>
    <w:basedOn w:val="Normal"/>
    <w:link w:val="HeaderChar"/>
    <w:uiPriority w:val="99"/>
    <w:unhideWhenUsed/>
    <w:rsid w:val="00CE103B"/>
    <w:pPr>
      <w:tabs>
        <w:tab w:val="center" w:pos="4513"/>
        <w:tab w:val="right" w:pos="9026"/>
      </w:tabs>
    </w:pPr>
  </w:style>
  <w:style w:type="character" w:customStyle="1" w:styleId="HeaderChar">
    <w:name w:val="Header Char"/>
    <w:link w:val="Header"/>
    <w:uiPriority w:val="99"/>
    <w:rsid w:val="00CE103B"/>
    <w:rPr>
      <w:lang w:eastAsia="en-US"/>
    </w:rPr>
  </w:style>
  <w:style w:type="paragraph" w:styleId="Footer">
    <w:name w:val="footer"/>
    <w:basedOn w:val="Normal"/>
    <w:link w:val="FooterChar"/>
    <w:unhideWhenUsed/>
    <w:rsid w:val="00CE103B"/>
    <w:pPr>
      <w:tabs>
        <w:tab w:val="center" w:pos="4513"/>
        <w:tab w:val="right" w:pos="9026"/>
      </w:tabs>
    </w:pPr>
  </w:style>
  <w:style w:type="character" w:customStyle="1" w:styleId="FooterChar">
    <w:name w:val="Footer Char"/>
    <w:link w:val="Footer"/>
    <w:uiPriority w:val="99"/>
    <w:rsid w:val="00CE103B"/>
    <w:rPr>
      <w:lang w:eastAsia="en-US"/>
    </w:rPr>
  </w:style>
  <w:style w:type="character" w:styleId="Hyperlink">
    <w:name w:val="Hyperlink"/>
    <w:basedOn w:val="DefaultParagraphFont"/>
    <w:uiPriority w:val="99"/>
    <w:unhideWhenUsed/>
    <w:rsid w:val="00C3710F"/>
    <w:rPr>
      <w:color w:val="FAB72C" w:themeColor="hyperlink"/>
      <w:u w:val="single"/>
    </w:rPr>
  </w:style>
  <w:style w:type="paragraph" w:styleId="ListParagraph">
    <w:name w:val="List Paragraph"/>
    <w:basedOn w:val="Normal"/>
    <w:uiPriority w:val="34"/>
    <w:qFormat/>
    <w:rsid w:val="001170BF"/>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B06916"/>
  </w:style>
  <w:style w:type="character" w:customStyle="1" w:styleId="FootnoteTextChar">
    <w:name w:val="Footnote Text Char"/>
    <w:basedOn w:val="DefaultParagraphFont"/>
    <w:link w:val="FootnoteText"/>
    <w:uiPriority w:val="99"/>
    <w:semiHidden/>
    <w:rsid w:val="00B06916"/>
    <w:rPr>
      <w:lang w:eastAsia="en-US"/>
    </w:rPr>
  </w:style>
  <w:style w:type="character" w:styleId="FootnoteReference">
    <w:name w:val="footnote reference"/>
    <w:basedOn w:val="DefaultParagraphFont"/>
    <w:uiPriority w:val="99"/>
    <w:semiHidden/>
    <w:unhideWhenUsed/>
    <w:rsid w:val="00B06916"/>
    <w:rPr>
      <w:vertAlign w:val="superscript"/>
    </w:rPr>
  </w:style>
  <w:style w:type="character" w:styleId="UnresolvedMention">
    <w:name w:val="Unresolved Mention"/>
    <w:basedOn w:val="DefaultParagraphFont"/>
    <w:uiPriority w:val="99"/>
    <w:semiHidden/>
    <w:unhideWhenUsed/>
    <w:rsid w:val="004D60E1"/>
    <w:rPr>
      <w:color w:val="605E5C"/>
      <w:shd w:val="clear" w:color="auto" w:fill="E1DFDD"/>
    </w:rPr>
  </w:style>
  <w:style w:type="paragraph" w:customStyle="1" w:styleId="Default">
    <w:name w:val="Default"/>
    <w:rsid w:val="00D22BDE"/>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851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352734">
      <w:bodyDiv w:val="1"/>
      <w:marLeft w:val="0"/>
      <w:marRight w:val="0"/>
      <w:marTop w:val="0"/>
      <w:marBottom w:val="0"/>
      <w:divBdr>
        <w:top w:val="none" w:sz="0" w:space="0" w:color="auto"/>
        <w:left w:val="none" w:sz="0" w:space="0" w:color="auto"/>
        <w:bottom w:val="none" w:sz="0" w:space="0" w:color="auto"/>
        <w:right w:val="none" w:sz="0" w:space="0" w:color="auto"/>
      </w:divBdr>
    </w:div>
    <w:div w:id="12146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mailto:info@hbf.co.uk" TargetMode="External"/><Relationship Id="rId2" Type="http://schemas.openxmlformats.org/officeDocument/2006/relationships/hyperlink" Target="http://www.hbf.co.uk" TargetMode="External"/><Relationship Id="rId1" Type="http://schemas.openxmlformats.org/officeDocument/2006/relationships/hyperlink" Target="mailto:info@hbf.co.uk" TargetMode="External"/><Relationship Id="rId5" Type="http://schemas.openxmlformats.org/officeDocument/2006/relationships/image" Target="media/image4.jpeg"/><Relationship Id="rId4" Type="http://schemas.openxmlformats.org/officeDocument/2006/relationships/hyperlink" Target="http://www.hbf.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HBFThemePW2014STANDARD">
  <a:themeElements>
    <a:clrScheme name="HBF 2018 v2">
      <a:dk1>
        <a:srgbClr val="000000"/>
      </a:dk1>
      <a:lt1>
        <a:sysClr val="window" lastClr="FFFFFF"/>
      </a:lt1>
      <a:dk2>
        <a:srgbClr val="003144"/>
      </a:dk2>
      <a:lt2>
        <a:srgbClr val="E9F7FC"/>
      </a:lt2>
      <a:accent1>
        <a:srgbClr val="53AAB1"/>
      </a:accent1>
      <a:accent2>
        <a:srgbClr val="E85355"/>
      </a:accent2>
      <a:accent3>
        <a:srgbClr val="64AA7D"/>
      </a:accent3>
      <a:accent4>
        <a:srgbClr val="79547F"/>
      </a:accent4>
      <a:accent5>
        <a:srgbClr val="F17BB0"/>
      </a:accent5>
      <a:accent6>
        <a:srgbClr val="CEDA6C"/>
      </a:accent6>
      <a:hlink>
        <a:srgbClr val="FAB72C"/>
      </a:hlink>
      <a:folHlink>
        <a:srgbClr val="94D7F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HBFThemePW2014STANDARD" id="{49333405-7C07-40CD-AF9D-D707E8790D85}" vid="{719F5C5A-144C-4770-8948-DEE0E95C2D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8" ma:contentTypeDescription="Create a new document." ma:contentTypeScope="" ma:versionID="91c4331bd6048fd14331874862854f5f">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63ebf969025ffdc29f79f0c11859810a"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Props1.xml><?xml version="1.0" encoding="utf-8"?>
<ds:datastoreItem xmlns:ds="http://schemas.openxmlformats.org/officeDocument/2006/customXml" ds:itemID="{61D0239E-831B-4D6B-AD25-D6F7611B5B56}">
  <ds:schemaRefs>
    <ds:schemaRef ds:uri="http://schemas.openxmlformats.org/officeDocument/2006/bibliography"/>
  </ds:schemaRefs>
</ds:datastoreItem>
</file>

<file path=customXml/itemProps2.xml><?xml version="1.0" encoding="utf-8"?>
<ds:datastoreItem xmlns:ds="http://schemas.openxmlformats.org/officeDocument/2006/customXml" ds:itemID="{9CBCAB16-019B-473D-9834-81FB688D6E82}">
  <ds:schemaRefs>
    <ds:schemaRef ds:uri="http://schemas.microsoft.com/sharepoint/v3/contenttype/forms"/>
  </ds:schemaRefs>
</ds:datastoreItem>
</file>

<file path=customXml/itemProps3.xml><?xml version="1.0" encoding="utf-8"?>
<ds:datastoreItem xmlns:ds="http://schemas.openxmlformats.org/officeDocument/2006/customXml" ds:itemID="{DD6DB02D-86CA-4AC2-9BC4-50035853FF65}"/>
</file>

<file path=customXml/itemProps4.xml><?xml version="1.0" encoding="utf-8"?>
<ds:datastoreItem xmlns:ds="http://schemas.openxmlformats.org/officeDocument/2006/customXml" ds:itemID="{ED827FC6-D497-4C6D-BC52-C30E79BF161D}">
  <ds:schemaRefs>
    <ds:schemaRef ds:uri="http://schemas.microsoft.com/office/2006/metadata/properties"/>
    <ds:schemaRef ds:uri="http://schemas.microsoft.com/office/infopath/2007/PartnerControls"/>
    <ds:schemaRef ds:uri="382e5495-6889-451e-8447-25219879d4f2"/>
    <ds:schemaRef ds:uri="98c4065d-ab90-4030-91ac-239e56608fbb"/>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25</Pages>
  <Words>7010</Words>
  <Characters>39960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Construction Confederation</Company>
  <LinksUpToDate>false</LinksUpToDate>
  <CharactersWithSpaces>46877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Behrendt</dc:creator>
  <cp:keywords/>
  <dc:description/>
  <cp:lastModifiedBy>Mark Behrendt</cp:lastModifiedBy>
  <cp:revision>999</cp:revision>
  <cp:lastPrinted>2018-10-05T08:06:00Z</cp:lastPrinted>
  <dcterms:created xsi:type="dcterms:W3CDTF">2023-12-14T08:48:00Z</dcterms:created>
  <dcterms:modified xsi:type="dcterms:W3CDTF">2024-01-05T11:46:00Z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0x0101005ACEACC4E1CDCF488D376413A381FD22</vt:lpwstr>
  </property>
  <property fmtid="{D5CDD505-2E9C-101B-9397-08002B2CF9AE}" pid="3" name="Order">
    <vt:r8>14120200</vt:r8>
  </property>
  <property fmtid="{D5CDD505-2E9C-101B-9397-08002B2CF9AE}" pid="4" name="MediaServiceImageTags">
    <vt:lpwstr/>
  </property>
</Properties>
</file>